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Appendix: Subnational micronutrient deficiency prediction in sub-Saharan Africa from proxy indicators</w:t>
      </w:r>
    </w:p>
    <w:p>
      <w:pPr>
        <w:pStyle w:val="Author"/>
      </w:pPr>
      <w:r>
        <w:t xml:space="preserve">Andrew N. Mertens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t xml:space="preserve">This appendix documents, in full, the methods summarised at a high level in the</w:t>
      </w:r>
      <w:r>
        <w:t xml:space="preserve"> </w:t>
      </w:r>
      <w:r>
        <w:t xml:space="preserve">main text. It covers the data sources, the data cleaning and linkage pipeline,</w:t>
      </w:r>
      <w:r>
        <w:t xml:space="preserve"> </w:t>
      </w:r>
      <w:r>
        <w:t xml:space="preserve">the harmonisation of outcome definitions across surveys, the modelling methods,</w:t>
      </w:r>
      <w:r>
        <w:t xml:space="preserve"> </w:t>
      </w:r>
      <w:r>
        <w:t xml:space="preserve">the procedures used to assess predictive accuracy, and the sensitivity analyses.</w:t>
      </w:r>
      <w:r>
        <w:t xml:space="preserve"> </w:t>
      </w:r>
      <w:r>
        <w:t xml:space="preserve">It reflects the analysis as currently implemented in the project’s reproducible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The most granular file-by-file data lineage is maintained</w:t>
      </w:r>
      <w:r>
        <w:t xml:space="preserve"> </w:t>
      </w:r>
      <w:r>
        <w:t xml:space="preserve">alongside this appendix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.</w:t>
      </w:r>
    </w:p>
    <w:bookmarkStart w:id="22" w:name="s1.-data-sources"/>
    <w:p>
      <w:pPr>
        <w:pStyle w:val="Heading1"/>
      </w:pPr>
      <w:r>
        <w:t xml:space="preserve">1. S1. Data sources</w:t>
      </w:r>
    </w:p>
    <w:bookmarkStart w:id="20" w:name="s1.1-biomarker-outcome-surveys"/>
    <w:p>
      <w:pPr>
        <w:pStyle w:val="Heading2"/>
      </w:pPr>
      <w:r>
        <w:t xml:space="preserve">1.1 S1.1 Biomarker (outcome) surveys</w:t>
      </w:r>
    </w:p>
    <w:p>
      <w:pPr>
        <w:pStyle w:val="FirstParagraph"/>
      </w:pPr>
      <w:r>
        <w:t xml:space="preserve">Outcomes come from four nationally representative biomarker surveys, one per</w:t>
      </w:r>
      <w:r>
        <w:t xml:space="preserve"> </w:t>
      </w:r>
      <w:r>
        <w:t xml:space="preserve">country, each conducted in a different year and with a partly different</w:t>
      </w:r>
      <w:r>
        <w:t xml:space="preserve"> </w:t>
      </w:r>
      <w:r>
        <w:t xml:space="preserve">biomarker panel:</w:t>
      </w:r>
      <w:r>
        <w:t xml:space="preserve"> </w:t>
      </w:r>
      <w:r>
        <w:rPr>
          <w:b/>
          <w:bCs/>
        </w:rPr>
        <w:t xml:space="preserve">The Gambia, 2018</w:t>
      </w:r>
      <w:r>
        <w:t xml:space="preserve"> </w:t>
      </w:r>
      <w:r>
        <w:t xml:space="preserve">(Gambia National Micronutrient Survey);</w:t>
      </w:r>
      <w:r>
        <w:t xml:space="preserve"> </w:t>
      </w:r>
      <w:r>
        <w:rPr>
          <w:b/>
          <w:bCs/>
        </w:rPr>
        <w:t xml:space="preserve">Ghana, 2017</w:t>
      </w:r>
      <w:r>
        <w:t xml:space="preserve"> </w:t>
      </w:r>
      <w:r>
        <w:t xml:space="preserve">(Ghana Micronutrient Survey);</w:t>
      </w:r>
      <w:r>
        <w:t xml:space="preserve"> </w:t>
      </w:r>
      <w:r>
        <w:rPr>
          <w:b/>
          <w:bCs/>
        </w:rPr>
        <w:t xml:space="preserve">Sierra Leone, 2013</w:t>
      </w:r>
      <w:r>
        <w:t xml:space="preserve"> </w:t>
      </w:r>
      <w:r>
        <w:t xml:space="preserve">(Sierra</w:t>
      </w:r>
      <w:r>
        <w:t xml:space="preserve"> </w:t>
      </w:r>
      <w:r>
        <w:t xml:space="preserve">Leone Micronutrient Survey); and</w:t>
      </w:r>
      <w:r>
        <w:t xml:space="preserve"> </w:t>
      </w:r>
      <w:r>
        <w:rPr>
          <w:b/>
          <w:bCs/>
        </w:rPr>
        <w:t xml:space="preserve">Malawi, 2015–16</w:t>
      </w:r>
      <w:r>
        <w:t xml:space="preserve"> </w:t>
      </w:r>
      <w:r>
        <w:t xml:space="preserve">(Malawi Micronutrient</w:t>
      </w:r>
      <w:r>
        <w:t xml:space="preserve"> </w:t>
      </w:r>
      <w:r>
        <w:t xml:space="preserve">Survey).</w:t>
      </w:r>
    </w:p>
    <w:p>
      <w:pPr>
        <w:pStyle w:val="BodyText"/>
      </w:pPr>
      <w:r>
        <w:t xml:space="preserve">A fifth country, Tanzania (2009–10 TDHS, vitamin A only), was added and then</w:t>
      </w:r>
      <w:r>
        <w:t xml:space="preserve"> </w:t>
      </w:r>
      <w:r>
        <w:t xml:space="preserve">withdrawn: a project collaborator identified its dried-blood-spot RBP</w:t>
      </w:r>
      <w:r>
        <w:t xml:space="preserve"> </w:t>
      </w:r>
      <w:r>
        <w:t xml:space="preserve">measurements as unreliable, consistent with a unit-label error in the survey’s</w:t>
      </w:r>
      <w:r>
        <w:t xml:space="preserve"> </w:t>
      </w:r>
      <w:r>
        <w:t xml:space="preserve">own biomarker documentation and a 77–92 percentage-point national-level bias</w:t>
      </w:r>
      <w:r>
        <w:t xml:space="preserve"> </w:t>
      </w:r>
      <w:r>
        <w:t xml:space="preserve">under leave-one-country-out evaluation. See</w:t>
      </w:r>
      <w:r>
        <w:t xml:space="preserve"> </w:t>
      </w:r>
      <w:r>
        <w:rPr>
          <w:rStyle w:val="VerbatimChar"/>
        </w:rPr>
        <w:t xml:space="preserve">archive/src/Tanzania/</w:t>
      </w:r>
      <w:r>
        <w:t xml:space="preserve"> </w:t>
      </w:r>
      <w:r>
        <w:t xml:space="preserve">and the</w:t>
      </w:r>
      <w:r>
        <w:t xml:space="preserve"> </w:t>
      </w:r>
      <w:r>
        <w:t xml:space="preserve">archive manifest for the preserved scripts and the full rationale.</w:t>
      </w:r>
    </w:p>
    <w:p>
      <w:pPr>
        <w:pStyle w:val="BodyText"/>
      </w:pPr>
      <w:r>
        <w:t xml:space="preserve">Within each survey, biomarkers were extracted for women of reproductive age</w:t>
      </w:r>
      <w:r>
        <w:t xml:space="preserve"> </w:t>
      </w:r>
      <w:r>
        <w:t xml:space="preserve">(15–49 years) and children 6–59 months where measured. Each survey is</w:t>
      </w:r>
      <w:r>
        <w:t xml:space="preserve"> </w:t>
      </w:r>
      <w:r>
        <w:t xml:space="preserve">nationally representative but modest in size (roughly 1,000–1,400 individuals</w:t>
      </w:r>
      <w:r>
        <w:t xml:space="preserve"> </w:t>
      </w:r>
      <w:r>
        <w:t xml:space="preserve">per outcome), is georeferenced at the survey-cluster level, and carries survey</w:t>
      </w:r>
      <w:r>
        <w:t xml:space="preserve"> </w:t>
      </w:r>
      <w:r>
        <w:t xml:space="preserve">design information.</w:t>
      </w:r>
    </w:p>
    <w:p>
      <w:pPr>
        <w:pStyle w:val="BodyText"/>
      </w:pPr>
      <w:r>
        <w:rPr>
          <w:b/>
          <w:bCs/>
        </w:rPr>
        <w:t xml:space="preserve">Populations not analysed.</w:t>
      </w:r>
      <w:r>
        <w:t xml:space="preserve"> </w:t>
      </w:r>
      <w:r>
        <w:t xml:space="preserve">The Malawi survey is structurally different from</w:t>
      </w:r>
      <w:r>
        <w:t xml:space="preserve"> </w:t>
      </w:r>
      <w:r>
        <w:t xml:space="preserve">the other three: it sampled four populations rather than two — preschool</w:t>
      </w:r>
      <w:r>
        <w:t xml:space="preserve"> </w:t>
      </w:r>
      <w:r>
        <w:t xml:space="preserve">children (n = 1,233),</w:t>
      </w:r>
      <w:r>
        <w:t xml:space="preserve"> </w:t>
      </w:r>
      <w:r>
        <w:rPr>
          <w:b/>
          <w:bCs/>
        </w:rPr>
        <w:t xml:space="preserve">school-age children 5–14 years (n = 800)</w:t>
      </w:r>
      <w:r>
        <w:t xml:space="preserve">, women</w:t>
      </w:r>
      <w:r>
        <w:t xml:space="preserve"> </w:t>
      </w:r>
      <w:r>
        <w:t xml:space="preserve">(n = 838) and</w:t>
      </w:r>
      <w:r>
        <w:t xml:space="preserve"> </w:t>
      </w:r>
      <w:r>
        <w:rPr>
          <w:b/>
          <w:bCs/>
        </w:rPr>
        <w:t xml:space="preserve">men (n = 228)</w:t>
      </w:r>
      <w:r>
        <w:t xml:space="preserve">. Only preschool children and women enter the</w:t>
      </w:r>
      <w:r>
        <w:t xml:space="preserve"> </w:t>
      </w:r>
      <w:r>
        <w:t xml:space="preserve">analysis. Malawi’s school-age children already carry derived</w:t>
      </w:r>
      <w:r>
        <w:t xml:space="preserve"> </w:t>
      </w:r>
      <w:r>
        <w:rPr>
          <w:rStyle w:val="VerbatimChar"/>
        </w:rPr>
        <w:t xml:space="preserve">vitA_def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iron_def</w:t>
      </w:r>
      <w:r>
        <w:t xml:space="preserve"> </w:t>
      </w:r>
      <w:r>
        <w:t xml:space="preserve">flags with RBP, ferritin, CRP and AGP on 758 of 800, and are</w:t>
      </w:r>
      <w:r>
        <w:t xml:space="preserve"> </w:t>
      </w:r>
      <w:r>
        <w:t xml:space="preserve">therefore available at no additional data cost; they are not analysed here</w:t>
      </w:r>
      <w:r>
        <w:t xml:space="preserve"> </w:t>
      </w:r>
      <w:r>
        <w:t xml:space="preserve">because they cannot enter any cross-country model and because 5–14 years spans</w:t>
      </w:r>
      <w:r>
        <w:t xml:space="preserve"> </w:t>
      </w:r>
      <w:r>
        <w:t xml:space="preserve">puberty, so they require a separate outcome rather than pooling with 6–59</w:t>
      </w:r>
      <w:r>
        <w:t xml:space="preserve"> </w:t>
      </w:r>
      <w:r>
        <w:t xml:space="preserve">months.</w:t>
      </w:r>
    </w:p>
    <w:p>
      <w:pPr>
        <w:pStyle w:val="BodyText"/>
      </w:pPr>
      <w:r>
        <w:rPr>
          <w:b/>
          <w:bCs/>
        </w:rPr>
        <w:t xml:space="preserve">Biomarkers not analysed.</w:t>
      </w:r>
      <w:r>
        <w:t xml:space="preserve"> </w:t>
      </w:r>
      <w:r>
        <w:t xml:space="preserve">Soluble transferrin receptor is present in all</w:t>
      </w:r>
      <w:r>
        <w:t xml:space="preserve"> </w:t>
      </w:r>
      <w:r>
        <w:t xml:space="preserve">four surveys and is unused. It is substantially less inflammation-sensitive</w:t>
      </w:r>
      <w:r>
        <w:t xml:space="preserve"> </w:t>
      </w:r>
      <w:r>
        <w:t xml:space="preserve">than ferritin and would support body-iron-stores estimation, sTfR-based iron</w:t>
      </w:r>
      <w:r>
        <w:t xml:space="preserve"> </w:t>
      </w:r>
      <w:r>
        <w:t xml:space="preserve">deficiency, and iron-deficiency anaemia. Urinary iodine is available in The</w:t>
      </w:r>
      <w:r>
        <w:t xml:space="preserve"> </w:t>
      </w:r>
      <w:r>
        <w:t xml:space="preserve">Gambia (n = 1,383) and Sierra Leone (n = 1,422); WHO treats urinary iodine as a</w:t>
      </w:r>
      <w:r>
        <w:t xml:space="preserve"> </w:t>
      </w:r>
      <w:r>
        <w:t xml:space="preserve">population-level rather than an individual-level indicator, which suits an</w:t>
      </w:r>
      <w:r>
        <w:t xml:space="preserve"> </w:t>
      </w:r>
      <w:r>
        <w:t xml:space="preserve">area-level model but not a person-level one. Malawi additionally measured</w:t>
      </w:r>
      <w:r>
        <w:t xml:space="preserve"> </w:t>
      </w:r>
      <w:r>
        <w:t xml:space="preserve">red-blood-cell folate (n = 797) alongside serum folate.</w:t>
      </w:r>
    </w:p>
    <w:bookmarkEnd w:id="20"/>
    <w:bookmarkStart w:id="21" w:name="s1.2-predictor-domains"/>
    <w:p>
      <w:pPr>
        <w:pStyle w:val="Heading2"/>
      </w:pPr>
      <w:r>
        <w:t xml:space="preserve">1.2 S1.2 Predictor domains</w:t>
      </w:r>
    </w:p>
    <w:p>
      <w:pPr>
        <w:pStyle w:val="FirstParagraph"/>
      </w:pPr>
      <w:r>
        <w:t xml:space="preserve">The source registry (</w:t>
      </w:r>
      <w:r>
        <w:rPr>
          <w:rStyle w:val="VerbatimChar"/>
        </w:rPr>
        <w:t xml:space="preserve">metadata/covariates/source_registry.csv</w:t>
      </w:r>
      <w:r>
        <w:t xml:space="preserve">) documents 23 providers across 12 thematic domains.</w:t>
      </w:r>
    </w:p>
    <w:p>
      <w:pPr>
        <w:pStyle w:val="BodyText"/>
      </w:pPr>
      <w:r>
        <w:t xml:space="preserve">With one exception (the survey biomarker matrix, excluded from the deployable</w:t>
      </w:r>
      <w:r>
        <w:t xml:space="preserve"> </w:t>
      </w:r>
      <w:r>
        <w:t xml:space="preserve">models) all are publicly available or accessible through common interfaces.</w:t>
      </w:r>
      <w:r>
        <w:t xml:space="preserve"> </w:t>
      </w:r>
      <w:r>
        <w:t xml:space="preserve">Domains comprise: the survey biomarker matrix (</w:t>
      </w:r>
      <w:r>
        <w:rPr>
          <w:rStyle w:val="VerbatimChar"/>
        </w:rPr>
        <w:t xml:space="preserve">gw_</w:t>
      </w:r>
      <w:r>
        <w:t xml:space="preserve">, excluded from proxy-only</w:t>
      </w:r>
      <w:r>
        <w:t xml:space="preserve"> </w:t>
      </w:r>
      <w:r>
        <w:t xml:space="preserve">models); DHS admin-2 indicator aggregates; MICS aggregates; IHME GBD modelled</w:t>
      </w:r>
      <w:r>
        <w:t xml:space="preserve"> </w:t>
      </w:r>
      <w:r>
        <w:t xml:space="preserve">estimates; LSMS aggregates (Ghana only); Malaria Atlas Project rasters</w:t>
      </w:r>
      <w:r>
        <w:t xml:space="preserve"> </w:t>
      </w:r>
      <w:r>
        <w:t xml:space="preserve">(epidemiology, interventions, and the inherited blood disorders that confound</w:t>
      </w:r>
      <w:r>
        <w:t xml:space="preserve"> </w:t>
      </w:r>
      <w:r>
        <w:t xml:space="preserve">ferritin-based iron assessment); Google Earth Engine rasters, extracted both as</w:t>
      </w:r>
      <w:r>
        <w:t xml:space="preserve"> </w:t>
      </w:r>
      <w:r>
        <w:t xml:space="preserve">cluster-buffer summaries at 10/25/50 km and as admin-2 polygon zonal means; WFP</w:t>
      </w:r>
      <w:r>
        <w:t xml:space="preserve"> </w:t>
      </w:r>
      <w:r>
        <w:t xml:space="preserve">food prices; FluNet influenza surveillance; food security (HungerMap/HFID and</w:t>
      </w:r>
      <w:r>
        <w:t xml:space="preserve"> </w:t>
      </w:r>
      <w:r>
        <w:t xml:space="preserve">IPC / Cadre Harmonisé phase classifications); SoilGrids and iSDAsoil soil</w:t>
      </w:r>
      <w:r>
        <w:t xml:space="preserve"> </w:t>
      </w:r>
      <w:r>
        <w:t xml:space="preserve">chemistry; MapSPAM crop shares; and ESPEN helminth prevalence.</w:t>
      </w:r>
    </w:p>
    <w:p>
      <w:pPr>
        <w:pStyle w:val="BodyText"/>
      </w:pPr>
      <w:r>
        <w:rPr>
          <w:b/>
          <w:bCs/>
        </w:rPr>
        <w:t xml:space="preserve">Harmonisation.</w:t>
      </w:r>
      <w:r>
        <w:t xml:space="preserve"> </w:t>
      </w:r>
      <w:r>
        <w:t xml:space="preserve">Earlier versions of this analysis used a common-vocabulary</w:t>
      </w:r>
      <w:r>
        <w:t xml:space="preserve"> </w:t>
      </w:r>
      <w:r>
        <w:t xml:space="preserve">set of 152 area-level variables selected by name intersection. That set has been</w:t>
      </w:r>
      <w:r>
        <w:t xml:space="preserve"> </w:t>
      </w:r>
      <w:r>
        <w:t xml:space="preserve">replaced by an explicitly harmonised one, built in four documented stages with</w:t>
      </w:r>
      <w:r>
        <w:t xml:space="preserve"> </w:t>
      </w:r>
      <w:r>
        <w:t xml:space="preserve">every decision recorded in</w:t>
      </w:r>
      <w:r>
        <w:t xml:space="preserve"> </w:t>
      </w:r>
      <w:r>
        <w:rPr>
          <w:rStyle w:val="VerbatimChar"/>
        </w:rPr>
        <w:t xml:space="preserve">metadata/covariates/</w:t>
      </w:r>
      <w:r>
        <w:t xml:space="preserve">: raw provider columns are</w:t>
      </w:r>
      <w:r>
        <w:t xml:space="preserve"> </w:t>
      </w:r>
      <w:r>
        <w:t xml:space="preserve">mapped onto canonical names; near-duplicate variants of one construct (month</w:t>
      </w:r>
      <w:r>
        <w:t xml:space="preserve"> </w:t>
      </w:r>
      <w:r>
        <w:t xml:space="preserve">climatologies, buffer radii, soil depth summaries, year stamps) are collapsed;</w:t>
      </w:r>
      <w:r>
        <w:t xml:space="preserve"> </w:t>
      </w:r>
      <w:r>
        <w:t xml:space="preserve">values are converted to canonical units; and variables that cannot be reconciled</w:t>
      </w:r>
      <w:r>
        <w:t xml:space="preserve"> </w:t>
      </w:r>
      <w:r>
        <w:t xml:space="preserve">across countries are excluded with a stated reason.</w:t>
      </w:r>
    </w:p>
    <w:p>
      <w:pPr>
        <w:pStyle w:val="BodyText"/>
      </w:pPr>
      <w:r>
        <w:t xml:space="preserve">The exclusions are substantive rather than cosmetic. Of Ghana’s 755 raw admin-2</w:t>
      </w:r>
      <w:r>
        <w:t xml:space="preserve"> </w:t>
      </w:r>
      <w:r>
        <w:t xml:space="preserve">columns, 301 were dropped because they are not quantities: cross-band summaries</w:t>
      </w:r>
      <w:r>
        <w:t xml:space="preserve"> </w:t>
      </w:r>
      <w:r>
        <w:t xml:space="preserve">averaged over non-commensurable bands, categorical land-cover class codes whose</w:t>
      </w:r>
      <w:r>
        <w:t xml:space="preserve"> </w:t>
      </w:r>
      <w:r>
        <w:t xml:space="preserve">zonal mean is meaningless, quality-assurance bands, and population columns in</w:t>
      </w:r>
      <w:r>
        <w:t xml:space="preserve"> </w:t>
      </w:r>
      <w:r>
        <w:t xml:space="preserve">which the provider replicated five-year epochs across intervening years. A</w:t>
      </w:r>
      <w:r>
        <w:t xml:space="preserve"> </w:t>
      </w:r>
      <w:r>
        <w:t xml:space="preserve">further 40 were excluded for cross-country irreconcilability, including twelve</w:t>
      </w:r>
      <w:r>
        <w:t xml:space="preserve"> </w:t>
      </w:r>
      <w:r>
        <w:t xml:space="preserve">whose medians ranged from 742 to 23,784 across countries with maxima to</w:t>
      </w:r>
      <w:r>
        <w:t xml:space="preserve"> </w:t>
      </w:r>
      <m:oMath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— a defective export rather than a scale factor, and one that</w:t>
      </w:r>
      <w:r>
        <w:t xml:space="preserve"> </w:t>
      </w:r>
      <w:r>
        <w:t xml:space="preserve">had been inside the previous 152-variable set and was therefore manufacturing a</w:t>
      </w:r>
      <w:r>
        <w:t xml:space="preserve"> </w:t>
      </w:r>
      <w:r>
        <w:t xml:space="preserve">country effect — and seven outcome-adjacent DHS indicators excluded as leakage</w:t>
      </w:r>
      <w:r>
        <w:t xml:space="preserve"> </w:t>
      </w:r>
      <w:r>
        <w:t xml:space="preserve">(anaemia is the downstream consequence of iron deficiency; nutrient-specific</w:t>
      </w:r>
      <w:r>
        <w:t xml:space="preserve"> </w:t>
      </w:r>
      <w:r>
        <w:t xml:space="preserve">supplementation is targeted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measured deficiency).</w:t>
      </w:r>
    </w:p>
    <w:p>
      <w:pPr>
        <w:pStyle w:val="BodyText"/>
      </w:pPr>
      <w:r>
        <w:t xml:space="preserve">The resulting set comprises</w:t>
      </w:r>
      <w:r>
        <w:t xml:space="preserve"> </w:t>
      </w:r>
      <w:r>
        <w:rPr>
          <w:b/>
          <w:bCs/>
        </w:rPr>
        <w:t xml:space="preserve">294 predictors</w:t>
      </w:r>
      <w:r>
        <w:t xml:space="preserve"> </w:t>
      </w:r>
      <w:r>
        <w:t xml:space="preserve">shared by all four analysed countries, from 298 canonical variables defined overall. The intersection step is not the binding constraint: 294 of 298 canonical variables are common to all four.</w:t>
      </w:r>
    </w:p>
    <w:p>
      <w:pPr>
        <w:pStyle w:val="BodyText"/>
      </w:pPr>
      <w:r>
        <w:t xml:space="preserve">District centroid coordinates (</w:t>
      </w:r>
      <w:r>
        <w:rPr>
          <w:rStyle w:val="VerbatimChar"/>
        </w:rPr>
        <w:t xml:space="preserve">geo_lon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geo_lat</w:t>
      </w:r>
      <w:r>
        <w:t xml:space="preserve">) are included as ordinary</w:t>
      </w:r>
      <w:r>
        <w:t xml:space="preserve"> </w:t>
      </w:r>
      <w:r>
        <w:t xml:space="preserve">covariates. They had previously been excluded by name, which meant no covariate</w:t>
      </w:r>
      <w:r>
        <w:t xml:space="preserve"> </w:t>
      </w:r>
      <w:r>
        <w:t xml:space="preserve">model could use the one signal that demonstrably carries district-level</w:t>
      </w:r>
      <w:r>
        <w:t xml:space="preserve"> </w:t>
      </w:r>
      <w:r>
        <w:t xml:space="preserve">information.</w:t>
      </w:r>
    </w:p>
    <w:bookmarkEnd w:id="21"/>
    <w:bookmarkEnd w:id="22"/>
    <w:bookmarkStart w:id="23" w:name="X4b8013679b94aa76c515fbfd388d69f4f8135f6"/>
    <w:p>
      <w:pPr>
        <w:pStyle w:val="Heading1"/>
      </w:pPr>
      <w:r>
        <w:t xml:space="preserve">2. S2. Data cleaning and pipeline architecture</w:t>
      </w:r>
    </w:p>
    <w:p>
      <w:pPr>
        <w:pStyle w:val="FirstParagraph"/>
      </w:pPr>
      <w:r>
        <w:t xml:space="preserve">Cleaning and assembly run in two stages. Stage 1 comprises per-country cleaning</w:t>
      </w:r>
      <w:r>
        <w:t xml:space="preserve"> </w:t>
      </w:r>
      <w:r>
        <w:t xml:space="preserve">scripts that read each raw survey and external source, standardise names and</w:t>
      </w:r>
      <w:r>
        <w:t xml:space="preserve"> </w:t>
      </w:r>
      <w:r>
        <w:t xml:space="preserve">types, derive inflammation-adjusted biomarkers and binary deficiency flags, and</w:t>
      </w:r>
      <w:r>
        <w:t xml:space="preserve"> </w:t>
      </w:r>
      <w:r>
        <w:t xml:space="preserve">write a per-country merged analytic table. Stage 2 is the reproducible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that reads those tables and runs all modelling, evaluation and</w:t>
      </w:r>
      <w:r>
        <w:t xml:space="preserve"> </w:t>
      </w:r>
      <w:r>
        <w:t xml:space="preserve">reporting.</w:t>
      </w:r>
    </w:p>
    <w:p>
      <w:pPr>
        <w:pStyle w:val="BodyText"/>
      </w:pPr>
      <w:r>
        <w:t xml:space="preserve">Key conventions: all</w:t>
      </w:r>
      <w:r>
        <w:t xml:space="preserve"> </w:t>
      </w:r>
      <w:r>
        <w:rPr>
          <w:rStyle w:val="VerbatimChar"/>
        </w:rPr>
        <w:t xml:space="preserve">gw_</w:t>
      </w:r>
      <w:r>
        <w:t xml:space="preserve"> </w:t>
      </w:r>
      <w:r>
        <w:t xml:space="preserve">survey items are removed from the proxy-only pool by</w:t>
      </w:r>
      <w:r>
        <w:t xml:space="preserve"> </w:t>
      </w:r>
      <w:r>
        <w:t xml:space="preserve">prefix matching; high-cardinality categoricals are dropped or collapsed;</w:t>
      </w:r>
      <w:r>
        <w:t xml:space="preserve"> </w:t>
      </w:r>
      <w:r>
        <w:t xml:space="preserve">geometry and raw temporal columns are removed after use in linkage; and missing</w:t>
      </w:r>
      <w:r>
        <w:t xml:space="preserve"> </w:t>
      </w:r>
      <w:r>
        <w:t xml:space="preserve">data are retained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with imputation performed downstream inside model</w:t>
      </w:r>
      <w:r>
        <w:t xml:space="preserve"> </w:t>
      </w:r>
      <w:r>
        <w:t xml:space="preserve">fitting and, in the corrected methods, strictly within each training fold.</w:t>
      </w:r>
    </w:p>
    <w:p>
      <w:pPr>
        <w:pStyle w:val="BodyText"/>
      </w:pPr>
      <w:r>
        <w:rPr>
          <w:b/>
          <w:bCs/>
        </w:rPr>
        <w:t xml:space="preserve">Untracked-input hazards.</w:t>
      </w:r>
      <w:r>
        <w:t xml:space="preserve"> </w:t>
      </w:r>
      <w:r>
        <w:t xml:space="preserve">Two inputs are read directly from disk by</w:t>
      </w:r>
      <w:r>
        <w:t xml:space="preserve"> </w:t>
      </w:r>
      <w:r>
        <w:t xml:space="preserve">functions inside the pipeline and are therefore invisible to the dependency</w:t>
      </w:r>
      <w:r>
        <w:t xml:space="preserve"> </w:t>
      </w:r>
      <w:r>
        <w:t xml:space="preserve">graph: the DHS clean admin-2 files and the external-predictor cache. Both are</w:t>
      </w:r>
      <w:r>
        <w:t xml:space="preserve"> </w:t>
      </w:r>
      <w:r>
        <w:t xml:space="preserve">now covered by content stamps (</w:t>
      </w:r>
      <w:r>
        <w:rPr>
          <w:rStyle w:val="VerbatimChar"/>
        </w:rPr>
        <w:t xml:space="preserve">dhs_clean_stamp()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ext_cache_stamp()</w:t>
      </w:r>
      <w:r>
        <w:t xml:space="preserve">) that</w:t>
      </w:r>
      <w:r>
        <w:t xml:space="preserve"> </w:t>
      </w:r>
      <w:r>
        <w:t xml:space="preserve">force a rebuild when the file changes. The second was added after the external</w:t>
      </w:r>
      <w:r>
        <w:t xml:space="preserve"> </w:t>
      </w:r>
      <w:r>
        <w:t xml:space="preserve">caches were refreshed without any downstream target rebuilding, which left one</w:t>
      </w:r>
      <w:r>
        <w:t xml:space="preserve"> </w:t>
      </w:r>
      <w:r>
        <w:t xml:space="preserve">country serving 0 of 57 available</w:t>
      </w:r>
      <w:r>
        <w:t xml:space="preserve"> </w:t>
      </w:r>
      <w:r>
        <w:rPr>
          <w:rStyle w:val="VerbatimChar"/>
        </w:rPr>
        <w:t xml:space="preserve">map2_</w:t>
      </w:r>
      <w:r>
        <w:t xml:space="preserve"> </w:t>
      </w:r>
      <w:r>
        <w:t xml:space="preserve">columns and 0 of 13</w:t>
      </w:r>
      <w:r>
        <w:t xml:space="preserve"> </w:t>
      </w:r>
      <w:r>
        <w:rPr>
          <w:rStyle w:val="VerbatimChar"/>
        </w:rPr>
        <w:t xml:space="preserve">wfp_</w:t>
      </w:r>
      <w:r>
        <w:t xml:space="preserve"> </w:t>
      </w:r>
      <w:r>
        <w:t xml:space="preserve">columns.</w:t>
      </w:r>
    </w:p>
    <w:bookmarkEnd w:id="23"/>
    <w:bookmarkStart w:id="27" w:name="Xcafb49d9f5b936cd9db5e368adf1f26c1a92907"/>
    <w:p>
      <w:pPr>
        <w:pStyle w:val="Heading1"/>
      </w:pPr>
      <w:r>
        <w:t xml:space="preserve">3. S3. Geographic and temporal harmonisation, and record linkage</w:t>
      </w:r>
    </w:p>
    <w:bookmarkStart w:id="24" w:name="Xc8c8d857e66a5cdf54626364024701209b1bddb"/>
    <w:p>
      <w:pPr>
        <w:pStyle w:val="Heading2"/>
      </w:pPr>
      <w:r>
        <w:t xml:space="preserve">3.1 S3.1 Geographic units and cluster-to-area assignment</w:t>
      </w:r>
    </w:p>
    <w:p>
      <w:pPr>
        <w:pStyle w:val="FirstParagraph"/>
      </w:pPr>
      <w:r>
        <w:t xml:space="preserve">Administrative polygons are taken from GADM (admin-1 and admin-2; admin-3 for</w:t>
      </w:r>
      <w:r>
        <w:t xml:space="preserve"> </w:t>
      </w:r>
      <w:r>
        <w:t xml:space="preserve">Sierra Leone in a resolution sensitivity analysis). Each survey cluster is</w:t>
      </w:r>
      <w:r>
        <w:t xml:space="preserve"> </w:t>
      </w:r>
      <w:r>
        <w:t xml:space="preserve">assigned to its polygons by point-in-polygon location of the cluster GPS</w:t>
      </w:r>
      <w:r>
        <w:t xml:space="preserve"> </w:t>
      </w:r>
      <w:r>
        <w:t xml:space="preserve">coordinate.</w:t>
      </w:r>
    </w:p>
    <w:p>
      <w:pPr>
        <w:pStyle w:val="BodyText"/>
      </w:pPr>
      <w:r>
        <w:t xml:space="preserve">Cluster coordinates displaced into inland water by the DHS/MICS confidentiality</w:t>
      </w:r>
      <w:r>
        <w:t xml:space="preserve"> </w:t>
      </w:r>
      <w:r>
        <w:t xml:space="preserve">procedure are reassigned to the nearest land district rather than dropped: every</w:t>
      </w:r>
      <w:r>
        <w:t xml:space="preserve"> </w:t>
      </w:r>
      <w:r>
        <w:t xml:space="preserve">measured displacement fell inside the documented bounds (up to 2 km urban, 5 km</w:t>
      </w:r>
      <w:r>
        <w:t xml:space="preserve"> </w:t>
      </w:r>
      <w:r>
        <w:t xml:space="preserve">rural, 10 km for a random 1% of rural clusters), so dropping them would discard</w:t>
      </w:r>
      <w:r>
        <w:t xml:space="preserve"> </w:t>
      </w:r>
      <w:r>
        <w:t xml:space="preserve">real observations. Water polygons are excluded from the prediction side, since a</w:t>
      </w:r>
      <w:r>
        <w:t xml:space="preserve"> </w:t>
      </w:r>
      <w:r>
        <w:t xml:space="preserve">lake is not a populated prediction unit.</w:t>
      </w:r>
    </w:p>
    <w:bookmarkEnd w:id="24"/>
    <w:bookmarkStart w:id="25" w:name="s3.2-linkage-of-predictors-to-outcomes"/>
    <w:p>
      <w:pPr>
        <w:pStyle w:val="Heading2"/>
      </w:pPr>
      <w:r>
        <w:t xml:space="preserve">3.2 S3.2 Linkage of predictors to outcomes</w:t>
      </w:r>
    </w:p>
    <w:p>
      <w:pPr>
        <w:pStyle w:val="FirstParagraph"/>
      </w:pPr>
      <w:r>
        <w:t xml:space="preserve">Cluster-level sources (earth-observation buffer summaries, MAP rasters) are</w:t>
      </w:r>
      <w:r>
        <w:t xml:space="preserve"> </w:t>
      </w:r>
      <w:r>
        <w:t xml:space="preserve">extracted at each cluster’s GPS point and joined on cluster identifier.</w:t>
      </w:r>
      <w:r>
        <w:t xml:space="preserve"> </w:t>
      </w:r>
      <w:r>
        <w:t xml:space="preserve">Area-level sources are joined by administrative unit, with fuzzy string matching</w:t>
      </w:r>
      <w:r>
        <w:t xml:space="preserve"> </w:t>
      </w:r>
      <w:r>
        <w:t xml:space="preserve">where survey and external names are spelled inconsistently and unmatched units</w:t>
      </w:r>
      <w:r>
        <w:t xml:space="preserve"> </w:t>
      </w:r>
      <w:r>
        <w:t xml:space="preserve">left missing rather than guessed.</w:t>
      </w:r>
    </w:p>
    <w:p>
      <w:pPr>
        <w:pStyle w:val="BodyText"/>
      </w:pPr>
      <w:r>
        <w:rPr>
          <w:b/>
          <w:bCs/>
        </w:rPr>
        <w:t xml:space="preserve">The join key is the (Admin1, Admin2) pair, not the admin-2 name.</w:t>
      </w:r>
      <w:r>
        <w:t xml:space="preserve"> </w:t>
      </w:r>
      <w:r>
        <w:t xml:space="preserve">GADM</w:t>
      </w:r>
      <w:r>
        <w:t xml:space="preserve"> </w:t>
      </w:r>
      <w:r>
        <w:t xml:space="preserve">admin-2 names are not unique within a country — Malawi has 256 polygons under</w:t>
      </w:r>
      <w:r>
        <w:t xml:space="preserve"> </w:t>
      </w:r>
      <w:r>
        <w:t xml:space="preserve">243 names, with four pairs of genuinely different districts sharing a name. A</w:t>
      </w:r>
      <w:r>
        <w:t xml:space="preserve"> </w:t>
      </w:r>
      <w:r>
        <w:t xml:space="preserve">name-only join silently averages or discards one member of each pair. Nine</w:t>
      </w:r>
      <w:r>
        <w:t xml:space="preserve"> </w:t>
      </w:r>
      <w:r>
        <w:t xml:space="preserve">consumers were found still joining on the name after the initial migration; all</w:t>
      </w:r>
      <w:r>
        <w:t xml:space="preserve"> </w:t>
      </w:r>
      <w:r>
        <w:t xml:space="preserve">now resolve the key per join and fall back to the name only when a side lacks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 warning when they do. The practical consequence had been that Malawi’s</w:t>
      </w:r>
      <w:r>
        <w:t xml:space="preserve"> </w:t>
      </w:r>
      <w:r>
        <w:t xml:space="preserve">area-level rows were scored on 90 districts against 87 surveyed ones, so they</w:t>
      </w:r>
      <w:r>
        <w:t xml:space="preserve"> </w:t>
      </w:r>
      <w:r>
        <w:t xml:space="preserve">were not comparable with the individual-level rows in the same table.</w:t>
      </w:r>
    </w:p>
    <w:bookmarkEnd w:id="25"/>
    <w:bookmarkStart w:id="26" w:name="s3.3-temporal-alignment"/>
    <w:p>
      <w:pPr>
        <w:pStyle w:val="Heading2"/>
      </w:pPr>
      <w:r>
        <w:t xml:space="preserve">3.3 S3.3 Temporal alignment</w:t>
      </w:r>
    </w:p>
    <w:p>
      <w:pPr>
        <w:pStyle w:val="FirstParagraph"/>
      </w:pPr>
      <w:r>
        <w:t xml:space="preserve">For sources with multiple time points, the version closest to each country’s</w:t>
      </w:r>
      <w:r>
        <w:t xml:space="preserve"> </w:t>
      </w:r>
      <w:r>
        <w:t xml:space="preserve">fieldwork year is selected. Climate variables use the survey year; slowly</w:t>
      </w:r>
      <w:r>
        <w:t xml:space="preserve"> </w:t>
      </w:r>
      <w:r>
        <w:t xml:space="preserve">changing layers use the most recent global version; multi-band rasters whose</w:t>
      </w:r>
      <w:r>
        <w:t xml:space="preserve"> </w:t>
      </w:r>
      <w:r>
        <w:t xml:space="preserve">bands are temporal subdivisions are collapsed to the survey-year annual mean.</w:t>
      </w:r>
    </w:p>
    <w:bookmarkEnd w:id="26"/>
    <w:bookmarkEnd w:id="27"/>
    <w:bookmarkStart w:id="30" w:name="X87a645458997ad831a6e7d71e1d7a10f728bf37"/>
    <w:p>
      <w:pPr>
        <w:pStyle w:val="Heading1"/>
      </w:pPr>
      <w:r>
        <w:t xml:space="preserve">4. S4. Outcome definitions and harmonisation</w:t>
      </w:r>
    </w:p>
    <w:bookmarkStart w:id="28" w:name="s4.1-deficiency-thresholds"/>
    <w:p>
      <w:pPr>
        <w:pStyle w:val="Heading2"/>
      </w:pPr>
      <w:r>
        <w:t xml:space="preserve">4.1 S4.1 Deficiency thresholds</w:t>
      </w:r>
    </w:p>
    <w:p>
      <w:pPr>
        <w:pStyle w:val="FirstParagraph"/>
      </w:pPr>
      <w:r>
        <w:t xml:space="preserve">Vitamin A (women and children): retinol-binding protein below 0.70 µmol/L.</w:t>
      </w:r>
      <w:r>
        <w:t xml:space="preserve"> </w:t>
      </w:r>
      <w:r>
        <w:t xml:space="preserve">Iron: serum ferritin below 15 µg/L in women and 12 µg/L in children, with The</w:t>
      </w:r>
      <w:r>
        <w:t xml:space="preserve"> </w:t>
      </w:r>
      <w:r>
        <w:t xml:space="preserve">Gambia defined on the log-ferritin scale at the equivalent cut-points. Folate</w:t>
      </w:r>
      <w:r>
        <w:t xml:space="preserve"> </w:t>
      </w:r>
      <w:r>
        <w:t xml:space="preserve">(women): serum folate below 10 nmol/L, with Malawi’s native rule harmonised to</w:t>
      </w:r>
      <w:r>
        <w:t xml:space="preserve"> </w:t>
      </w:r>
      <w:r>
        <w:t xml:space="preserve">the common serum cut-point. Vitamin B12 (women): serum B12 below 148 pmol/L.</w:t>
      </w:r>
      <w:r>
        <w:t xml:space="preserve"> </w:t>
      </w:r>
      <w:r>
        <w:t xml:space="preserve">Zinc (Malawi only): serum zinc below the IZiNCG cut-point appropriate to time of</w:t>
      </w:r>
      <w:r>
        <w:t xml:space="preserve"> </w:t>
      </w:r>
      <w:r>
        <w:t xml:space="preserve">day — 66 µg/dL for morning draws and 59 µg/dL for afternoon draws in women. We</w:t>
      </w:r>
      <w:r>
        <w:t xml:space="preserve"> </w:t>
      </w:r>
      <w:r>
        <w:t xml:space="preserve">verified that the survey’s derived flag applies the time-specific rule: it</w:t>
      </w:r>
      <w:r>
        <w:t xml:space="preserve"> </w:t>
      </w:r>
      <w:r>
        <w:t xml:space="preserve">agrees with it in 100% of cases, and 47% of Malawi’s draws were taken in the</w:t>
      </w:r>
      <w:r>
        <w:t xml:space="preserve"> </w:t>
      </w:r>
      <w:r>
        <w:t xml:space="preserve">afternoon, so applying the morning cut-point uniformly would overstate women’s</w:t>
      </w:r>
      <w:r>
        <w:t xml:space="preserve"> </w:t>
      </w:r>
      <w:r>
        <w:t xml:space="preserve">zinc deficiency by 12.5 percentage points.</w:t>
      </w:r>
    </w:p>
    <w:p>
      <w:pPr>
        <w:pStyle w:val="BodyText"/>
      </w:pPr>
      <w:r>
        <w:t xml:space="preserve">Public-health severity tiers (none / mild / moderate / severe) used for the</w:t>
      </w:r>
      <w:r>
        <w:t xml:space="preserve"> </w:t>
      </w:r>
      <w:r>
        <w:t xml:space="preserve">map’s WHO classification are separate from these individual cut-points and</w:t>
      </w:r>
      <w:r>
        <w:t xml:space="preserve"> </w:t>
      </w:r>
      <w:r>
        <w:t xml:space="preserve">follow the standard prevalence bands.</w:t>
      </w:r>
    </w:p>
    <w:bookmarkEnd w:id="28"/>
    <w:bookmarkStart w:id="29" w:name="s4.2-inflammation-adjustment"/>
    <w:p>
      <w:pPr>
        <w:pStyle w:val="Heading2"/>
      </w:pPr>
      <w:r>
        <w:t xml:space="preserve">4.2 S4.2 Inflammation adjustment</w:t>
      </w:r>
    </w:p>
    <w:p>
      <w:pPr>
        <w:pStyle w:val="FirstParagraph"/>
      </w:pPr>
      <w:r>
        <w:t xml:space="preserve">Ferritin, and to a lesser extent retinol-binding protein, rises with</w:t>
      </w:r>
      <w:r>
        <w:t xml:space="preserve"> </w:t>
      </w:r>
      <w:r>
        <w:t xml:space="preserve">inflammation, so unadjusted values understate deficiency in high-infection</w:t>
      </w:r>
      <w:r>
        <w:t xml:space="preserve"> </w:t>
      </w:r>
      <w:r>
        <w:t xml:space="preserve">settings. Where C-reactive protein and alpha-1-acid glycoprotein were measured,</w:t>
      </w:r>
      <w:r>
        <w:t xml:space="preserve"> </w:t>
      </w:r>
      <w:r>
        <w:t xml:space="preserve">values are corrected before the cut-point is applied.</w:t>
      </w:r>
    </w:p>
    <w:p>
      <w:pPr>
        <w:pStyle w:val="BodyText"/>
      </w:pPr>
      <w:r>
        <w:rPr>
          <w:b/>
          <w:bCs/>
        </w:rPr>
        <w:t xml:space="preserve">The adjustment is harmonised across countries for vitamin A but not for</w:t>
      </w:r>
      <w:r>
        <w:rPr>
          <w:b/>
          <w:bCs/>
        </w:rPr>
        <w:t xml:space="preserve"> </w:t>
      </w:r>
      <w:r>
        <w:rPr>
          <w:b/>
          <w:bCs/>
        </w:rPr>
        <w:t xml:space="preserve">iron.</w:t>
      </w:r>
      <w:r>
        <w:t xml:space="preserve"> </w:t>
      </w:r>
      <w:r>
        <w:t xml:space="preserve">All eight vitamin A country–outcome combinations use a common BRINDA</w:t>
      </w:r>
      <w:r>
        <w:t xml:space="preserve"> </w:t>
      </w:r>
      <w:r>
        <w:t xml:space="preserve">CRP+AGP adjustment. All eight iron combinations retain each survey’s native</w:t>
      </w:r>
      <w:r>
        <w:t xml:space="preserve"> </w:t>
      </w:r>
      <w:r>
        <w:t xml:space="preserve">adjustment: a log-scale regression correction in The Gambia, Thurnham in Ghana,</w:t>
      </w:r>
      <w:r>
        <w:t xml:space="preserve"> </w:t>
      </w:r>
      <w:r>
        <w:t xml:space="preserve">a BRINDA regression in Sierra Leone, and a regression adjustment in Malawi. The</w:t>
      </w:r>
      <w:r>
        <w:t xml:space="preserve"> </w:t>
      </w:r>
      <w:r>
        <w:t xml:space="preserve">raw components required for a uniform adjustment (marker, CRP, AGP) are present</w:t>
      </w:r>
      <w:r>
        <w:t xml:space="preserve"> </w:t>
      </w:r>
      <w:r>
        <w:t xml:space="preserve">in all four surveys, and harmonising them did not alter cross-country transport</w:t>
      </w:r>
      <w:r>
        <w:t xml:space="preserve"> </w:t>
      </w:r>
      <w:r>
        <w:t xml:space="preserve">in our testing — the between-country offset lies in raw ferritin rather than in</w:t>
      </w:r>
      <w:r>
        <w:t xml:space="preserve"> </w:t>
      </w:r>
      <w:r>
        <w:t xml:space="preserve">the adjustment — but the asymmetry is a real limitation and is recorded in</w:t>
      </w:r>
      <w:r>
        <w:t xml:space="preserve"> </w:t>
      </w:r>
      <w:r>
        <w:rPr>
          <w:rStyle w:val="VerbatimChar"/>
        </w:rPr>
        <w:t xml:space="preserve">metadata/covariates/adjustment_inventory.csv</w:t>
      </w:r>
      <w:r>
        <w:t xml:space="preserve">.</w:t>
      </w:r>
    </w:p>
    <w:bookmarkEnd w:id="29"/>
    <w:bookmarkEnd w:id="30"/>
    <w:bookmarkStart w:id="37" w:name="s5.-modelling-methods"/>
    <w:p>
      <w:pPr>
        <w:pStyle w:val="Heading1"/>
      </w:pPr>
      <w:r>
        <w:t xml:space="preserve">5. S5. Modelling methods</w:t>
      </w:r>
    </w:p>
    <w:bookmarkStart w:id="31" w:name="s5.1-estimation-strategies-compared"/>
    <w:p>
      <w:pPr>
        <w:pStyle w:val="Heading2"/>
      </w:pPr>
      <w:r>
        <w:t xml:space="preserve">5.1 S5.1 Estimation strategies compared</w:t>
      </w:r>
    </w:p>
    <w:p>
      <w:pPr>
        <w:pStyle w:val="FirstParagraph"/>
      </w:pPr>
      <w:r>
        <w:t xml:space="preserve">Strategies fall into the area-level small-area-estimation family (the primary</w:t>
      </w:r>
      <w:r>
        <w:t xml:space="preserve"> </w:t>
      </w:r>
      <w:r>
        <w:t xml:space="preserve">analysis) and the individual-level SuperLearner aggregated to admin-2 (a</w:t>
      </w:r>
      <w:r>
        <w:t xml:space="preserve"> </w:t>
      </w:r>
      <w:r>
        <w:t xml:space="preserve">sensitivity analysis), plus frequentist, Bayesian and transportability-aware</w:t>
      </w:r>
      <w:r>
        <w:t xml:space="preserve"> </w:t>
      </w:r>
      <w:r>
        <w:t xml:space="preserve">comparators.</w:t>
      </w:r>
    </w:p>
    <w:bookmarkEnd w:id="31"/>
    <w:bookmarkStart w:id="32" w:name="s5.2-individual-level-superlearner"/>
    <w:p>
      <w:pPr>
        <w:pStyle w:val="Heading2"/>
      </w:pPr>
      <w:r>
        <w:t xml:space="preserve">5.2 S5.2 Individual-level SuperLearner</w:t>
      </w:r>
    </w:p>
    <w:p>
      <w:pPr>
        <w:pStyle w:val="FirstParagraph"/>
      </w:pPr>
      <w:r>
        <w:t xml:space="preserve">Run in one of two modes with a shared implementation, so the learner count is</w:t>
      </w:r>
      <w:r>
        <w:t xml:space="preserve"> </w:t>
      </w:r>
      <w:r>
        <w:t xml:space="preserve">derived from the library specification at fit time. Fast mode uses 5 base</w:t>
      </w:r>
      <w:r>
        <w:t xml:space="preserve"> </w:t>
      </w:r>
      <w:r>
        <w:t xml:space="preserve">learners (mean, lasso, elastic net, ranger, XGBoost). Full mode uses 12: the</w:t>
      </w:r>
      <w:r>
        <w:t xml:space="preserve"> </w:t>
      </w:r>
      <w:r>
        <w:t xml:space="preserve">fast set plus ridge, two further ranger configurations, a deeper XGBoost, and</w:t>
      </w:r>
      <w:r>
        <w:t xml:space="preserve"> </w:t>
      </w:r>
      <w:r>
        <w:t xml:space="preserve">three BART learners at 50, 100 and 200 trees — BART is the learner that holds up</w:t>
      </w:r>
      <w:r>
        <w:t xml:space="preserve"> </w:t>
      </w:r>
      <w:r>
        <w:t xml:space="preserve">on the rarest outcomes, where the others collapse toward the mean. A Gaussian</w:t>
      </w:r>
      <w:r>
        <w:t xml:space="preserve"> </w:t>
      </w:r>
      <w:r>
        <w:t xml:space="preserve">process was evaluated as a 13th learner and dropped: refitting Ghana child iron</w:t>
      </w:r>
      <w:r>
        <w:t xml:space="preserve"> </w:t>
      </w:r>
      <w:r>
        <w:t xml:space="preserve">with and without it gave an identical binary AUC to 16 decimal places, so it</w:t>
      </w:r>
      <w:r>
        <w:t xml:space="preserve"> </w:t>
      </w:r>
      <w:r>
        <w:t xml:space="preserve">received effectively zero ensemble weight at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 </w:t>
      </w:r>
      <w:r>
        <w:t xml:space="preserve">cost. For binary outcomes</w:t>
      </w:r>
      <w:r>
        <w:t xml:space="preserve"> </w:t>
      </w:r>
      <w:r>
        <w:t xml:space="preserve">below 15% prevalence, class-weighted XGBoost and ranger learners are appended at</w:t>
      </w:r>
      <w:r>
        <w:t xml:space="preserve"> </w:t>
      </w:r>
      <w:r>
        <w:t xml:space="preserve">fit time. Cross-validation folds are formed at the survey-cluster level.</w:t>
      </w:r>
    </w:p>
    <w:bookmarkEnd w:id="32"/>
    <w:bookmarkStart w:id="33" w:name="s5.3-area-level-superlearner"/>
    <w:p>
      <w:pPr>
        <w:pStyle w:val="Heading2"/>
      </w:pPr>
      <w:r>
        <w:t xml:space="preserve">5.3 S5.3 Area-level SuperLearner</w:t>
      </w:r>
    </w:p>
    <w:p>
      <w:pPr>
        <w:pStyle w:val="FirstParagraph"/>
      </w:pPr>
      <w:r>
        <w:t xml:space="preserve">The area-level ensemble repeats the fit with the admin-2 polygon as the unit:</w:t>
      </w:r>
      <w:r>
        <w:t xml:space="preserve"> </w:t>
      </w:r>
      <w:r>
        <w:t xml:space="preserve">one row per district, the target being survey-weighted district prevalence.</w:t>
      </w:r>
      <w:r>
        <w:t xml:space="preserve"> </w:t>
      </w:r>
      <w:r>
        <w:t xml:space="preserve">Because covariates are resolved at district level, the effective sample size is</w:t>
      </w:r>
      <w:r>
        <w:t xml:space="preserve"> </w:t>
      </w:r>
      <w:r>
        <w:t xml:space="preserve">the number of polygons (14–90 per country).</w:t>
      </w:r>
    </w:p>
    <w:p>
      <w:pPr>
        <w:pStyle w:val="BodyText"/>
      </w:pPr>
      <w:r>
        <w:t xml:space="preserve">Area-level predictions are weighted by inverse sampling variance on the logit</w:t>
      </w:r>
      <w:r>
        <w:t xml:space="preserve"> </w:t>
      </w:r>
      <w:r>
        <w:t xml:space="preserve">scale, computed by the delta method with Agresti–Coull shrinkage, so that</w:t>
      </w:r>
      <w:r>
        <w:t xml:space="preserve"> </w:t>
      </w:r>
      <w:r>
        <w:t xml:space="preserve">districts contribute in proportion to their precision rather than equally.</w:t>
      </w:r>
    </w:p>
    <w:p>
      <w:pPr>
        <w:pStyle w:val="BodyText"/>
      </w:pPr>
      <w:r>
        <w:t xml:space="preserve">Two uninformed baselines are carried in every comparison — a national-mean null</w:t>
      </w:r>
      <w:r>
        <w:t xml:space="preserve"> </w:t>
      </w:r>
      <w:r>
        <w:t xml:space="preserve">and a covariate-free spatial smoother on district centroids — so that</w:t>
      </w:r>
      <w:r>
        <w:t xml:space="preserve"> </w:t>
      </w:r>
      <w:r>
        <w:t xml:space="preserve">“better</w:t>
      </w:r>
      <w:r>
        <w:t xml:space="preserve"> </w:t>
      </w:r>
      <w:r>
        <w:t xml:space="preserve">than the alternatives”</w:t>
      </w:r>
      <w:r>
        <w:t xml:space="preserve"> </w:t>
      </w:r>
      <w:r>
        <w:t xml:space="preserve">can be distinguished from</w:t>
      </w:r>
      <w:r>
        <w:t xml:space="preserve"> </w:t>
      </w:r>
      <w:r>
        <w:t xml:space="preserve">“better than doing nothing”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Response scale.</w:t>
      </w:r>
      <w:r>
        <w:t xml:space="preserve"> </w:t>
      </w:r>
      <w:r>
        <w:t xml:space="preserve">The recipe’s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field previously had no effect: a</w:t>
      </w:r>
      <w:r>
        <w:t xml:space="preserve"> </w:t>
      </w:r>
      <w:r>
        <w:t xml:space="preserve">clamped logit transform was applied unconditionally. This matters because the</w:t>
      </w:r>
      <w:r>
        <w:t xml:space="preserve"> </w:t>
      </w:r>
      <w:r>
        <w:t xml:space="preserve">clamp maps every district observed at exactly 0% prevalence onto a single</w:t>
      </w:r>
      <w:r>
        <w:t xml:space="preserve"> </w:t>
      </w:r>
      <w:r>
        <w:t xml:space="preserve">extreme value, and eight of the 24</w:t>
      </w:r>
      <w:r>
        <w:t xml:space="preserve"> </w:t>
      </w:r>
      <w:r>
        <w:t xml:space="preserve">country–outcome combinations have more than 40% of districts at exactly zero</w:t>
      </w:r>
      <w:r>
        <w:t xml:space="preserve"> </w:t>
      </w:r>
      <w:r>
        <w:t xml:space="preserve">(84% for Ghana women’s vitamin A, 87% for Malawi’s). The transform is now</w:t>
      </w:r>
      <w:r>
        <w:t xml:space="preserve"> </w:t>
      </w:r>
      <w:r>
        <w:t xml:space="preserve">dispatched on the declared scale. We tested the raw prevalence scale as an</w:t>
      </w:r>
      <w:r>
        <w:t xml:space="preserve"> </w:t>
      </w:r>
      <w:r>
        <w:t xml:space="preserve">alternative and it did not improve on the logit default for this recipe (S8).</w:t>
      </w:r>
    </w:p>
    <w:bookmarkEnd w:id="33"/>
    <w:bookmarkStart w:id="34" w:name="X894cd3ab2bc44c75cc91540e89b469506dbd543"/>
    <w:p>
      <w:pPr>
        <w:pStyle w:val="Heading2"/>
      </w:pPr>
      <w:r>
        <w:t xml:space="preserve">5.4 S5.4 Frequentist and Bayesian comparators</w:t>
      </w:r>
    </w:p>
    <w:p>
      <w:pPr>
        <w:pStyle w:val="FirstParagraph"/>
      </w:pPr>
      <w:r>
        <w:t xml:space="preserve">Ordinary least squares on up to eight top-correlated covariates and a</w:t>
      </w:r>
      <w:r>
        <w:t xml:space="preserve"> </w:t>
      </w:r>
      <w:r>
        <w:t xml:space="preserve">cross-validated elastic net, each evaluated on raw and logit scales, with a</w:t>
      </w:r>
      <w:r>
        <w:t xml:space="preserve"> </w:t>
      </w:r>
      <w:r>
        <w:t xml:space="preserve">country-mean floor. The Fay–Herriot area-level model uses auxiliary covariates</w:t>
      </w:r>
      <w:r>
        <w:t xml:space="preserve"> </w:t>
      </w:r>
      <w:r>
        <w:t xml:space="preserve">and known sampling variances; the BYM2 model is a Besag–York–Mollié</w:t>
      </w:r>
      <w:r>
        <w:t xml:space="preserve"> </w:t>
      </w:r>
      <w:r>
        <w:t xml:space="preserve">disease-mapping model fit by INLA, with adjacency built by Queen’s contiguity</w:t>
      </w:r>
      <w:r>
        <w:t xml:space="preserve"> </w:t>
      </w:r>
      <w:r>
        <w:t xml:space="preserve">and made block-diagonal across training countries for leave-one-country-out</w:t>
      </w:r>
      <w:r>
        <w:t xml:space="preserve"> </w:t>
      </w:r>
      <w:r>
        <w:t xml:space="preserve">evaluation. Both now reject degenerate design standard errors — any value below</w:t>
      </w:r>
      <w:r>
        <w:t xml:space="preserve"> </w:t>
      </w:r>
      <m:oMath>
        <m:r>
          <m:t>0.25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replaced — because most districts contain a single primary</w:t>
      </w:r>
      <w:r>
        <w:t xml:space="preserve"> </w:t>
      </w:r>
      <w:r>
        <w:t xml:space="preserve">sampling unit, which collapses the design standard error to approximately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and would otherwise be treated as near-perfect precision.</w:t>
      </w:r>
    </w:p>
    <w:bookmarkEnd w:id="34"/>
    <w:bookmarkStart w:id="35" w:name="s5.5-transportability-aware-comparators"/>
    <w:p>
      <w:pPr>
        <w:pStyle w:val="Heading2"/>
      </w:pPr>
      <w:r>
        <w:t xml:space="preserve">5.5 S5.5 Transportability-aware comparators</w:t>
      </w:r>
    </w:p>
    <w:p>
      <w:pPr>
        <w:pStyle w:val="FirstParagraph"/>
      </w:pPr>
      <w:r>
        <w:t xml:space="preserve">A country random-intercept model whose held-out predictions use the marginal</w:t>
      </w:r>
      <w:r>
        <w:t xml:space="preserve"> </w:t>
      </w:r>
      <w:r>
        <w:t xml:space="preserve">mean; a two-stage model predicting a country mean plus a within-country</w:t>
      </w:r>
      <w:r>
        <w:t xml:space="preserve"> </w:t>
      </w:r>
      <w:r>
        <w:t xml:space="preserve">deviation; forward selection maximising average leave-one-training-country-out</w:t>
      </w:r>
      <w:r>
        <w:t xml:space="preserve"> </w:t>
      </w:r>
      <w:r>
        <w:t xml:space="preserve">correlation; a thin-plate spatial GAM on centroids; a group lasso over whole</w:t>
      </w:r>
      <w:r>
        <w:t xml:space="preserve"> </w:t>
      </w:r>
      <w:r>
        <w:t xml:space="preserve">domains; and a stacked ensemble with country-disjoint folds.</w:t>
      </w:r>
    </w:p>
    <w:p>
      <w:pPr>
        <w:pStyle w:val="BodyText"/>
      </w:pPr>
      <w:r>
        <w:rPr>
          <w:b/>
          <w:bCs/>
        </w:rPr>
        <w:t xml:space="preserve">Transport target.</w:t>
      </w:r>
      <w:r>
        <w:t xml:space="preserve"> </w:t>
      </w:r>
      <w:r>
        <w:t xml:space="preserve">Because district ranking transports across borders while</w:t>
      </w:r>
      <w:r>
        <w:t xml:space="preserve"> </w:t>
      </w:r>
      <w:r>
        <w:t xml:space="preserve">the absolute level does not, the transport recipe supports fitting the</w:t>
      </w:r>
      <w:r>
        <w:t xml:space="preserve"> </w:t>
      </w:r>
      <w:r>
        <w:t xml:space="preserve">within-country z-score of the transformed prevalence, which makes both the</w:t>
      </w:r>
      <w:r>
        <w:t xml:space="preserve"> </w:t>
      </w:r>
      <w:r>
        <w:t xml:space="preserve">between-country level and spread structurally unlearnable so the model carries</w:t>
      </w:r>
      <w:r>
        <w:t xml:space="preserve"> </w:t>
      </w:r>
      <w:r>
        <w:t xml:space="preserve">only spatial pattern; both are restored at prediction time from an anchor. See</w:t>
      </w:r>
      <w:r>
        <w:t xml:space="preserve"> </w:t>
      </w:r>
      <w:r>
        <w:t xml:space="preserve">S8 for the measured effect and for the version of this idea that fails.</w:t>
      </w:r>
    </w:p>
    <w:bookmarkEnd w:id="35"/>
    <w:bookmarkStart w:id="36" w:name="Xef18e5a2c039b97de50ea3cdea55113ead240ae"/>
    <w:p>
      <w:pPr>
        <w:pStyle w:val="Heading2"/>
      </w:pPr>
      <w:r>
        <w:t xml:space="preserve">5.6 S5.6 Post-hoc calibration, feature augmentation, and intervals</w:t>
      </w:r>
    </w:p>
    <w:p>
      <w:pPr>
        <w:pStyle w:val="FirstParagraph"/>
      </w:pPr>
      <w:r>
        <w:t xml:space="preserve">Binary probabilities are recalibrated by Platt scaling, out-of-fold in the</w:t>
      </w:r>
      <w:r>
        <w:t xml:space="preserve"> </w:t>
      </w:r>
      <w:r>
        <w:t xml:space="preserve">corrected analysis. Outcome-aware feature augmentation adds a small number of</w:t>
      </w:r>
      <w:r>
        <w:t xml:space="preserve"> </w:t>
      </w:r>
      <w:r>
        <w:t xml:space="preserve">biologically motivated interactions before transport fitting. Uncertainty on</w:t>
      </w:r>
      <w:r>
        <w:t xml:space="preserve"> </w:t>
      </w:r>
      <w:r>
        <w:t xml:space="preserve">transport correlations is characterised by resampling admin-2 polygons within</w:t>
      </w:r>
      <w:r>
        <w:t xml:space="preserve"> </w:t>
      </w:r>
      <w:r>
        <w:t xml:space="preserve">each held-out country (1,000 bootstrap replicates).</w:t>
      </w:r>
    </w:p>
    <w:bookmarkEnd w:id="36"/>
    <w:bookmarkEnd w:id="37"/>
    <w:bookmarkStart w:id="38" w:name="X5108bd66f44b99827f14ff64625c11495c9c30f"/>
    <w:p>
      <w:pPr>
        <w:pStyle w:val="Heading1"/>
      </w:pPr>
      <w:r>
        <w:t xml:space="preserve">6. S6. The corrected (P1–P8) methods: the analysis of record</w:t>
      </w:r>
    </w:p>
    <w:p>
      <w:pPr>
        <w:pStyle w:val="FirstParagraph"/>
      </w:pPr>
      <w:r>
        <w:t xml:space="preserve">Initial benchmarking showed that an analysis at this scale can overstate its own</w:t>
      </w:r>
      <w:r>
        <w:t xml:space="preserve"> </w:t>
      </w:r>
      <w:r>
        <w:t xml:space="preserve">performance through subtle leakage and optimistic evaluation. The corrected</w:t>
      </w:r>
      <w:r>
        <w:t xml:space="preserve"> </w:t>
      </w:r>
      <w:r>
        <w:t xml:space="preserve">methods address eight such issues and are the analysis of record.</w:t>
      </w:r>
    </w:p>
    <w:p>
      <w:pPr>
        <w:pStyle w:val="BodyText"/>
      </w:pPr>
      <w:r>
        <w:rPr>
          <w:b/>
          <w:bCs/>
        </w:rPr>
        <w:t xml:space="preserve">P1</w:t>
      </w:r>
      <w:r>
        <w:t xml:space="preserve"> </w:t>
      </w:r>
      <w:r>
        <w:t xml:space="preserve">Leakage-free fitting: all preprocessing inside training folds only, with</w:t>
      </w:r>
      <w:r>
        <w:t xml:space="preserve"> </w:t>
      </w:r>
      <w:r>
        <w:t xml:space="preserve">folds formed by survey cluster and, separately, by spatial region.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Out-of-fold calibration.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Decision-value targeting: reach and lift at the</w:t>
      </w:r>
      <w:r>
        <w:t xml:space="preserve"> </w:t>
      </w:r>
      <w:r>
        <w:t xml:space="preserve">top 20% of districts.</w:t>
      </w:r>
      <w:r>
        <w:t xml:space="preserve"> </w:t>
      </w:r>
      <w:r>
        <w:rPr>
          <w:b/>
          <w:bCs/>
        </w:rPr>
        <w:t xml:space="preserve">P4</w:t>
      </w:r>
      <w:r>
        <w:t xml:space="preserve"> </w:t>
      </w:r>
      <w:r>
        <w:t xml:space="preserve">Split-conformal prediction intervals with a</w:t>
      </w:r>
      <w:r>
        <w:t xml:space="preserve"> </w:t>
      </w:r>
      <w:r>
        <w:t xml:space="preserve">finite-sample correction.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Sampling-error-aware error decomposition.</w:t>
      </w:r>
      <w:r>
        <w:t xml:space="preserve"> </w:t>
      </w:r>
      <w:r>
        <w:rPr>
          <w:b/>
          <w:bCs/>
        </w:rPr>
        <w:t xml:space="preserve">P6</w:t>
      </w:r>
      <w:r>
        <w:t xml:space="preserve"> </w:t>
      </w:r>
      <w:r>
        <w:t xml:space="preserve">Out-of-support trust flags driving the dashboard’s certainty layer.</w:t>
      </w:r>
      <w:r>
        <w:t xml:space="preserve"> </w:t>
      </w:r>
      <w:r>
        <w:rPr>
          <w:b/>
          <w:bCs/>
        </w:rPr>
        <w:t xml:space="preserve">P7</w:t>
      </w:r>
      <w:r>
        <w:t xml:space="preserve"> </w:t>
      </w:r>
      <w:r>
        <w:t xml:space="preserve">Partial-pooling empirical-Bayes estimator.</w:t>
      </w:r>
      <w:r>
        <w:t xml:space="preserve"> </w:t>
      </w:r>
      <w:r>
        <w:rPr>
          <w:b/>
          <w:bCs/>
        </w:rPr>
        <w:t xml:space="preserve">P8</w:t>
      </w:r>
      <w:r>
        <w:t xml:space="preserve"> </w:t>
      </w:r>
      <w:r>
        <w:t xml:space="preserve">Join and centring</w:t>
      </w:r>
      <w:r>
        <w:t xml:space="preserve"> </w:t>
      </w:r>
      <w:r>
        <w:t xml:space="preserve">fixes by construction.</w:t>
      </w:r>
    </w:p>
    <w:bookmarkEnd w:id="38"/>
    <w:bookmarkStart w:id="39" w:name="s7.-assessment-of-predictive-accuracy"/>
    <w:p>
      <w:pPr>
        <w:pStyle w:val="Heading1"/>
      </w:pPr>
      <w:r>
        <w:t xml:space="preserve">7. S7. Assessment of predictive accuracy</w:t>
      </w:r>
    </w:p>
    <w:p>
      <w:pPr>
        <w:pStyle w:val="FirstParagraph"/>
      </w:pPr>
      <w:r>
        <w:t xml:space="preserve">Within-country accuracy is estimated by cross-validation on each country’s</w:t>
      </w:r>
      <w:r>
        <w:t xml:space="preserve"> </w:t>
      </w:r>
      <w:r>
        <w:t xml:space="preserve">admin-2 set, with metrics computed on out-of-fold predictions only.</w:t>
      </w:r>
      <w:r>
        <w:t xml:space="preserve"> </w:t>
      </w:r>
      <w:r>
        <w:t xml:space="preserve">Cross-country transportability is assessed by leave-one-country-out holdout.</w:t>
      </w:r>
    </w:p>
    <w:p>
      <w:pPr>
        <w:pStyle w:val="BodyText"/>
      </w:pPr>
      <w:r>
        <w:t xml:space="preserve">Metrics for the area-level task: Pearson and Spearman correlation (spatial</w:t>
      </w:r>
      <w:r>
        <w:t xml:space="preserve"> </w:t>
      </w:r>
      <w:r>
        <w:t xml:space="preserve">ranking), mean absolute and root-mean-squared error in percentage points, mean</w:t>
      </w:r>
      <w:r>
        <w:t xml:space="preserve"> </w:t>
      </w:r>
      <w:r>
        <w:t xml:space="preserve">bias, and calibration slope. For binary classifiers: ROC AUC, Brier score and</w:t>
      </w:r>
      <w:r>
        <w:t xml:space="preserve"> </w:t>
      </w:r>
      <w:r>
        <w:t xml:space="preserve">skill, calibration error, intercept and slope. The corrected analysis adds</w:t>
      </w:r>
      <w:r>
        <w:t xml:space="preserve"> </w:t>
      </w:r>
      <w:r>
        <w:t xml:space="preserve">sampling-adjusted RMSE, conformal coverage, and decision value.</w:t>
      </w:r>
    </w:p>
    <w:p>
      <w:pPr>
        <w:pStyle w:val="BodyText"/>
      </w:pPr>
      <w:r>
        <w:rPr>
          <w:b/>
          <w:bCs/>
        </w:rPr>
        <w:t xml:space="preserve">Reliability ceiling.</w:t>
      </w:r>
      <w:r>
        <w:t xml:space="preserve"> </w:t>
      </w:r>
      <w:r>
        <w:t xml:space="preserve">Because a median admin-2 district contributes only</w:t>
      </w:r>
      <w:r>
        <w:t xml:space="preserve"> </w:t>
      </w:r>
      <w:r>
        <w:t xml:space="preserve">6–36 biomarker measurements, every correlation is reported against an estimated</w:t>
      </w:r>
      <w:r>
        <w:t xml:space="preserve"> </w:t>
      </w:r>
      <w:r>
        <w:t xml:space="preserve">ceiling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derived from a design-based sampling-noise decomposition,</w:t>
      </w:r>
      <w:r>
        <w:t xml:space="preserve"> </w:t>
      </w:r>
      <w:r>
        <w:t xml:space="preserve">together with the share of that ceiling attained.</w:t>
      </w:r>
    </w:p>
    <w:bookmarkEnd w:id="39"/>
    <w:bookmarkStart w:id="40" w:name="s8.-sensitivity-analyses"/>
    <w:p>
      <w:pPr>
        <w:pStyle w:val="Heading1"/>
      </w:pPr>
      <w:r>
        <w:t xml:space="preserve">8. S8. Sensitivity analyses</w:t>
      </w:r>
    </w:p>
    <w:p>
      <w:pPr>
        <w:pStyle w:val="FirstParagraph"/>
      </w:pPr>
      <w:r>
        <w:t xml:space="preserve">Individual-level versus area-level fitting; loss function and scale; outcome</w:t>
      </w:r>
      <w:r>
        <w:t xml:space="preserve"> </w:t>
      </w:r>
      <w:r>
        <w:t xml:space="preserve">harmonisation for folate; admin-3 resolution for Sierra Leone; raw versus</w:t>
      </w:r>
      <w:r>
        <w:t xml:space="preserve"> </w:t>
      </w:r>
      <w:r>
        <w:t xml:space="preserve">recalibrated classifiers; corrected versus production pipeline; predictor-set</w:t>
      </w:r>
      <w:r>
        <w:t xml:space="preserve"> </w:t>
      </w:r>
      <w:r>
        <w:t xml:space="preserve">restrictions; and an all-methods comparison on child iron. In addition:</w:t>
      </w:r>
    </w:p>
    <w:p>
      <w:pPr>
        <w:pStyle w:val="BodyText"/>
      </w:pPr>
      <w:r>
        <w:rPr>
          <w:b/>
          <w:bCs/>
        </w:rPr>
        <w:t xml:space="preserve">Selection optimism.</w:t>
      </w:r>
      <w:r>
        <w:t xml:space="preserve"> </w:t>
      </w:r>
      <w:r>
        <w:t xml:space="preserve">Two otherwise identical pipelines, both cross-validated</w:t>
      </w:r>
      <w:r>
        <w:t xml:space="preserve"> </w:t>
      </w:r>
      <w:r>
        <w:t xml:space="preserve">by holding out whole regions and differing only in whether the covariate screen</w:t>
      </w:r>
      <w:r>
        <w:t xml:space="preserve"> </w:t>
      </w:r>
      <w:r>
        <w:t xml:space="preserve">saw the held-out regions, differ by a mean of</w:t>
      </w:r>
      <w:r>
        <w:t xml:space="preserve"> </w:t>
      </w:r>
      <w:r>
        <w:rPr>
          <w:b/>
          <w:bCs/>
        </w:rPr>
        <w:t xml:space="preserve">+0.182</w:t>
      </w:r>
      <w:r>
        <w:t xml:space="preserve"> </w:t>
      </w:r>
      <w:r>
        <w:t xml:space="preserve">in rank correlation,</w:t>
      </w:r>
      <w:r>
        <w:t xml:space="preserve"> </w:t>
      </w:r>
      <w:r>
        <w:t xml:space="preserve">positive in all 20 measurable cells and reaching +0.51. Analyses that screen</w:t>
      </w:r>
      <w:r>
        <w:t xml:space="preserve"> </w:t>
      </w:r>
      <w:r>
        <w:t xml:space="preserve">predictors on all data before cross-validating should be read with that</w:t>
      </w:r>
      <w:r>
        <w:t xml:space="preserve"> </w:t>
      </w:r>
      <w:r>
        <w:t xml:space="preserve">magnitude in mind.</w:t>
      </w:r>
    </w:p>
    <w:p>
      <w:pPr>
        <w:pStyle w:val="BodyText"/>
      </w:pPr>
      <w:r>
        <w:rPr>
          <w:b/>
          <w:bCs/>
        </w:rPr>
        <w:t xml:space="preserve">Bivariate association with FDR control.</w:t>
      </w:r>
      <w:r>
        <w:t xml:space="preserve"> </w:t>
      </w:r>
      <w:r>
        <w:t xml:space="preserve">Every harmonised predictor was</w:t>
      </w:r>
      <w:r>
        <w:t xml:space="preserve"> </w:t>
      </w:r>
      <w:r>
        <w:t xml:space="preserve">tested against district prevalence in every cell (7,104 tests) under a naive</w:t>
      </w:r>
      <w:r>
        <w:t xml:space="preserve"> </w:t>
      </w:r>
      <w:r>
        <w:t xml:space="preserve">null and a restricted permutation that shuffles within admin-1 regions. Naive</w:t>
      </w:r>
      <w:r>
        <w:t xml:space="preserve"> </w:t>
      </w:r>
      <w:r>
        <w:t xml:space="preserve">testing gives 3.4-fold enrichment over chance and 310 survivors of</w:t>
      </w:r>
      <w:r>
        <w:t xml:space="preserve"> </w:t>
      </w:r>
      <w:r>
        <w:t xml:space="preserve">Benjamini–Hochberg control; the spatially restricted null gives 1.5-fold and</w:t>
      </w:r>
      <w:r>
        <w:t xml:space="preserve"> </w:t>
      </w:r>
      <w:r>
        <w:rPr>
          <w:b/>
          <w:bCs/>
        </w:rPr>
        <w:t xml:space="preserve">no predictor survives FDR control in any cell</w:t>
      </w:r>
      <w:r>
        <w:t xml:space="preserve">. Elastic net at a</w:t>
      </w:r>
      <w:r>
        <w:t xml:space="preserve"> </w:t>
      </w:r>
      <w:r>
        <w:t xml:space="preserve">cross-validated penalty retains a median of zero predictors, with 13 of 18 cells</w:t>
      </w:r>
      <w:r>
        <w:t xml:space="preserve"> </w:t>
      </w:r>
      <w:r>
        <w:t xml:space="preserve">retaining none.</w:t>
      </w:r>
    </w:p>
    <w:p>
      <w:pPr>
        <w:pStyle w:val="BodyText"/>
      </w:pPr>
      <w:r>
        <w:rPr>
          <w:b/>
          <w:bCs/>
        </w:rPr>
        <w:t xml:space="preserve">Geographic resolution.</w:t>
      </w:r>
      <w:r>
        <w:t xml:space="preserve"> </w:t>
      </w:r>
      <w:r>
        <w:t xml:space="preserve">The same three arms — null, spatial smoother,</w:t>
      </w:r>
      <w:r>
        <w:t xml:space="preserve"> </w:t>
      </w:r>
      <w:r>
        <w:t xml:space="preserve">covariate ensemble — were run through identical leave-one-unit-out folds at</w:t>
      </w:r>
      <w:r>
        <w:t xml:space="preserve"> </w:t>
      </w:r>
      <w:r>
        <w:t xml:space="preserve">admin-2 and admin-1. At admin-2 the covariate ensemble and the spatial smoother</w:t>
      </w:r>
      <w:r>
        <w:t xml:space="preserve"> </w:t>
      </w:r>
      <w:r>
        <w:t xml:space="preserve">are indistinguishable (</w:t>
      </w:r>
      <m:oMath>
        <m:r>
          <m:t>r</m:t>
        </m:r>
      </m:oMath>
      <w:r>
        <w:t xml:space="preserve"> </w:t>
      </w:r>
      <w:r>
        <w:t xml:space="preserve">0.156 vs 0.137) and the smoother has the lower error;</w:t>
      </w:r>
      <w:r>
        <w:t xml:space="preserve"> </w:t>
      </w:r>
      <w:r>
        <w:t xml:space="preserve">at admin-1 the ensemble roughly triples its correlation (0.437 vs 0.209). A</w:t>
      </w:r>
      <w:r>
        <w:t xml:space="preserve"> </w:t>
      </w:r>
      <w:r>
        <w:t xml:space="preserve">hybrid selecting the unit a priori from region count reaches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0.304 across</w:t>
      </w:r>
      <w:r>
        <w:t xml:space="preserve"> </w:t>
      </w:r>
      <w:r>
        <w:t xml:space="preserve">all four countries. Classifying districts into WHO severity categories for child</w:t>
      </w:r>
      <w:r>
        <w:t xml:space="preserve"> </w:t>
      </w:r>
      <w:r>
        <w:t xml:space="preserve">vitamin A, the covariate model is correct 33% of the time at admin-2 against 32%</w:t>
      </w:r>
      <w:r>
        <w:t xml:space="preserve"> </w:t>
      </w:r>
      <w:r>
        <w:t xml:space="preserve">for assigning every district the national prevalence; at admin-1 the comparison</w:t>
      </w:r>
      <w:r>
        <w:t xml:space="preserve"> </w:t>
      </w:r>
      <w:r>
        <w:t xml:space="preserve">is 56% against 35%.</w:t>
      </w:r>
    </w:p>
    <w:p>
      <w:pPr>
        <w:pStyle w:val="BodyText"/>
      </w:pPr>
      <w:r>
        <w:rPr>
          <w:b/>
          <w:bCs/>
        </w:rPr>
        <w:t xml:space="preserve">Continuous versus binary outcome.</w:t>
      </w:r>
      <w:r>
        <w:t xml:space="preserve"> </w:t>
      </w:r>
      <w:r>
        <w:t xml:space="preserve">Modelling the district mean of the log</w:t>
      </w:r>
      <w:r>
        <w:t xml:space="preserve"> </w:t>
      </w:r>
      <w:r>
        <w:t xml:space="preserve">biomarker and converting to prevalence gave 10.80 pp mean absolute error against</w:t>
      </w:r>
      <w:r>
        <w:t xml:space="preserve"> </w:t>
      </w:r>
      <w:r>
        <w:t xml:space="preserve">9.40 pp for the binary model. An arm converting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district mean</w:t>
      </w:r>
      <w:r>
        <w:t xml:space="preserve"> </w:t>
      </w:r>
      <w:r>
        <w:t xml:space="preserve">through the same transformation — performing no prediction — reached 7.49 pp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0.672</m:t>
        </m:r>
      </m:oMath>
      <w:r>
        <w:t xml:space="preserve">, beating every other arm including the null, which locates the</w:t>
      </w:r>
      <w:r>
        <w:t xml:space="preserve"> </w:t>
      </w:r>
      <w:r>
        <w:t xml:space="preserve">deficit in predicting the mean rather than in the conversion. Below 5%</w:t>
      </w:r>
      <w:r>
        <w:t xml:space="preserve"> </w:t>
      </w:r>
      <w:r>
        <w:t xml:space="preserve">prevalence the continuous route reduced error from 4.61 to 2.99 pp, though that</w:t>
      </w:r>
      <w:r>
        <w:t xml:space="preserve"> </w:t>
      </w:r>
      <w:r>
        <w:t xml:space="preserve">average is dominated by one cell in which the binary model produced a 7.67 pp</w:t>
      </w:r>
      <w:r>
        <w:t xml:space="preserve"> </w:t>
      </w:r>
      <w:r>
        <w:t xml:space="preserve">error on a 0.61% outcome.</w:t>
      </w:r>
    </w:p>
    <w:p>
      <w:pPr>
        <w:pStyle w:val="BodyText"/>
      </w:pPr>
      <w:r>
        <w:rPr>
          <w:b/>
          <w:bCs/>
        </w:rPr>
        <w:t xml:space="preserve">Transport target.</w:t>
      </w:r>
      <w:r>
        <w:t xml:space="preserve"> </w:t>
      </w:r>
      <w:r>
        <w:t xml:space="preserve">Fitting each district’s deviation from its own country’s</w:t>
      </w:r>
      <w:r>
        <w:t xml:space="preserve"> </w:t>
      </w:r>
      <w:r>
        <w:t xml:space="preserve">national prevalence does not help (rank correlation 0.201 to 0.140), and an arm</w:t>
      </w:r>
      <w:r>
        <w:t xml:space="preserve"> </w:t>
      </w:r>
      <w:r>
        <w:t xml:space="preserve">predicting the national figure for every district with no covariates achieved</w:t>
      </w:r>
      <w:r>
        <w:t xml:space="preserve"> </w:t>
      </w:r>
      <w:r>
        <w:t xml:space="preserve">lower error than any covariate arm. Removing the between-country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as</w:t>
      </w:r>
      <w:r>
        <w:t xml:space="preserve"> </w:t>
      </w:r>
      <w:r>
        <w:t xml:space="preserve">well — fitting the within-country z-score — raises mean Spearman from 0.146 to</w:t>
      </w:r>
      <w:r>
        <w:t xml:space="preserve"> </w:t>
      </w:r>
      <w:r>
        <w:t xml:space="preserve">0.199, better in 3 of 4 outcomes. The accompanying error and bias gains derive</w:t>
      </w:r>
      <w:r>
        <w:t xml:space="preserve"> </w:t>
      </w:r>
      <w:r>
        <w:t xml:space="preserve">mostly from the anchor rather than from the model and should not be quoted</w:t>
      </w:r>
      <w:r>
        <w:t xml:space="preserve"> </w:t>
      </w:r>
      <w:r>
        <w:t xml:space="preserve">together with the rank gain.</w:t>
      </w:r>
    </w:p>
    <w:p>
      <w:pPr>
        <w:pStyle w:val="BodyText"/>
      </w:pPr>
      <w:r>
        <w:rPr>
          <w:b/>
          <w:bCs/>
        </w:rPr>
        <w:t xml:space="preserve">Changes that did not replicate.</w:t>
      </w:r>
      <w:r>
        <w:t xml:space="preserve"> </w:t>
      </w:r>
      <w:r>
        <w:t xml:space="preserve">Fitting on the raw rather than clamped logit</w:t>
      </w:r>
      <w:r>
        <w:t xml:space="preserve"> </w:t>
      </w:r>
      <w:r>
        <w:t xml:space="preserve">scale gave −0.020 mean Spearman, and adding centroid coordinates to the</w:t>
      </w:r>
      <w:r>
        <w:t xml:space="preserve"> </w:t>
      </w:r>
      <w:r>
        <w:t xml:space="preserve">predictor set gave 0.000, against +0.048 and +0.063 reported in earlier</w:t>
      </w:r>
      <w:r>
        <w:t xml:space="preserve"> </w:t>
      </w:r>
      <w:r>
        <w:t xml:space="preserve">exploratory work on a smaller covariate set. Both are reported as negative</w:t>
      </w:r>
      <w:r>
        <w:t xml:space="preserve"> </w:t>
      </w:r>
      <w:r>
        <w:t xml:space="preserve">results and both capabilities are retained in the code.</w:t>
      </w:r>
    </w:p>
    <w:bookmarkEnd w:id="40"/>
    <w:bookmarkStart w:id="41" w:name="s9.-reproducibility"/>
    <w:p>
      <w:pPr>
        <w:pStyle w:val="Heading1"/>
      </w:pPr>
      <w:r>
        <w:t xml:space="preserve">9. S9. Reproducibility</w:t>
      </w:r>
    </w:p>
    <w:p>
      <w:pPr>
        <w:pStyle w:val="FirstParagraph"/>
      </w:pPr>
      <w:r>
        <w:t xml:space="preserve">The analysis is a single dependency-aware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that builds the</w:t>
      </w:r>
      <w:r>
        <w:t xml:space="preserve"> </w:t>
      </w:r>
      <w:r>
        <w:t xml:space="preserve">data tables, fits every model, runs the corrected methods, computes all metrics,</w:t>
      </w:r>
      <w:r>
        <w:t xml:space="preserve"> </w:t>
      </w:r>
      <w:r>
        <w:t xml:space="preserve">and writes the result tables consumed by the manuscript, the appendix and the</w:t>
      </w:r>
      <w:r>
        <w:t xml:space="preserve"> </w:t>
      </w:r>
      <w:r>
        <w:t xml:space="preserve">dashboard. Corrected outputs are written to</w:t>
      </w:r>
      <w:r>
        <w:t xml:space="preserve"> </w:t>
      </w:r>
      <w:r>
        <w:rPr>
          <w:rStyle w:val="VerbatimChar"/>
        </w:rPr>
        <w:t xml:space="preserve">results/tables/corrected/</w:t>
      </w:r>
      <w:r>
        <w:t xml:space="preserve">.</w:t>
      </w:r>
    </w:p>
    <w:p>
      <w:pPr>
        <w:pStyle w:val="BodyText"/>
      </w:pPr>
      <w:r>
        <w:t xml:space="preserve">Configuration settings that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cannot observe — the covariate</w:t>
      </w:r>
      <w:r>
        <w:t xml:space="preserve"> </w:t>
      </w:r>
      <w:r>
        <w:t xml:space="preserve">vocabulary, benchmarking mode, and validation switches — are applied through</w:t>
      </w:r>
      <w:r>
        <w:t xml:space="preserve"> </w:t>
      </w:r>
      <w:r>
        <w:t xml:space="preserve">invalidation traps in</w:t>
      </w:r>
      <w:r>
        <w:t xml:space="preserve"> </w:t>
      </w:r>
      <w:r>
        <w:rPr>
          <w:rStyle w:val="VerbatimChar"/>
        </w:rPr>
        <w:t xml:space="preserve">scripts/_pipeline_setup.R</w:t>
      </w:r>
      <w:r>
        <w:t xml:space="preserve">, shared by every runner. A</w:t>
      </w:r>
      <w:r>
        <w:t xml:space="preserve"> </w:t>
      </w:r>
      <w:r>
        <w:t xml:space="preserve">runner that builds only a subset of the graph passes that subset as a scope, so</w:t>
      </w:r>
      <w:r>
        <w:t xml:space="preserve"> </w:t>
      </w:r>
      <w:r>
        <w:t xml:space="preserve">traps are applied only to targets the run will rebuild; applying them more</w:t>
      </w:r>
      <w:r>
        <w:t xml:space="preserve"> </w:t>
      </w:r>
      <w:r>
        <w:t xml:space="preserve">broadly deletes targets that the run then never restores.</w:t>
      </w:r>
    </w:p>
    <w:p>
      <w:pPr>
        <w:pStyle w:val="BodyText"/>
      </w:pPr>
      <w:r>
        <w:t xml:space="preserve">The 2026-08 methods-review audit that produced the reliability-ceiling</w:t>
      </w:r>
      <w:r>
        <w:t xml:space="preserve"> </w:t>
      </w:r>
      <w:r>
        <w:t xml:space="preserve">estimator, the uninformed baselines and the pre-resampling variable-selection</w:t>
      </w:r>
      <w:r>
        <w:t xml:space="preserve"> </w:t>
      </w:r>
      <w:r>
        <w:t xml:space="preserve">correction is documented in</w:t>
      </w:r>
      <w:r>
        <w:t xml:space="preserve"> </w:t>
      </w:r>
      <w:r>
        <w:rPr>
          <w:rStyle w:val="VerbatimChar"/>
        </w:rPr>
        <w:t xml:space="preserve">docs/parsimony_findings.md</w:t>
      </w:r>
      <w:r>
        <w:t xml:space="preserve">, with its scripts and</w:t>
      </w:r>
      <w:r>
        <w:t xml:space="preserve"> </w:t>
      </w:r>
      <w:r>
        <w:t xml:space="preserve">output archived under</w:t>
      </w:r>
      <w:r>
        <w:t xml:space="preserve"> </w:t>
      </w:r>
      <w:r>
        <w:rPr>
          <w:rStyle w:val="VerbatimChar"/>
        </w:rPr>
        <w:t xml:space="preserve">archive/sandbox_parsimony/</w:t>
      </w:r>
      <w:r>
        <w:t xml:space="preserve">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Appendix: Subnational micronutrient deficiency prediction in sub-Saharan Africa from proxy indicators</dc:title>
  <dc:creator>Andrew N. Mertens</dc:creator>
  <cp:keywords/>
  <dcterms:created xsi:type="dcterms:W3CDTF">2026-08-31T10:56:48Z</dcterms:created>
  <dcterms:modified xsi:type="dcterms:W3CDTF">2026-08-31T10:56:48Z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2026-08-31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bl-cap-location">
    <vt:lpwstr>top</vt:lpwstr>
  </property>
  <property fmtid="{D5CDD505-2E9C-101B-9397-08002B2CF9AE}" pid="12" name="toc-title">
    <vt:lpwstr>Table of contents</vt:lpwstr>
  </property>
</Properties>
</file>