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Subnational micronutrient deficiency prediction in sub-Saharan Africa from proxy indicators: a multi-country SuperLearner ensemble benchmarked against small-area-estimation methods</w:t>
      </w:r>
    </w:p>
    <w:p>
      <w:pPr>
        <w:pStyle w:val="Author"/>
      </w:pPr>
      <w:r>
        <w:t xml:space="preserve">Andrew N. Mertens</w:t>
      </w:r>
    </w:p>
    <w:p>
      <w:pPr>
        <w:pStyle w:val="Date"/>
      </w:pPr>
      <w:r>
        <w:t xml:space="preserve">2026-08-30</w:t>
      </w:r>
    </w:p>
    <w:p>
      <w:pPr>
        <w:pStyle w:val="AbstractTitle"/>
      </w:pPr>
      <w:r>
        <w:t xml:space="preserve">Abstract</w:t>
      </w:r>
    </w:p>
    <w:p>
      <w:pPr>
        <w:pStyle w:val="Abstract"/>
      </w:pPr>
      <w:r>
        <w:rPr>
          <w:b/>
          <w:bCs/>
        </w:rPr>
        <w:t xml:space="preserve">Background:</w:t>
      </w:r>
      <w:r>
        <w:t xml:space="preserve"> </w:t>
      </w:r>
      <w:r>
        <w:t xml:space="preserve">Subnational maps of micronutrient deficiency are central to</w:t>
      </w:r>
      <w:r>
        <w:t xml:space="preserve"> </w:t>
      </w:r>
      <w:r>
        <w:t xml:space="preserve">targeted nutrition programming, yet biomarker surveys remain scarce and</w:t>
      </w:r>
      <w:r>
        <w:t xml:space="preserve"> </w:t>
      </w:r>
      <w:r>
        <w:t xml:space="preserve">geographically uneven. We assessed whether ensemble machine-learning models</w:t>
      </w:r>
      <w:r>
        <w:t xml:space="preserve"> </w:t>
      </w:r>
      <w:r>
        <w:t xml:space="preserve">trained on harmonised Demographic and Health Surveys (DHS) and remote-sensing</w:t>
      </w:r>
      <w:r>
        <w:t xml:space="preserve"> </w:t>
      </w:r>
      <w:r>
        <w:t xml:space="preserve">predictors can reproduce admin-2 deficiency patterns and national prevalence</w:t>
      </w:r>
      <w:r>
        <w:t xml:space="preserve"> </w:t>
      </w:r>
      <w:r>
        <w:t xml:space="preserve">within and across four sub-Saharan African countries, whether they outperform</w:t>
      </w:r>
      <w:r>
        <w:t xml:space="preserve"> </w:t>
      </w:r>
      <w:r>
        <w:t xml:space="preserve">simple baselines and canonical small-area estimation (SAE) methods, and how</w:t>
      </w:r>
      <w:r>
        <w:t xml:space="preserve"> </w:t>
      </w:r>
      <w:r>
        <w:t xml:space="preserve">much of any shortfall is attributable to the deficiency outcome itself being</w:t>
      </w:r>
      <w:r>
        <w:t xml:space="preserve"> </w:t>
      </w:r>
      <w:r>
        <w:t xml:space="preserve">measured with too few biomarker samples per district to support fine-grained</w:t>
      </w:r>
      <w:r>
        <w:t xml:space="preserve"> </w:t>
      </w:r>
      <w:r>
        <w:t xml:space="preserve">prediction.</w:t>
      </w:r>
    </w:p>
    <w:p>
      <w:pPr>
        <w:pStyle w:val="Abstract"/>
      </w:pPr>
      <w:r>
        <w:rPr>
          <w:b/>
          <w:bCs/>
        </w:rPr>
        <w:t xml:space="preserve">Methods:</w:t>
      </w:r>
      <w:r>
        <w:t xml:space="preserve"> </w:t>
      </w:r>
      <w:r>
        <w:t xml:space="preserve">We harmonised individual-level DHS biomarker measurements for</w:t>
      </w:r>
      <w:r>
        <w:t xml:space="preserve"> </w:t>
      </w:r>
      <w:r>
        <w:t xml:space="preserve">iron, vitamin A, vitamin B12, folate, and zinc deficiency from Gambia (2018),</w:t>
      </w:r>
      <w:r>
        <w:t xml:space="preserve"> </w:t>
      </w:r>
      <w:r>
        <w:t xml:space="preserve">Ghana (2017), Sierra Leone (2013), and Malawi (2016), and combined them with</w:t>
      </w:r>
      <w:r>
        <w:t xml:space="preserve"> </w:t>
      </w:r>
      <w:r>
        <w:t xml:space="preserve">earth-observation aggregates at the</w:t>
      </w:r>
      <w:r>
        <w:t xml:space="preserve"> </w:t>
      </w:r>
      <w:r>
        <w:t xml:space="preserve">admin-2 polygon level (206 polygons pooled). Estimation strategies compared</w:t>
      </w:r>
      <w:r>
        <w:t xml:space="preserve"> </w:t>
      </w:r>
      <w:r>
        <w:t xml:space="preserve">at admin-2 included: individual-level SuperLearner (12 learners spanning</w:t>
      </w:r>
      <w:r>
        <w:t xml:space="preserve"> </w:t>
      </w:r>
      <w:r>
        <w:t xml:space="preserve">penalised regression, random forests, gradient boosting and BART) aggregated</w:t>
      </w:r>
      <w:r>
        <w:t xml:space="preserve"> </w:t>
      </w:r>
      <w:r>
        <w:t xml:space="preserve">to admin-2; an area-level SuperLearner fit directly on admin-2 aggregates; a</w:t>
      </w:r>
      <w:r>
        <w:t xml:space="preserve"> </w:t>
      </w:r>
      <w:r>
        <w:t xml:space="preserve">spatial-smoothing-only model with no covariates; a national-mean null; and,</w:t>
      </w:r>
      <w:r>
        <w:t xml:space="preserve"> </w:t>
      </w:r>
      <w:r>
        <w:t xml:space="preserve">across countries, 21 comparator methods spanning frequentist regressions,</w:t>
      </w:r>
      <w:r>
        <w:t xml:space="preserve"> </w:t>
      </w:r>
      <w:r>
        <w:t xml:space="preserve">Bayesian SAE (Fay–Herriot, BYM2/INLA), and spatial and invariance-based</w:t>
      </w:r>
      <w:r>
        <w:t xml:space="preserve"> </w:t>
      </w:r>
      <w:r>
        <w:t xml:space="preserve">transport methods. Because most admin-2 polygons contribute only 6–36</w:t>
      </w:r>
      <w:r>
        <w:t xml:space="preserve"> </w:t>
      </w:r>
      <w:r>
        <w:t xml:space="preserve">biomarker measurements, we additionally estimated a reliability ceiling for</w:t>
      </w:r>
      <w:r>
        <w:t xml:space="preserve"> </w:t>
      </w:r>
      <w:r>
        <w:t xml:space="preserve">each country–outcome cell — the maximum Pearson r any model could achieve</w:t>
      </w:r>
      <w:r>
        <w:t xml:space="preserve"> </w:t>
      </w:r>
      <w:r>
        <w:t xml:space="preserve">given survey sampling noise alone — and report observed performance as a</w:t>
      </w:r>
      <w:r>
        <w:t xml:space="preserve"> </w:t>
      </w:r>
      <w:r>
        <w:t xml:space="preserve">fraction of that ceiling. All approaches were evaluated within country by</w:t>
      </w:r>
      <w:r>
        <w:t xml:space="preserve"> </w:t>
      </w:r>
      <w:r>
        <w:t xml:space="preserve">k-fold cross-validation and across countries by leave-one-country-out (LOCO)</w:t>
      </w:r>
      <w:r>
        <w:t xml:space="preserve"> </w:t>
      </w:r>
      <w:r>
        <w:t xml:space="preserve">holdout.</w:t>
      </w:r>
    </w:p>
    <w:p>
      <w:pPr>
        <w:pStyle w:val="Abstract"/>
      </w:pPr>
      <w:r>
        <w:rPr>
          <w:b/>
          <w:bCs/>
        </w:rPr>
        <w:t xml:space="preserve">Results:</w:t>
      </w:r>
      <w:r>
        <w:t xml:space="preserve"> </w:t>
      </w:r>
      <w:r>
        <w:t xml:space="preserve">Individual-level prediction aggregated to admin-2 was the only</w:t>
      </w:r>
      <w:r>
        <w:t xml:space="preserve"> </w:t>
      </w:r>
      <w:r>
        <w:t xml:space="preserve">approach that clearly outperformed the national-mean null (median Pearson r</w:t>
      </w:r>
      <w:r>
        <w:t xml:space="preserve"> </w:t>
      </w:r>
      <w:r>
        <w:t xml:space="preserve">0.516 vs. a null MAE of 9.55 percentage points, reaching 8.55 pp; 92% of the</w:t>
      </w:r>
      <w:r>
        <w:t xml:space="preserve"> </w:t>
      </w:r>
      <w:r>
        <w:t xml:space="preserve">estimated reliability ceiling). Neither area-level SuperLearner variant</w:t>
      </w:r>
      <w:r>
        <w:t xml:space="preserve"> </w:t>
      </w:r>
      <w:r>
        <w:t xml:space="preserve">beat the null (MAE 9.31–9.84 pp vs. 9.55 pp), and a covariate-free spatial</w:t>
      </w:r>
      <w:r>
        <w:t xml:space="preserve"> </w:t>
      </w:r>
      <w:r>
        <w:t xml:space="preserve">smoother outperformed both (r 0.393 vs. 0.16–0.22). The reliability ceiling</w:t>
      </w:r>
      <w:r>
        <w:t xml:space="preserve"> </w:t>
      </w:r>
      <w:r>
        <w:t xml:space="preserve">itself was low (median r_max 0.098; 4 of 24 country–outcome cells had no</w:t>
      </w:r>
      <w:r>
        <w:t xml:space="preserve"> </w:t>
      </w:r>
      <w:r>
        <w:t xml:space="preserve">detectable signal above sampling noise), indicating that admin-2 is finer</w:t>
      </w:r>
      <w:r>
        <w:t xml:space="preserve"> </w:t>
      </w:r>
      <w:r>
        <w:t xml:space="preserve">than these surveys were powered to resolve, not that the models under-fit.</w:t>
      </w:r>
      <w:r>
        <w:t xml:space="preserve"> </w:t>
      </w:r>
      <w:r>
        <w:t xml:space="preserve">Cross-country (LOCO) transport remained the hardest problem: median Spearman</w:t>
      </w:r>
      <w:r>
        <w:t xml:space="preserve"> </w:t>
      </w:r>
      <w:r>
        <w:t xml:space="preserve">ρ was 0.06–0.30 across outcomes and the SuperLearner ensemble matched or beat</w:t>
      </w:r>
      <w:r>
        <w:t xml:space="preserve"> </w:t>
      </w:r>
      <w:r>
        <w:t xml:space="preserve">the best of 21 comparator methods on 0 of 16 evaluable holdouts; a</w:t>
      </w:r>
      <w:r>
        <w:t xml:space="preserve"> </w:t>
      </w:r>
      <w:r>
        <w:t xml:space="preserve">penalised regression achieved the lowest LOCO MAE (10.6 pp, vs. 11.1 pp for</w:t>
      </w:r>
      <w:r>
        <w:t xml:space="preserve"> </w:t>
      </w:r>
      <w:r>
        <w:t xml:space="preserve">the null) but with near-zero pattern correlation, while spatial-only methods</w:t>
      </w:r>
      <w:r>
        <w:t xml:space="preserve"> </w:t>
      </w:r>
      <w:r>
        <w:t xml:space="preserve">achieved the best pattern correlation (r up to 0.28) but worse absolute</w:t>
      </w:r>
      <w:r>
        <w:t xml:space="preserve"> </w:t>
      </w:r>
      <w:r>
        <w:t xml:space="preserve">error — level and pattern transported by different methods and neither</w:t>
      </w:r>
      <w:r>
        <w:t xml:space="preserve"> </w:t>
      </w:r>
      <w:r>
        <w:t xml:space="preserve">transported well. By contrast, national-level aggregation was accurate</w:t>
      </w:r>
      <w:r>
        <w:t xml:space="preserve"> </w:t>
      </w:r>
      <w:r>
        <w:t xml:space="preserve">throughout: predicted national prevalence fell within the survey’s own 95%</w:t>
      </w:r>
      <w:r>
        <w:t xml:space="preserve"> </w:t>
      </w:r>
      <w:r>
        <w:t xml:space="preserve">confidence interval for all 24 country–outcome combinations (median absolute</w:t>
      </w:r>
      <w:r>
        <w:t xml:space="preserve"> </w:t>
      </w:r>
      <w:r>
        <w:t xml:space="preserve">error 0.74 percentage points, 8.6% relative). Among predictor domains</w:t>
      </w:r>
      <w:r>
        <w:t xml:space="preserve"> </w:t>
      </w:r>
      <w:r>
        <w:t xml:space="preserve">available for a proxy-only model (i.e., excluding survey items unavailable</w:t>
      </w:r>
      <w:r>
        <w:t xml:space="preserve"> </w:t>
      </w:r>
      <w:r>
        <w:t xml:space="preserve">outside a biomarker survey), environment and climate variables carried the</w:t>
      </w:r>
      <w:r>
        <w:t xml:space="preserve"> </w:t>
      </w:r>
      <w:r>
        <w:t xml:space="preserve">most transportable signal (median AUC contribution 0.043 and 0.034), while</w:t>
      </w:r>
      <w:r>
        <w:t xml:space="preserve"> </w:t>
      </w:r>
      <w:r>
        <w:t xml:space="preserve">calibration of binary classifiers remained poor (median slope 0.44) and</w:t>
      </w:r>
      <w:r>
        <w:t xml:space="preserve"> </w:t>
      </w:r>
      <w:r>
        <w:t xml:space="preserve">required post-hoc correction.</w:t>
      </w:r>
    </w:p>
    <w:p>
      <w:pPr>
        <w:pStyle w:val="Abstract"/>
      </w:pPr>
      <w:r>
        <w:rPr>
          <w:b/>
          <w:bCs/>
        </w:rPr>
        <w:t xml:space="preserve">Conclusions:</w:t>
      </w:r>
      <w:r>
        <w:t xml:space="preserve"> </w:t>
      </w:r>
      <w:r>
        <w:t xml:space="preserve">Admin-2 prediction of micronutrient deficiency from proxy</w:t>
      </w:r>
      <w:r>
        <w:t xml:space="preserve"> </w:t>
      </w:r>
      <w:r>
        <w:t xml:space="preserve">indicators is constrained primarily by the reliability of the admin-2</w:t>
      </w:r>
      <w:r>
        <w:t xml:space="preserve"> </w:t>
      </w:r>
      <w:r>
        <w:t xml:space="preserve">biomarker target itself, not by model choice: these DHS surveys were powered</w:t>
      </w:r>
      <w:r>
        <w:t xml:space="preserve"> </w:t>
      </w:r>
      <w:r>
        <w:t xml:space="preserve">for national estimation, and most of the between-district variance at</w:t>
      </w:r>
      <w:r>
        <w:t xml:space="preserve"> </w:t>
      </w:r>
      <w:r>
        <w:t xml:space="preserve">admin-2 is sampling noise. Individual-level prediction aggregated to</w:t>
      </w:r>
      <w:r>
        <w:t xml:space="preserve"> </w:t>
      </w:r>
      <w:r>
        <w:t xml:space="preserve">admin-2 is the strongest tested approach and already captures most of the</w:t>
      </w:r>
      <w:r>
        <w:t xml:space="preserve"> </w:t>
      </w:r>
      <w:r>
        <w:t xml:space="preserve">achievable signal; area-level models fit directly on the small number of</w:t>
      </w:r>
      <w:r>
        <w:t xml:space="preserve"> </w:t>
      </w:r>
      <w:r>
        <w:t xml:space="preserve">administrative units do not outperform a national mean. National-level</w:t>
      </w:r>
      <w:r>
        <w:t xml:space="preserve"> </w:t>
      </w:r>
      <w:r>
        <w:t xml:space="preserve">estimates, in contrast, are recovered reliably and are the more defensible</w:t>
      </w:r>
      <w:r>
        <w:t xml:space="preserve"> </w:t>
      </w:r>
      <w:r>
        <w:t xml:space="preserve">deliverable for programming in the near term. Cross-country transport</w:t>
      </w:r>
      <w:r>
        <w:t xml:space="preserve"> </w:t>
      </w:r>
      <w:r>
        <w:t xml:space="preserve">remains unreliable, and any admin-2 or transported estimate should be</w:t>
      </w:r>
      <w:r>
        <w:t xml:space="preserve"> </w:t>
      </w:r>
      <w:r>
        <w:t xml:space="preserve">reported alongside its reliability ceiling and benchmarked against a</w:t>
      </w:r>
      <w:r>
        <w:t xml:space="preserve"> </w:t>
      </w:r>
      <w:r>
        <w:t xml:space="preserve">national-mean and spatial-only null before use in resource-allocation</w:t>
      </w:r>
      <w:r>
        <w:t xml:space="preserve"> </w:t>
      </w:r>
      <w:r>
        <w:t xml:space="preserve">decisions.</w:t>
      </w:r>
    </w:p>
    <w:bookmarkStart w:id="20" w:name="introduction"/>
    <w:p>
      <w:pPr>
        <w:pStyle w:val="Heading1"/>
      </w:pPr>
      <w:r>
        <w:t xml:space="preserve">1. Introduction</w:t>
      </w:r>
    </w:p>
    <w:p>
      <w:pPr>
        <w:pStyle w:val="FirstParagraph"/>
      </w:pPr>
      <w:r>
        <w:t xml:space="preserve">Micronutrient deficiencies remain a leading driver of preventable morbidity</w:t>
      </w:r>
      <w:r>
        <w:t xml:space="preserve"> </w:t>
      </w:r>
      <w:r>
        <w:t xml:space="preserve">and mortality among children and women in low- and middle-income countries,</w:t>
      </w:r>
      <w:r>
        <w:t xml:space="preserve"> </w:t>
      </w:r>
      <w:r>
        <w:t xml:space="preserve">contributing to anaemia, impaired growth, immune dysfunction and adverse</w:t>
      </w:r>
      <w:r>
        <w:t xml:space="preserve"> </w:t>
      </w:r>
      <w:r>
        <w:t xml:space="preserve">pregnancy outcomes</w:t>
      </w:r>
      <w:r>
        <w:t xml:space="preserve"> </w:t>
      </w:r>
      <w:r>
        <w:t xml:space="preserve">(Stevens et al. 2022; World Health Organization 2021)</w:t>
      </w:r>
      <w:r>
        <w:t xml:space="preserve">. National</w:t>
      </w:r>
      <w:r>
        <w:t xml:space="preserve"> </w:t>
      </w:r>
      <w:r>
        <w:t xml:space="preserve">biomarker surveys conducted under the WHO Vitamin and Mineral Nutrition</w:t>
      </w:r>
      <w:r>
        <w:t xml:space="preserve"> </w:t>
      </w:r>
      <w:r>
        <w:t xml:space="preserve">Information System (VMNIS)</w:t>
      </w:r>
      <w:r>
        <w:t xml:space="preserve"> </w:t>
      </w:r>
      <w:r>
        <w:t xml:space="preserve">(World Health Organization 2023)</w:t>
      </w:r>
      <w:r>
        <w:t xml:space="preserve"> </w:t>
      </w:r>
      <w:r>
        <w:t xml:space="preserve">and the BRINDA pooled analyses</w:t>
      </w:r>
      <w:r>
        <w:t xml:space="preserve"> </w:t>
      </w:r>
      <w:r>
        <w:t xml:space="preserve">(Suchdev et al. 2016)</w:t>
      </w:r>
      <w:r>
        <w:t xml:space="preserve"> </w:t>
      </w:r>
      <w:r>
        <w:t xml:space="preserve">document broad regional contrasts, but the spatial</w:t>
      </w:r>
      <w:r>
        <w:t xml:space="preserve"> </w:t>
      </w:r>
      <w:r>
        <w:t xml:space="preserve">resolution of these surveys is rarely finer than admin-1 (province) and is</w:t>
      </w:r>
      <w:r>
        <w:t xml:space="preserve"> </w:t>
      </w:r>
      <w:r>
        <w:t xml:space="preserve">absent in many countries entirely. Subnational geographic targeting of</w:t>
      </w:r>
      <w:r>
        <w:t xml:space="preserve"> </w:t>
      </w:r>
      <w:r>
        <w:t xml:space="preserve">fortification, supplementation and food-system programmes therefore relies</w:t>
      </w:r>
      <w:r>
        <w:t xml:space="preserve"> </w:t>
      </w:r>
      <w:r>
        <w:t xml:space="preserve">on indirect inference from sparse data.</w:t>
      </w:r>
    </w:p>
    <w:p>
      <w:pPr>
        <w:pStyle w:val="BodyText"/>
      </w:pPr>
      <w:r>
        <w:t xml:space="preserve">Two methodological traditions have attempted to fill this gap. The</w:t>
      </w:r>
      <w:r>
        <w:t xml:space="preserve"> </w:t>
      </w:r>
      <w:r>
        <w:t xml:space="preserve">small-area-estimation (SAE) literature, originating with the Fay–Herriot</w:t>
      </w:r>
      <w:r>
        <w:t xml:space="preserve"> </w:t>
      </w:r>
      <w:r>
        <w:t xml:space="preserve">mixed model</w:t>
      </w:r>
      <w:r>
        <w:t xml:space="preserve"> </w:t>
      </w:r>
      <w:r>
        <w:t xml:space="preserve">(Fay and Herriot 1979)</w:t>
      </w:r>
      <w:r>
        <w:t xml:space="preserve"> </w:t>
      </w:r>
      <w:r>
        <w:t xml:space="preserve">and developed for survey-derived admin-level</w:t>
      </w:r>
      <w:r>
        <w:t xml:space="preserve"> </w:t>
      </w:r>
      <w:r>
        <w:t xml:space="preserve">prevalence under the Bayesian disease-mapping framework</w:t>
      </w:r>
      <w:r>
        <w:t xml:space="preserve"> </w:t>
      </w:r>
      <w:r>
        <w:t xml:space="preserve">(Besag, York, and Mollié 1991; Mercer et al. 2015; Wakefield, Okonek, and Pedersen 2020; Riebler et al. 2016)</w:t>
      </w:r>
      <w:r>
        <w:t xml:space="preserve">, constructs structured spatial smoothers using</w:t>
      </w:r>
      <w:r>
        <w:t xml:space="preserve"> </w:t>
      </w:r>
      <w:r>
        <w:t xml:space="preserve">admin-polygon adjacency and known sampling variances. In parallel, ensemble</w:t>
      </w:r>
      <w:r>
        <w:t xml:space="preserve"> </w:t>
      </w:r>
      <w:r>
        <w:t xml:space="preserve">machine-learning approaches, including SuperLearner</w:t>
      </w:r>
      <w:r>
        <w:t xml:space="preserve"> </w:t>
      </w:r>
      <w:r>
        <w:t xml:space="preserve">(Laan, Polley, and Hubbard 2007)</w:t>
      </w:r>
      <w:r>
        <w:t xml:space="preserve"> </w:t>
      </w:r>
      <w:r>
        <w:t xml:space="preserve">and gradient-boosted tree models trained on satellite-derived covariates,</w:t>
      </w:r>
      <w:r>
        <w:t xml:space="preserve"> </w:t>
      </w:r>
      <w:r>
        <w:t xml:space="preserve">have produced high-resolution maps of indirect indicators of nutritional</w:t>
      </w:r>
      <w:r>
        <w:t xml:space="preserve"> </w:t>
      </w:r>
      <w:r>
        <w:t xml:space="preserve">status</w:t>
      </w:r>
      <w:r>
        <w:t xml:space="preserve"> </w:t>
      </w:r>
      <w:r>
        <w:t xml:space="preserve">(Osgood-Zimmerman et al. 2018; Local Burden of Disease Child Growth Failure Collaborators 2020)</w:t>
      </w:r>
      <w:r>
        <w:t xml:space="preserve">. These two traditions</w:t>
      </w:r>
      <w:r>
        <w:t xml:space="preserve"> </w:t>
      </w:r>
      <w:r>
        <w:t xml:space="preserve">have rarely been compared head-to-head on the same biomarker datasets at</w:t>
      </w:r>
      <w:r>
        <w:t xml:space="preserve"> </w:t>
      </w:r>
      <w:r>
        <w:t xml:space="preserve">the same geographic scale.</w:t>
      </w:r>
    </w:p>
    <w:p>
      <w:pPr>
        <w:pStyle w:val="BodyText"/>
      </w:pPr>
      <w:r>
        <w:t xml:space="preserve">Two questions about this approach remain unresolved. First, when a model</w:t>
      </w:r>
      <w:r>
        <w:t xml:space="preserve"> </w:t>
      </w:r>
      <w:r>
        <w:t xml:space="preserve">is trained at the individual level and aggregated to admin-2, do its</w:t>
      </w:r>
      <w:r>
        <w:t xml:space="preserve"> </w:t>
      </w:r>
      <w:r>
        <w:t xml:space="preserve">admin-2 estimates align with survey-weighted admin-2 prevalence — or does</w:t>
      </w:r>
      <w:r>
        <w:t xml:space="preserve"> </w:t>
      </w:r>
      <w:r>
        <w:t xml:space="preserve">the aggregation step introduce systematic bias? Second, when a model is</w:t>
      </w:r>
      <w:r>
        <w:t xml:space="preserve"> </w:t>
      </w:r>
      <w:r>
        <w:t xml:space="preserve">trained on a set of countries with biomarker data, do its predictions</w:t>
      </w:r>
      <w:r>
        <w:t xml:space="preserve"> </w:t>
      </w:r>
      <w:r>
        <w:t xml:space="preserve">transport to a held-out country with similar covariates? The</w:t>
      </w:r>
      <w:r>
        <w:t xml:space="preserve"> </w:t>
      </w:r>
      <w:r>
        <w:t xml:space="preserve">small-area-estimation literature has long recommended fitting at the</w:t>
      </w:r>
      <w:r>
        <w:t xml:space="preserve"> </w:t>
      </w:r>
      <w:r>
        <w:t xml:space="preserve">unit of deliverable: if the output is an admin-2 map, fit at admin-2; if</w:t>
      </w:r>
      <w:r>
        <w:t xml:space="preserve"> </w:t>
      </w:r>
      <w:r>
        <w:t xml:space="preserve">the output is household-level risk, fit at the individual level</w:t>
      </w:r>
      <w:r>
        <w:t xml:space="preserve"> </w:t>
      </w:r>
      <w:r>
        <w:t xml:space="preserve">(Mercer et al. 2015; Wakefield, Okonek, and Pedersen 2020)</w:t>
      </w:r>
      <w:r>
        <w:t xml:space="preserve">. To our knowledge, the</w:t>
      </w:r>
      <w:r>
        <w:t xml:space="preserve"> </w:t>
      </w:r>
      <w:r>
        <w:t xml:space="preserve">implication of this recommendation has not been systematically tested for</w:t>
      </w:r>
      <w:r>
        <w:t xml:space="preserve"> </w:t>
      </w:r>
      <w:r>
        <w:t xml:space="preserve">multi-country micronutrient deficiency prediction.</w:t>
      </w:r>
    </w:p>
    <w:p>
      <w:pPr>
        <w:pStyle w:val="BodyText"/>
      </w:pPr>
      <w:r>
        <w:t xml:space="preserve">In this study we harmonise DHS biomarker measurements from four</w:t>
      </w:r>
      <w:r>
        <w:t xml:space="preserve"> </w:t>
      </w:r>
      <w:r>
        <w:t xml:space="preserve">sub-Saharan African countries (The Gambia, Ghana, Sierra Leone, and Malawi)</w:t>
      </w:r>
      <w:r>
        <w:t xml:space="preserve"> </w:t>
      </w:r>
      <w:r>
        <w:t xml:space="preserve">and use these to evaluate estimation strategies</w:t>
      </w:r>
      <w:r>
        <w:t xml:space="preserve"> </w:t>
      </w:r>
      <w:r>
        <w:t xml:space="preserve">spanning machine-learning and SAE traditions, within-country and across</w:t>
      </w:r>
      <w:r>
        <w:t xml:space="preserve"> </w:t>
      </w:r>
      <w:r>
        <w:t xml:space="preserve">countries. We benchmark a multi-learner SuperLearner ensemble (penalised</w:t>
      </w:r>
      <w:r>
        <w:t xml:space="preserve"> </w:t>
      </w:r>
      <w:r>
        <w:t xml:space="preserve">regression, ranger, gradient-boosted trees, and BART) against Bayesian areal</w:t>
      </w:r>
      <w:r>
        <w:t xml:space="preserve"> </w:t>
      </w:r>
      <w:r>
        <w:t xml:space="preserve">models, frequentist baselines, a covariate-free spatial smoother, and a</w:t>
      </w:r>
      <w:r>
        <w:t xml:space="preserve"> </w:t>
      </w:r>
      <w:r>
        <w:t xml:space="preserve">national-mean null, and report whether the added complexity of the ensemble</w:t>
      </w:r>
      <w:r>
        <w:t xml:space="preserve"> </w:t>
      </w:r>
      <w:r>
        <w:t xml:space="preserve">produces gains in spatial ranking or transportability that justify its use</w:t>
      </w:r>
      <w:r>
        <w:t xml:space="preserve"> </w:t>
      </w:r>
      <w:r>
        <w:t xml:space="preserve">for global-health programming. Because the admin-2 biomarker target is</w:t>
      </w:r>
      <w:r>
        <w:t xml:space="preserve"> </w:t>
      </w:r>
      <w:r>
        <w:t xml:space="preserve">itself measured from as few as 6–36 respondents per district, we also ask a</w:t>
      </w:r>
      <w:r>
        <w:t xml:space="preserve"> </w:t>
      </w:r>
      <w:r>
        <w:t xml:space="preserve">prior question: how much of any prediction gap is attributable to sampling</w:t>
      </w:r>
      <w:r>
        <w:t xml:space="preserve"> </w:t>
      </w:r>
      <w:r>
        <w:t xml:space="preserve">noise in the outcome rather than to the model, and report every result</w:t>
      </w:r>
      <w:r>
        <w:t xml:space="preserve"> </w:t>
      </w:r>
      <w:r>
        <w:t xml:space="preserve">against an explicit reliability ceiling.</w:t>
      </w:r>
    </w:p>
    <w:bookmarkEnd w:id="20"/>
    <w:bookmarkStart w:id="27" w:name="methods"/>
    <w:p>
      <w:pPr>
        <w:pStyle w:val="Heading1"/>
      </w:pPr>
      <w:r>
        <w:t xml:space="preserve">2. Methods</w:t>
      </w:r>
    </w:p>
    <w:bookmarkStart w:id="22" w:name="study-population-and-biomarker-data"/>
    <w:p>
      <w:pPr>
        <w:pStyle w:val="Heading2"/>
      </w:pPr>
      <w:r>
        <w:t xml:space="preserve">2.1 Study population and biomarker data</w:t>
      </w:r>
    </w:p>
    <w:p>
      <w:pPr>
        <w:pStyle w:val="FirstParagraph"/>
      </w:pPr>
      <w:r>
        <w:t xml:space="preserve">We assembled biomarker measurements from four Demographic and Health</w:t>
      </w:r>
      <w:r>
        <w:t xml:space="preserve"> </w:t>
      </w:r>
      <w:r>
        <w:t xml:space="preserve">Surveys: The Gambia 2018, Ghana 2017, Sierra Leone 2013, and Malawi 2016.</w:t>
      </w:r>
    </w:p>
    <w:p>
      <w:pPr>
        <w:pStyle w:val="BodyText"/>
      </w:pPr>
      <w:r>
        <w:t xml:space="preserve">We initially added a fifth country, Tanzania (TDHS 2010, vitamin A only), but</w:t>
      </w:r>
      <w:r>
        <w:t xml:space="preserve"> </w:t>
      </w:r>
      <w:r>
        <w:t xml:space="preserve">withdrew it before finalising this manuscript after a project collaborator</w:t>
      </w:r>
      <w:r>
        <w:t xml:space="preserve"> </w:t>
      </w:r>
      <w:r>
        <w:t xml:space="preserve">identified the survey’s dried-blood-spot RBP measurements as unreliable</w:t>
      </w:r>
      <w:r>
        <w:t xml:space="preserve"> </w:t>
      </w:r>
      <w:r>
        <w:t xml:space="preserve">(</w:t>
      </w:r>
      <w:r>
        <w:t xml:space="preserve">“completely wrong… not even internally consistent”</w:t>
      </w:r>
      <w:r>
        <w:t xml:space="preserve">), consistent with</w:t>
      </w:r>
      <w:r>
        <w:t xml:space="preserve"> </w:t>
      </w:r>
      <w:r>
        <w:t xml:space="preserve">independent data-quality anomalies we found in the same data (a unit-label</w:t>
      </w:r>
      <w:r>
        <w:t xml:space="preserve"> </w:t>
      </w:r>
      <w:r>
        <w:t xml:space="preserve">error in the survey’s own biomarker documentation, and a 77–92</w:t>
      </w:r>
      <w:r>
        <w:t xml:space="preserve"> </w:t>
      </w:r>
      <w:r>
        <w:t xml:space="preserve">percentage-point national-level bias when Tanzania was held out under</w:t>
      </w:r>
      <w:r>
        <w:t xml:space="preserve"> </w:t>
      </w:r>
      <w:r>
        <w:t xml:space="preserve">leave-one-country-out evaluation during a supplementary analysis). We plan to</w:t>
      </w:r>
      <w:r>
        <w:t xml:space="preserve"> </w:t>
      </w:r>
      <w:r>
        <w:t xml:space="preserve">revisit Tanzania once the 2023 DHS round, which uses serum rather than</w:t>
      </w:r>
      <w:r>
        <w:t xml:space="preserve"> </w:t>
      </w:r>
      <w:r>
        <w:t xml:space="preserve">dried-blood-spot measurement, becomes accessible. Within each survey we</w:t>
      </w:r>
      <w:r>
        <w:t xml:space="preserve"> </w:t>
      </w:r>
      <w:r>
        <w:t xml:space="preserve">extracted deficiency biomarkers for women of reproductive age (15–49 y) and</w:t>
      </w:r>
      <w:r>
        <w:t xml:space="preserve"> </w:t>
      </w:r>
      <w:r>
        <w:t xml:space="preserve">children 6–59 months as available (</w:t>
      </w:r>
      <w:hyperlink w:anchor="tbl-cohort">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 w:name="tbl-cohort"/>
          <w:p>
            <w:pPr>
              <w:jc w:val="center"/>
            </w:pPr>
            <w:pPr>
              <w:jc w:val="start"/>
              <w:spacing w:before="200"/>
              <w:pStyle w:val="ImageCaption"/>
            </w:pPr>
            <w:r>
              <w:t xml:space="preserve">Table 1: Sample sizes by country and biomarker, with WHO public-health classification thresholds applied to derive binary deficiency outcomes.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Country</w:t>
                  </w:r>
                </w:p>
              </w:tc>
              <w:tc>
                <w:tcPr/>
                <w:p>
                  <w:pPr>
                    <w:pStyle w:val="Compact"/>
                    <w:jc w:val="left"/>
                    <w:jc w:val="center"/>
                  </w:pPr>
                  <w:r>
                    <w:t xml:space="preserve">Outcome</w:t>
                  </w:r>
                </w:p>
              </w:tc>
              <w:tc>
                <w:tcPr/>
                <w:p>
                  <w:pPr>
                    <w:pStyle w:val="Compact"/>
                    <w:jc w:val="right"/>
                    <w:jc w:val="center"/>
                  </w:pPr>
                  <w:r>
                    <w:t xml:space="preserve">n</w:t>
                  </w:r>
                </w:p>
              </w:tc>
              <w:tc>
                <w:tcPr/>
                <w:p>
                  <w:pPr>
                    <w:pStyle w:val="Compact"/>
                    <w:jc w:val="left"/>
                    <w:jc w:val="center"/>
                  </w:pPr>
                  <w:r>
                    <w:t xml:space="preserve">Observed prevalence</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right"/>
                    <w:jc w:val="center"/>
                  </w:pPr>
                  <w:r>
                    <w:t xml:space="preserve">1020</w:t>
                  </w:r>
                </w:p>
              </w:tc>
              <w:tc>
                <w:tcPr/>
                <w:p>
                  <w:pPr>
                    <w:pStyle w:val="Compact"/>
                    <w:jc w:val="left"/>
                    <w:jc w:val="center"/>
                  </w:pPr>
                  <w:r>
                    <w:t xml:space="preserve">20.1%</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right"/>
                    <w:jc w:val="center"/>
                  </w:pPr>
                  <w:r>
                    <w:t xml:space="preserve">1413</w:t>
                  </w:r>
                </w:p>
              </w:tc>
              <w:tc>
                <w:tcPr/>
                <w:p>
                  <w:pPr>
                    <w:pStyle w:val="Compact"/>
                    <w:jc w:val="left"/>
                    <w:jc w:val="center"/>
                  </w:pPr>
                  <w:r>
                    <w:t xml:space="preserve">2.7%</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right"/>
                    <w:jc w:val="center"/>
                  </w:pPr>
                  <w:r>
                    <w:t xml:space="preserve">1013</w:t>
                  </w:r>
                </w:p>
              </w:tc>
              <w:tc>
                <w:tcPr/>
                <w:p>
                  <w:pPr>
                    <w:pStyle w:val="Compact"/>
                    <w:jc w:val="left"/>
                    <w:jc w:val="center"/>
                  </w:pPr>
                  <w:r>
                    <w:t xml:space="preserve">41.9%</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right"/>
                    <w:jc w:val="center"/>
                  </w:pPr>
                  <w:r>
                    <w:t xml:space="preserve">1402</w:t>
                  </w:r>
                </w:p>
              </w:tc>
              <w:tc>
                <w:tcPr/>
                <w:p>
                  <w:pPr>
                    <w:pStyle w:val="Compact"/>
                    <w:jc w:val="left"/>
                    <w:jc w:val="center"/>
                  </w:pPr>
                  <w:r>
                    <w:t xml:space="preserve">31.2%</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right"/>
                    <w:jc w:val="center"/>
                  </w:pPr>
                  <w:r>
                    <w:t xml:space="preserve">1165</w:t>
                  </w:r>
                </w:p>
              </w:tc>
              <w:tc>
                <w:tcPr/>
                <w:p>
                  <w:pPr>
                    <w:pStyle w:val="Compact"/>
                    <w:jc w:val="left"/>
                    <w:jc w:val="center"/>
                  </w:pPr>
                  <w:r>
                    <w:t xml:space="preserve">14.9%</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right"/>
                    <w:jc w:val="center"/>
                  </w:pPr>
                  <w:r>
                    <w:t xml:space="preserve">992</w:t>
                  </w:r>
                </w:p>
              </w:tc>
              <w:tc>
                <w:tcPr/>
                <w:p>
                  <w:pPr>
                    <w:pStyle w:val="Compact"/>
                    <w:jc w:val="left"/>
                    <w:jc w:val="center"/>
                  </w:pPr>
                  <w:r>
                    <w:t xml:space="preserve">1.5%</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right"/>
                    <w:jc w:val="center"/>
                  </w:pPr>
                  <w:r>
                    <w:t xml:space="preserve">1165</w:t>
                  </w:r>
                </w:p>
              </w:tc>
              <w:tc>
                <w:tcPr/>
                <w:p>
                  <w:pPr>
                    <w:pStyle w:val="Compact"/>
                    <w:jc w:val="left"/>
                    <w:jc w:val="center"/>
                  </w:pPr>
                  <w:r>
                    <w:t xml:space="preserve">23.9%</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right"/>
                    <w:jc w:val="center"/>
                  </w:pPr>
                  <w:r>
                    <w:t xml:space="preserve">981</w:t>
                  </w:r>
                </w:p>
              </w:tc>
              <w:tc>
                <w:tcPr/>
                <w:p>
                  <w:pPr>
                    <w:pStyle w:val="Compact"/>
                    <w:jc w:val="left"/>
                    <w:jc w:val="center"/>
                  </w:pPr>
                  <w:r>
                    <w:t xml:space="preserve">8.5%</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right"/>
                    <w:jc w:val="center"/>
                  </w:pPr>
                  <w:r>
                    <w:t xml:space="preserve">475</w:t>
                  </w:r>
                </w:p>
              </w:tc>
              <w:tc>
                <w:tcPr/>
                <w:p>
                  <w:pPr>
                    <w:pStyle w:val="Compact"/>
                    <w:jc w:val="left"/>
                    <w:jc w:val="center"/>
                  </w:pPr>
                  <w:r>
                    <w:t xml:space="preserve">54.7%</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right"/>
                    <w:jc w:val="center"/>
                  </w:pPr>
                  <w:r>
                    <w:t xml:space="preserve">473</w:t>
                  </w:r>
                </w:p>
              </w:tc>
              <w:tc>
                <w:tcPr/>
                <w:p>
                  <w:pPr>
                    <w:pStyle w:val="Compact"/>
                    <w:jc w:val="left"/>
                    <w:jc w:val="center"/>
                  </w:pPr>
                  <w:r>
                    <w:t xml:space="preserve">8.5%</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right"/>
                    <w:jc w:val="center"/>
                  </w:pPr>
                  <w:r>
                    <w:t xml:space="preserve">486</w:t>
                  </w:r>
                </w:p>
              </w:tc>
              <w:tc>
                <w:tcPr/>
                <w:p>
                  <w:pPr>
                    <w:pStyle w:val="Compact"/>
                    <w:jc w:val="left"/>
                    <w:jc w:val="center"/>
                  </w:pPr>
                  <w:r>
                    <w:t xml:space="preserve">12.6%</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right"/>
                    <w:jc w:val="center"/>
                  </w:pPr>
                  <w:r>
                    <w:t xml:space="preserve">774</w:t>
                  </w:r>
                </w:p>
              </w:tc>
              <w:tc>
                <w:tcPr/>
                <w:p>
                  <w:pPr>
                    <w:pStyle w:val="Compact"/>
                    <w:jc w:val="left"/>
                    <w:jc w:val="center"/>
                  </w:pPr>
                  <w:r>
                    <w:t xml:space="preserve">1.8%</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right"/>
                    <w:jc w:val="center"/>
                  </w:pPr>
                  <w:r>
                    <w:t xml:space="preserve">486</w:t>
                  </w:r>
                </w:p>
              </w:tc>
              <w:tc>
                <w:tcPr/>
                <w:p>
                  <w:pPr>
                    <w:pStyle w:val="Compact"/>
                    <w:jc w:val="left"/>
                    <w:jc w:val="center"/>
                  </w:pPr>
                  <w:r>
                    <w:t xml:space="preserve">5.8%</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right"/>
                    <w:jc w:val="center"/>
                  </w:pPr>
                  <w:r>
                    <w:t xml:space="preserve">774</w:t>
                  </w:r>
                </w:p>
              </w:tc>
              <w:tc>
                <w:tcPr/>
                <w:p>
                  <w:pPr>
                    <w:pStyle w:val="Compact"/>
                    <w:jc w:val="left"/>
                    <w:jc w:val="center"/>
                  </w:pPr>
                  <w:r>
                    <w:t xml:space="preserve">9.4%</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right"/>
                    <w:jc w:val="center"/>
                  </w:pPr>
                  <w:r>
                    <w:t xml:space="preserve">766</w:t>
                  </w:r>
                </w:p>
              </w:tc>
              <w:tc>
                <w:tcPr/>
                <w:p>
                  <w:pPr>
                    <w:pStyle w:val="Compact"/>
                    <w:jc w:val="left"/>
                    <w:jc w:val="center"/>
                  </w:pPr>
                  <w:r>
                    <w:t xml:space="preserve">79.4%</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right"/>
                    <w:jc w:val="center"/>
                  </w:pPr>
                  <w:r>
                    <w:t xml:space="preserve">768</w:t>
                  </w:r>
                </w:p>
              </w:tc>
              <w:tc>
                <w:tcPr/>
                <w:p>
                  <w:pPr>
                    <w:pStyle w:val="Compact"/>
                    <w:jc w:val="left"/>
                    <w:jc w:val="center"/>
                  </w:pPr>
                  <w:r>
                    <w:t xml:space="preserve">0.5%</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right"/>
                    <w:jc w:val="center"/>
                  </w:pPr>
                  <w:r>
                    <w:t xml:space="preserve">1149</w:t>
                  </w:r>
                </w:p>
              </w:tc>
              <w:tc>
                <w:tcPr/>
                <w:p>
                  <w:pPr>
                    <w:pStyle w:val="Compact"/>
                    <w:jc w:val="left"/>
                    <w:jc w:val="center"/>
                  </w:pPr>
                  <w:r>
                    <w:t xml:space="preserve">9.3%</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right"/>
                    <w:jc w:val="center"/>
                  </w:pPr>
                  <w:r>
                    <w:t xml:space="preserve">836</w:t>
                  </w:r>
                </w:p>
              </w:tc>
              <w:tc>
                <w:tcPr/>
                <w:p>
                  <w:pPr>
                    <w:pStyle w:val="Compact"/>
                    <w:jc w:val="left"/>
                    <w:jc w:val="center"/>
                  </w:pPr>
                  <w:r>
                    <w:t xml:space="preserve">1.3%</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right"/>
                    <w:jc w:val="center"/>
                  </w:pPr>
                  <w:r>
                    <w:t xml:space="preserve">1149</w:t>
                  </w:r>
                </w:p>
              </w:tc>
              <w:tc>
                <w:tcPr/>
                <w:p>
                  <w:pPr>
                    <w:pStyle w:val="Compact"/>
                    <w:jc w:val="left"/>
                    <w:jc w:val="center"/>
                  </w:pPr>
                  <w:r>
                    <w:t xml:space="preserve">9.6%</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right"/>
                    <w:jc w:val="center"/>
                  </w:pPr>
                  <w:r>
                    <w:t xml:space="preserve">781</w:t>
                  </w:r>
                </w:p>
              </w:tc>
              <w:tc>
                <w:tcPr/>
                <w:p>
                  <w:pPr>
                    <w:pStyle w:val="Compact"/>
                    <w:jc w:val="left"/>
                    <w:jc w:val="center"/>
                  </w:pPr>
                  <w:r>
                    <w:t xml:space="preserve">10.0%</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right"/>
                    <w:jc w:val="center"/>
                  </w:pPr>
                  <w:r>
                    <w:t xml:space="preserve">828</w:t>
                  </w:r>
                </w:p>
              </w:tc>
              <w:tc>
                <w:tcPr/>
                <w:p>
                  <w:pPr>
                    <w:pStyle w:val="Compact"/>
                    <w:jc w:val="left"/>
                    <w:jc w:val="center"/>
                  </w:pPr>
                  <w:r>
                    <w:t xml:space="preserve">20.8%</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right"/>
                    <w:jc w:val="center"/>
                  </w:pPr>
                  <w:r>
                    <w:t xml:space="preserve">839</w:t>
                  </w:r>
                </w:p>
              </w:tc>
              <w:tc>
                <w:tcPr/>
                <w:p>
                  <w:pPr>
                    <w:pStyle w:val="Compact"/>
                    <w:jc w:val="left"/>
                    <w:jc w:val="center"/>
                  </w:pPr>
                  <w:r>
                    <w:t xml:space="preserve">2.7%</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right"/>
                    <w:jc w:val="center"/>
                  </w:pPr>
                  <w:r>
                    <w:t xml:space="preserve">1134</w:t>
                  </w:r>
                </w:p>
              </w:tc>
              <w:tc>
                <w:tcPr/>
                <w:p>
                  <w:pPr>
                    <w:pStyle w:val="Compact"/>
                    <w:jc w:val="left"/>
                    <w:jc w:val="center"/>
                  </w:pPr>
                  <w:r>
                    <w:t xml:space="preserve">59.1%</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right"/>
                    <w:jc w:val="center"/>
                  </w:pPr>
                  <w:r>
                    <w:t xml:space="preserve">844</w:t>
                  </w:r>
                </w:p>
              </w:tc>
              <w:tc>
                <w:tcPr/>
                <w:p>
                  <w:pPr>
                    <w:pStyle w:val="Compact"/>
                    <w:jc w:val="left"/>
                    <w:jc w:val="center"/>
                  </w:pPr>
                  <w:r>
                    <w:t xml:space="preserve">61.9%</w:t>
                  </w:r>
                </w:p>
              </w:tc>
            </w:tr>
          </w:tbl>
          <w:bookmarkEnd w:id="21"/>
          <w:p/>
        </w:tc>
      </w:tr>
    </w:tbl>
    <w:p>
      <w:pPr>
        <w:pStyle w:val="BodyText"/>
      </w:pPr>
      <w:r>
        <w:t xml:space="preserve">Each biomarker was converted to a binary deficiency indicator using WHO</w:t>
      </w:r>
      <w:r>
        <w:t xml:space="preserve"> </w:t>
      </w:r>
      <w:r>
        <w:t xml:space="preserve">or BRINDA-recommended thresholds, with adjustment for inflammation where</w:t>
      </w:r>
      <w:r>
        <w:t xml:space="preserve"> </w:t>
      </w:r>
      <w:r>
        <w:t xml:space="preserve">acute-phase proteins were available</w:t>
      </w:r>
      <w:r>
        <w:t xml:space="preserve"> </w:t>
      </w:r>
      <w:r>
        <w:t xml:space="preserve">(Namaste et al. 2017; World Health Organization 2011)</w:t>
      </w:r>
      <w:r>
        <w:t xml:space="preserve">. Survey weights from DHS were retained throughout</w:t>
      </w:r>
      <w:r>
        <w:t xml:space="preserve"> </w:t>
      </w:r>
      <w:r>
        <w:t xml:space="preserve">and used to compute admin-2 (district-equivalent) prevalence with</w:t>
      </w:r>
      <w:r>
        <w:t xml:space="preserve"> </w:t>
      </w:r>
      <w:r>
        <w:t xml:space="preserve">appropriate clustered variance estimation. Where available, sample</w:t>
      </w:r>
      <w:r>
        <w:t xml:space="preserve"> </w:t>
      </w:r>
      <w:r>
        <w:t xml:space="preserve">weights, primary sampling units and stratification were retained for</w:t>
      </w:r>
      <w:r>
        <w:t xml:space="preserve"> </w:t>
      </w:r>
      <w:r>
        <w:t xml:space="preserve">admin-2 prevalence estimation.</w:t>
      </w:r>
    </w:p>
    <w:bookmarkEnd w:id="22"/>
    <w:bookmarkStart w:id="23" w:name="sec-predictors"/>
    <w:p>
      <w:pPr>
        <w:pStyle w:val="Heading2"/>
      </w:pPr>
      <w:r>
        <w:t xml:space="preserve">2.2 Predictors</w:t>
      </w:r>
    </w:p>
    <w:p>
      <w:pPr>
        <w:pStyle w:val="FirstParagraph"/>
      </w:pPr>
      <w:r>
        <w:t xml:space="preserve">Two predictor sets were assembled. The</w:t>
      </w:r>
      <w:r>
        <w:t xml:space="preserve"> </w:t>
      </w:r>
      <w:r>
        <w:rPr>
          <w:b/>
          <w:bCs/>
        </w:rPr>
        <w:t xml:space="preserve">individual-level</w:t>
      </w:r>
      <w:r>
        <w:t xml:space="preserve"> </w:t>
      </w:r>
      <w:r>
        <w:t xml:space="preserve">set included</w:t>
      </w:r>
      <w:r>
        <w:t xml:space="preserve"> </w:t>
      </w:r>
      <w:r>
        <w:t xml:space="preserve">all proxy survey items recommended by Mertens et al. (under review) — a</w:t>
      </w:r>
      <w:r>
        <w:t xml:space="preserve"> </w:t>
      </w:r>
      <w:r>
        <w:t xml:space="preserve">harmonised harmonisable set of approximately 200 socio-demographic and</w:t>
      </w:r>
      <w:r>
        <w:t xml:space="preserve"> </w:t>
      </w:r>
      <w:r>
        <w:t xml:space="preserve">household indicators across the four DHS surveys (mother education,</w:t>
      </w:r>
      <w:r>
        <w:t xml:space="preserve"> </w:t>
      </w:r>
      <w:r>
        <w:t xml:space="preserve">household assets, water and sanitation, livelihoods, exposure to malaria</w:t>
      </w:r>
      <w:r>
        <w:t xml:space="preserve"> </w:t>
      </w:r>
      <w:r>
        <w:t xml:space="preserve">interventions). This set excludes biomarker survey items (the</w:t>
      </w:r>
      <w:r>
        <w:t xml:space="preserve"> </w:t>
      </w:r>
      <w:r>
        <w:rPr>
          <w:rStyle w:val="VerbatimChar"/>
        </w:rPr>
        <w:t xml:space="preserve">gw_</w:t>
      </w:r>
      <w:r>
        <w:t xml:space="preserve"> </w:t>
      </w:r>
      <w:r>
        <w:t xml:space="preserve">prefix in the analytic data dictionary) so that predictions can be made</w:t>
      </w:r>
      <w:r>
        <w:t xml:space="preserve"> </w:t>
      </w:r>
      <w:r>
        <w:t xml:space="preserve">in target populations that lack biomarker measurement.</w:t>
      </w:r>
    </w:p>
    <w:p>
      <w:pPr>
        <w:pStyle w:val="BodyText"/>
      </w:pPr>
      <w:r>
        <w:t xml:space="preserve">The</w:t>
      </w:r>
      <w:r>
        <w:t xml:space="preserve"> </w:t>
      </w:r>
      <w:r>
        <w:rPr>
          <w:b/>
          <w:bCs/>
        </w:rPr>
        <w:t xml:space="preserve">area-level</w:t>
      </w:r>
      <w:r>
        <w:t xml:space="preserve"> </w:t>
      </w:r>
      <w:r>
        <w:t xml:space="preserve">set was assembled from every source available at admin-2</w:t>
      </w:r>
      <w:r>
        <w:t xml:space="preserve"> </w:t>
      </w:r>
      <w:r>
        <w:t xml:space="preserve">resolution, not from earth observation alone: Google Earth Engine aggregates</w:t>
      </w:r>
      <w:r>
        <w:t xml:space="preserve"> </w:t>
      </w:r>
      <w:r>
        <w:t xml:space="preserve">(Gorelick et al. 2017)</w:t>
      </w:r>
      <w:r>
        <w:t xml:space="preserve"> </w:t>
      </w:r>
      <w:r>
        <w:t xml:space="preserve">extracted for each admin-2 polygon by exact-extract</w:t>
      </w:r>
      <w:r>
        <w:t xml:space="preserve"> </w:t>
      </w:r>
      <w:r>
        <w:t xml:space="preserve">weighted by polygon overlap (population density, ESA WorldCover land use,</w:t>
      </w:r>
      <w:r>
        <w:t xml:space="preserve"> </w:t>
      </w:r>
      <w:r>
        <w:t xml:space="preserve">accessibility surfaces, NDVI/EVI temporal aggregates, atmospheric parameters,</w:t>
      </w:r>
      <w:r>
        <w:t xml:space="preserve"> </w:t>
      </w:r>
      <w:r>
        <w:t xml:space="preserve">elevation, night-time lights), together with DHS and MICS admin-2 indicator</w:t>
      </w:r>
      <w:r>
        <w:t xml:space="preserve"> </w:t>
      </w:r>
      <w:r>
        <w:t xml:space="preserve">aggregates, SoilGrids and iSDAsoil soil chemistry, MapSPAM crop shares, ESPEN</w:t>
      </w:r>
      <w:r>
        <w:t xml:space="preserve"> </w:t>
      </w:r>
      <w:r>
        <w:t xml:space="preserve">helminth prevalence, Malaria Atlas Project surfaces, IHME modelled disease</w:t>
      </w:r>
      <w:r>
        <w:t xml:space="preserve"> </w:t>
      </w:r>
      <w:r>
        <w:t xml:space="preserve">burden, WFP food prices and food-security indicators.</w:t>
      </w:r>
    </w:p>
    <w:p>
      <w:pPr>
        <w:pStyle w:val="BodyText"/>
      </w:pPr>
      <w:r>
        <w:t xml:space="preserve">Harmonisation proceeded in four documented stages, recorded in</w:t>
      </w:r>
      <w:r>
        <w:t xml:space="preserve"> </w:t>
      </w:r>
      <w:r>
        <w:rPr>
          <w:rStyle w:val="VerbatimChar"/>
        </w:rPr>
        <w:t xml:space="preserve">metadata/covariates/</w:t>
      </w:r>
      <w:r>
        <w:t xml:space="preserve"> </w:t>
      </w:r>
      <w:r>
        <w:t xml:space="preserve">so each decision is auditable: raw provider columns were</w:t>
      </w:r>
      <w:r>
        <w:t xml:space="preserve"> </w:t>
      </w:r>
      <w:r>
        <w:t xml:space="preserve">mapped onto canonical names; near-duplicate variants of one construct (month</w:t>
      </w:r>
      <w:r>
        <w:t xml:space="preserve"> </w:t>
      </w:r>
      <w:r>
        <w:t xml:space="preserve">climatologies, buffer radii, soil depth summaries, year stamps) were collapsed;</w:t>
      </w:r>
      <w:r>
        <w:t xml:space="preserve"> </w:t>
      </w:r>
      <w:r>
        <w:t xml:space="preserve">values were converted to canonical units; and variables that could not be</w:t>
      </w:r>
      <w:r>
        <w:t xml:space="preserve"> </w:t>
      </w:r>
      <w:r>
        <w:t xml:space="preserve">reconciled across countries were excluded with a stated reason. Of Ghana’s 755</w:t>
      </w:r>
      <w:r>
        <w:t xml:space="preserve"> </w:t>
      </w:r>
      <w:r>
        <w:t xml:space="preserve">raw admin-2 columns, 301 were dropped as not being quantities at all — cross-band</w:t>
      </w:r>
      <w:r>
        <w:t xml:space="preserve"> </w:t>
      </w:r>
      <w:r>
        <w:t xml:space="preserve">summaries averaged over non-commensurable bands, categorical land-cover class</w:t>
      </w:r>
      <w:r>
        <w:t xml:space="preserve"> </w:t>
      </w:r>
      <w:r>
        <w:t xml:space="preserve">codes whose zonal mean is meaningless, quality-assurance bands, and population</w:t>
      </w:r>
      <w:r>
        <w:t xml:space="preserve"> </w:t>
      </w:r>
      <w:r>
        <w:t xml:space="preserve">columns in which the provider had replicated five-year epochs across intervening</w:t>
      </w:r>
      <w:r>
        <w:t xml:space="preserve"> </w:t>
      </w:r>
      <w:r>
        <w:t xml:space="preserve">years. A further 40 were excluded for cross-country irreconcilability, including</w:t>
      </w:r>
      <w:r>
        <w:t xml:space="preserve"> </w:t>
      </w:r>
      <w:r>
        <w:t xml:space="preserve">twelve whose medians ranged from 742 to 23,784 across countries with maxima to</w:t>
      </w:r>
      <w:r>
        <w:t xml:space="preserve"> </w:t>
      </w:r>
      <m:oMath>
        <m:r>
          <m:t>2.45</m:t>
        </m:r>
        <m:r>
          <m:rPr>
            <m:sty m:val="p"/>
          </m:rPr>
          <m:t>×</m:t>
        </m:r>
        <m:sSup>
          <m:e>
            <m:r>
              <m:t>10</m:t>
            </m:r>
          </m:e>
          <m:sup>
            <m:r>
              <m:t>7</m:t>
            </m:r>
          </m:sup>
        </m:sSup>
      </m:oMath>
      <w:r>
        <w:t xml:space="preserve"> </w:t>
      </w:r>
      <w:r>
        <w:t xml:space="preserve">— a defective export rather than a scale factor, and one that had</w:t>
      </w:r>
      <w:r>
        <w:t xml:space="preserve"> </w:t>
      </w:r>
      <w:r>
        <w:t xml:space="preserve">been inside the previous common-vocabulary set and was therefore manufacturing a</w:t>
      </w:r>
      <w:r>
        <w:t xml:space="preserve"> </w:t>
      </w:r>
      <w:r>
        <w:t xml:space="preserve">country effect — and seven outcome-adjacent DHS indicators excluded as leakage</w:t>
      </w:r>
      <w:r>
        <w:t xml:space="preserve"> </w:t>
      </w:r>
      <w:r>
        <w:t xml:space="preserve">(anaemia is the downstream consequence of iron deficiency; nutrient-specific</w:t>
      </w:r>
      <w:r>
        <w:t xml:space="preserve"> </w:t>
      </w:r>
      <w:r>
        <w:t xml:space="preserve">supplementation is targeted</w:t>
      </w:r>
      <w:r>
        <w:t xml:space="preserve"> </w:t>
      </w:r>
      <w:r>
        <w:rPr>
          <w:i/>
          <w:iCs/>
        </w:rPr>
        <w:t xml:space="preserve">by</w:t>
      </w:r>
      <w:r>
        <w:t xml:space="preserve"> </w:t>
      </w:r>
      <w:r>
        <w:t xml:space="preserve">measured deficiency).</w:t>
      </w:r>
    </w:p>
    <w:p>
      <w:pPr>
        <w:pStyle w:val="BodyText"/>
      </w:pPr>
      <w:r>
        <w:t xml:space="preserve">The result is a common-vocabulary set of</w:t>
      </w:r>
      <w:r>
        <w:t xml:space="preserve"> </w:t>
      </w:r>
      <w:r>
        <w:rPr>
          <w:b/>
          <w:bCs/>
        </w:rPr>
        <w:t xml:space="preserve">294 predictors</w:t>
      </w:r>
      <w:r>
        <w:t xml:space="preserve"> </w:t>
      </w:r>
      <w:r>
        <w:t xml:space="preserve">shared by all four</w:t>
      </w:r>
      <w:r>
        <w:t xml:space="preserve"> </w:t>
      </w:r>
      <w:r>
        <w:t xml:space="preserve">countries, spanning 19 providers and 11 conceptual domains, replacing the</w:t>
      </w:r>
      <w:r>
        <w:t xml:space="preserve"> </w:t>
      </w:r>
      <w:r>
        <w:t xml:space="preserve">152-variable set used in earlier analyses. The intersection step itself is not</w:t>
      </w:r>
      <w:r>
        <w:t xml:space="preserve"> </w:t>
      </w:r>
      <w:r>
        <w:t xml:space="preserve">the binding constraint: 322 canonical variables exist for a typical country and</w:t>
      </w:r>
      <w:r>
        <w:t xml:space="preserve"> </w:t>
      </w:r>
      <w:r>
        <w:t xml:space="preserve">294 are common to all four, with 208 present in all five ingested countries.</w:t>
      </w:r>
    </w:p>
    <w:bookmarkEnd w:id="23"/>
    <w:bookmarkStart w:id="24" w:name="estimation-strategies"/>
    <w:p>
      <w:pPr>
        <w:pStyle w:val="Heading2"/>
      </w:pPr>
      <w:r>
        <w:t xml:space="preserve">2.3 Estimation strategies</w:t>
      </w:r>
    </w:p>
    <w:p>
      <w:pPr>
        <w:pStyle w:val="FirstParagraph"/>
      </w:pPr>
      <w:r>
        <w:t xml:space="preserve">We compared estimation strategies spanning the machine-learning and</w:t>
      </w:r>
      <w:r>
        <w:t xml:space="preserve"> </w:t>
      </w:r>
      <w:r>
        <w:t xml:space="preserve">small-area-estimation traditions, organised into two families, plus two</w:t>
      </w:r>
      <w:r>
        <w:t xml:space="preserve"> </w:t>
      </w:r>
      <w:r>
        <w:t xml:space="preserve">uninformed baselines added by the 2026-08 methods review (below) so that</w:t>
      </w:r>
      <w:r>
        <w:t xml:space="preserve"> </w:t>
      </w:r>
      <w:r>
        <w:t xml:space="preserve">“better than the alternatives”</w:t>
      </w:r>
      <w:r>
        <w:t xml:space="preserve"> </w:t>
      </w:r>
      <w:r>
        <w:t xml:space="preserve">can be distinguished from</w:t>
      </w:r>
      <w:r>
        <w:t xml:space="preserve"> </w:t>
      </w:r>
      <w:r>
        <w:t xml:space="preserve">“better than doing</w:t>
      </w:r>
      <w:r>
        <w:t xml:space="preserve"> </w:t>
      </w:r>
      <w:r>
        <w:t xml:space="preserve">nothing”</w:t>
      </w:r>
      <w:r>
        <w:t xml:space="preserve">: a</w:t>
      </w:r>
      <w:r>
        <w:t xml:space="preserve"> </w:t>
      </w:r>
      <w:r>
        <w:rPr>
          <w:b/>
          <w:bCs/>
        </w:rPr>
        <w:t xml:space="preserve">national-mean null</w:t>
      </w:r>
      <w:r>
        <w:t xml:space="preserve"> </w:t>
      </w:r>
      <w:r>
        <w:t xml:space="preserve">(the country’s survey-weighted national</w:t>
      </w:r>
      <w:r>
        <w:t xml:space="preserve"> </w:t>
      </w:r>
      <w:r>
        <w:t xml:space="preserve">prevalence assigned to every district) and a covariate-free</w:t>
      </w:r>
      <w:r>
        <w:t xml:space="preserve"> </w:t>
      </w:r>
      <w:r>
        <w:rPr>
          <w:b/>
          <w:bCs/>
        </w:rPr>
        <w:t xml:space="preserve">spatial-only</w:t>
      </w:r>
      <w:r>
        <w:t xml:space="preserve"> </w:t>
      </w:r>
      <w:r>
        <w:t xml:space="preserve">smoother (a thin-plate spline on admin-2 centroid coordinates). The</w:t>
      </w:r>
      <w:r>
        <w:t xml:space="preserve"> </w:t>
      </w:r>
      <w:r>
        <w:rPr>
          <w:b/>
          <w:bCs/>
        </w:rPr>
        <w:t xml:space="preserve">area-level small-area estimation (SAE)</w:t>
      </w:r>
      <w:r>
        <w:t xml:space="preserve"> </w:t>
      </w:r>
      <w:r>
        <w:t xml:space="preserve">family fits one row per admin-2</w:t>
      </w:r>
      <w:r>
        <w:t xml:space="preserve"> </w:t>
      </w:r>
      <w:r>
        <w:t xml:space="preserve">polygon, with survey-weighted prevalence as the target: an area-level</w:t>
      </w:r>
      <w:r>
        <w:t xml:space="preserve"> </w:t>
      </w:r>
      <w:r>
        <w:t xml:space="preserve">SuperLearner on the polygon-aggregated covariates (fit under both a Gaussian</w:t>
      </w:r>
      <w:r>
        <w:t xml:space="preserve"> </w:t>
      </w:r>
      <w:r>
        <w:t xml:space="preserve">mean-squared-error loss and a negative-log-likelihood loss); frequentist</w:t>
      </w:r>
      <w:r>
        <w:t xml:space="preserve"> </w:t>
      </w:r>
      <w:r>
        <w:t xml:space="preserve">baselines (a country-mean floor, OLS, and cross-validated elastic-net);</w:t>
      </w:r>
      <w:r>
        <w:t xml:space="preserve"> </w:t>
      </w:r>
      <w:r>
        <w:t xml:space="preserve">Bayesian areal models (the Fay–Herriot model</w:t>
      </w:r>
      <w:r>
        <w:t xml:space="preserve"> </w:t>
      </w:r>
      <w:r>
        <w:t xml:space="preserve">(Fay and Herriot 1979; Mercer et al. 2015)</w:t>
      </w:r>
      <w:r>
        <w:t xml:space="preserve"> </w:t>
      </w:r>
      <w:r>
        <w:t xml:space="preserve">and the BYM2 disease-mapping model fit by integrated nested</w:t>
      </w:r>
      <w:r>
        <w:t xml:space="preserve"> </w:t>
      </w:r>
      <w:r>
        <w:t xml:space="preserve">Laplace approximation</w:t>
      </w:r>
      <w:r>
        <w:t xml:space="preserve"> </w:t>
      </w:r>
      <w:r>
        <w:t xml:space="preserve">(Riebler et al. 2016; Rue, Martino, and Chopin 2009)</w:t>
      </w:r>
      <w:r>
        <w:t xml:space="preserve">); and a set</w:t>
      </w:r>
      <w:r>
        <w:t xml:space="preserve"> </w:t>
      </w:r>
      <w:r>
        <w:t xml:space="preserve">of transportability-aware comparators (a country random-intercept model, a</w:t>
      </w:r>
      <w:r>
        <w:t xml:space="preserve"> </w:t>
      </w:r>
      <w:r>
        <w:t xml:space="preserve">two-stage country-mean-plus-within-country-deviation model, a forward</w:t>
      </w:r>
      <w:r>
        <w:t xml:space="preserve"> </w:t>
      </w:r>
      <w:r>
        <w:t xml:space="preserve">selection that optimises a leave-one-training-country-out criterion, a</w:t>
      </w:r>
      <w:r>
        <w:t xml:space="preserve"> </w:t>
      </w:r>
      <w:r>
        <w:t xml:space="preserve">spatial-spline GAM, a data-source group-lasso, and a stacked ensemble of</w:t>
      </w:r>
      <w:r>
        <w:t xml:space="preserve"> </w:t>
      </w:r>
      <w:r>
        <w:t xml:space="preserve">these) — 21 comparator methods in total for the cross-country comparison</w:t>
      </w:r>
      <w:r>
        <w:t xml:space="preserve"> </w:t>
      </w:r>
      <w:r>
        <w:t xml:space="preserve">(</w:t>
      </w:r>
      <w:hyperlink w:anchor="tbl-benchmarks">
        <w:r>
          <w:rPr>
            <w:rStyle w:val="Hyperlink"/>
          </w:rPr>
          <w:t xml:space="preserve">Table 6</w:t>
        </w:r>
      </w:hyperlink>
      <w:r>
        <w:t xml:space="preserve">). The</w:t>
      </w:r>
      <w:r>
        <w:t xml:space="preserve"> </w:t>
      </w:r>
      <w:r>
        <w:rPr>
          <w:b/>
          <w:bCs/>
        </w:rPr>
        <w:t xml:space="preserve">individual-level SuperLearner aggregated to</w:t>
      </w:r>
      <w:r>
        <w:rPr>
          <w:b/>
          <w:bCs/>
        </w:rPr>
        <w:t xml:space="preserve"> </w:t>
      </w:r>
      <w:r>
        <w:rPr>
          <w:b/>
          <w:bCs/>
        </w:rPr>
        <w:t xml:space="preserve">admin-2</w:t>
      </w:r>
      <w:r>
        <w:t xml:space="preserve"> </w:t>
      </w:r>
      <w:r>
        <w:t xml:space="preserve">fits a person-level ensemble (12 learners: penalised regression ×3,</w:t>
      </w:r>
      <w:r>
        <w:t xml:space="preserve"> </w:t>
      </w:r>
      <w:r>
        <w:t xml:space="preserve">ranger ×3, XGBoost ×2, and BART ×3 at three tree-count settings; a Gaussian</w:t>
      </w:r>
      <w:r>
        <w:t xml:space="preserve"> </w:t>
      </w:r>
      <w:r>
        <w:t xml:space="preserve">process was dropped from the stack after a controlled sensitivity check</w:t>
      </w:r>
      <w:r>
        <w:t xml:space="preserve"> </w:t>
      </w:r>
      <w:r>
        <w:t xml:space="preserve">found it received zero ensemble weight while dominating runtime — Results)</w:t>
      </w:r>
      <w:r>
        <w:t xml:space="preserve"> </w:t>
      </w:r>
      <w:r>
        <w:t xml:space="preserve">and averages its predictions up to the district; it shares the same inputs</w:t>
      </w:r>
      <w:r>
        <w:t xml:space="preserve"> </w:t>
      </w:r>
      <w:r>
        <w:t xml:space="preserve">but is reported as a sensitivity analysis, because aggregating shrunken</w:t>
      </w:r>
      <w:r>
        <w:t xml:space="preserve"> </w:t>
      </w:r>
      <w:r>
        <w:t xml:space="preserve">person-level probabilities biases area means (Results).</w:t>
      </w:r>
    </w:p>
    <w:p>
      <w:pPr>
        <w:pStyle w:val="BodyText"/>
      </w:pPr>
      <w:r>
        <w:rPr>
          <w:b/>
          <w:bCs/>
        </w:rPr>
        <w:t xml:space="preserve">A reliability ceiling for admin-2 prediction.</w:t>
      </w:r>
      <w:r>
        <w:t xml:space="preserve"> </w:t>
      </w:r>
      <w:r>
        <w:t xml:space="preserve">Because a median admin-2</w:t>
      </w:r>
      <w:r>
        <w:t xml:space="preserve"> </w:t>
      </w:r>
      <w:r>
        <w:t xml:space="preserve">district contributes only 6–36 biomarker measurements, part of the</w:t>
      </w:r>
      <w:r>
        <w:t xml:space="preserve"> </w:t>
      </w:r>
      <w:r>
        <w:t xml:space="preserve">between-district variance in the observed prevalence</w:t>
      </w:r>
      <w:r>
        <w:t xml:space="preserve"> </w:t>
      </w:r>
      <m:oMath>
        <m:sSub>
          <m:e>
            <m:r>
              <m:t>p</m:t>
            </m:r>
          </m:e>
          <m:sub>
            <m:r>
              <m:rPr>
                <m:nor/>
                <m:sty m:val="p"/>
              </m:rPr>
              <m:t>obs</m:t>
            </m:r>
          </m:sub>
        </m:sSub>
      </m:oMath>
      <w:r>
        <w:t xml:space="preserve"> </w:t>
      </w:r>
      <w:r>
        <w:t xml:space="preserve">is</w:t>
      </w:r>
      <w:r>
        <w:t xml:space="preserve"> </w:t>
      </w:r>
      <w:r>
        <w:t xml:space="preserve">sampling noise rather than true district-level signal. We estimate, for each</w:t>
      </w:r>
      <w:r>
        <w:t xml:space="preserve"> </w:t>
      </w:r>
      <w:r>
        <w:t xml:space="preserve">country–outcome cell, the maximum Pearson r any model could achieve given</w:t>
      </w:r>
      <w:r>
        <w:t xml:space="preserve"> </w:t>
      </w:r>
      <w:r>
        <w:t xml:space="preserve">that noise floor:</w:t>
      </w:r>
    </w:p>
    <w:p>
      <w:pPr>
        <w:pStyle w:val="BodyText"/>
      </w:pPr>
      <m:oMathPara>
        <m:oMathParaPr>
          <m:jc m:val="center"/>
        </m:oMathParaPr>
        <m:oMath>
          <m:r>
            <m:t>λ</m:t>
          </m:r>
          <m:r>
            <m:rPr>
              <m:sty m:val="p"/>
            </m:rPr>
            <m:t>=</m:t>
          </m:r>
          <m:r>
            <m:t>1</m:t>
          </m:r>
          <m:r>
            <m:rPr>
              <m:sty m:val="p"/>
            </m:rPr>
            <m:t>−</m:t>
          </m:r>
          <m:f>
            <m:fPr>
              <m:type m:val="bar"/>
            </m:fPr>
            <m:num>
              <m:r>
                <m:t>E</m:t>
              </m:r>
              <m:d>
                <m:dPr>
                  <m:begChr m:val="["/>
                  <m:endChr m:val="]"/>
                  <m:sepChr m:val=""/>
                  <m:grow/>
                </m:dPr>
                <m:e>
                  <m:sSub>
                    <m:e>
                      <m:r>
                        <m:t>V</m:t>
                      </m:r>
                    </m:e>
                    <m:sub>
                      <m:r>
                        <m:rPr>
                          <m:nor/>
                          <m:sty m:val="p"/>
                        </m:rPr>
                        <m:t>sampling</m:t>
                      </m:r>
                    </m:sub>
                  </m:sSub>
                </m:e>
              </m:d>
            </m:num>
            <m:den>
              <m:r>
                <m:rPr>
                  <m:sty m:val="p"/>
                </m:rPr>
                <m:t>V</m:t>
              </m:r>
              <m:r>
                <m:rPr>
                  <m:sty m:val="p"/>
                </m:rPr>
                <m:t>a</m:t>
              </m:r>
              <m:r>
                <m:rPr>
                  <m:sty m:val="p"/>
                </m:rPr>
                <m:t>r</m:t>
              </m:r>
              <m:d>
                <m:dPr>
                  <m:begChr m:val="("/>
                  <m:endChr m:val=")"/>
                  <m:sepChr m:val=""/>
                  <m:grow/>
                </m:dPr>
                <m:e>
                  <m:sSub>
                    <m:e>
                      <m:r>
                        <m:t>p</m:t>
                      </m:r>
                    </m:e>
                    <m:sub>
                      <m:r>
                        <m:rPr>
                          <m:nor/>
                          <m:sty m:val="p"/>
                        </m:rPr>
                        <m:t>obs</m:t>
                      </m:r>
                    </m:sub>
                  </m:sSub>
                </m:e>
              </m:d>
            </m:den>
          </m:f>
          <m:r>
            <m:rPr>
              <m:sty m:val="p"/>
            </m:rPr>
            <m:t>,</m:t>
          </m:r>
          <m:r>
            <m:t>  </m:t>
          </m:r>
          <m:sSub>
            <m:e>
              <m:r>
                <m:t>r</m:t>
              </m:r>
            </m:e>
            <m:sub>
              <m:r>
                <m:rPr>
                  <m:sty m:val="p"/>
                </m:rPr>
                <m:t>max</m:t>
              </m:r>
            </m:sub>
          </m:sSub>
          <m:r>
            <m:rPr>
              <m:sty m:val="p"/>
            </m:rPr>
            <m:t>=</m:t>
          </m:r>
          <m:rad>
            <m:radPr>
              <m:degHide m:val="on"/>
            </m:radPr>
            <m:deg/>
            <m:e>
              <m:r>
                <m:t>λ</m:t>
              </m:r>
            </m:e>
          </m:rad>
          <m:r>
            <m:rPr>
              <m:sty m:val="p"/>
            </m:rPr>
            <m:t>,</m:t>
          </m:r>
        </m:oMath>
      </m:oMathPara>
    </w:p>
    <w:p>
      <w:pPr>
        <w:pStyle w:val="FirstParagraph"/>
      </w:pPr>
      <w:r>
        <w:t xml:space="preserve">where</w:t>
      </w:r>
      <w:r>
        <w:t xml:space="preserve"> </w:t>
      </w:r>
      <m:oMath>
        <m:sSub>
          <m:e>
            <m:r>
              <m:t>V</m:t>
            </m:r>
          </m:e>
          <m:sub>
            <m:r>
              <m:rPr>
                <m:nor/>
                <m:sty m:val="p"/>
              </m:rPr>
              <m:t>sampling</m:t>
            </m:r>
          </m:sub>
        </m:sSub>
      </m:oMath>
      <w:r>
        <w:t xml:space="preserve"> </w:t>
      </w:r>
      <w:r>
        <w:t xml:space="preserve">is the design-based sampling variance of each</w:t>
      </w:r>
      <w:r>
        <w:t xml:space="preserve"> </w:t>
      </w:r>
      <w:r>
        <w:t xml:space="preserve">district’s direct estimate (accounting for clustering) and</w:t>
      </w:r>
      <w:r>
        <w:t xml:space="preserve"> </w:t>
      </w:r>
      <m:oMath>
        <m:r>
          <m:t>λ</m:t>
        </m:r>
      </m:oMath>
      <w:r>
        <w:t xml:space="preserve"> </w:t>
      </w:r>
      <w:r>
        <w:t xml:space="preserve">is</w:t>
      </w:r>
      <w:r>
        <w:t xml:space="preserve"> </w:t>
      </w:r>
      <w:r>
        <w:t xml:space="preserve">bounded at zero. We report observed correlations both in absolute terms and</w:t>
      </w:r>
      <w:r>
        <w:t xml:space="preserve"> </w:t>
      </w:r>
      <w:r>
        <w:t xml:space="preserve">as a share of</w:t>
      </w:r>
      <w:r>
        <w:t xml:space="preserve"> </w:t>
      </w:r>
      <m:oMath>
        <m:sSub>
          <m:e>
            <m:r>
              <m:t>r</m:t>
            </m:r>
          </m:e>
          <m:sub>
            <m:r>
              <m:rPr>
                <m:sty m:val="p"/>
              </m:rPr>
              <m:t>max</m:t>
            </m:r>
          </m:sub>
        </m:sSub>
      </m:oMath>
      <w:r>
        <w:t xml:space="preserve">, and flag cells with</w:t>
      </w:r>
      <w:r>
        <w:t xml:space="preserve"> </w:t>
      </w:r>
      <m:oMath>
        <m:r>
          <m:t>λ</m:t>
        </m:r>
        <m:r>
          <m:rPr>
            <m:sty m:val="p"/>
          </m:rPr>
          <m:t>≤</m:t>
        </m:r>
        <m:r>
          <m:t>0</m:t>
        </m:r>
      </m:oMath>
      <w:r>
        <w:t xml:space="preserve"> </w:t>
      </w:r>
      <w:r>
        <w:t xml:space="preserve">as having no</w:t>
      </w:r>
      <w:r>
        <w:t xml:space="preserve"> </w:t>
      </w:r>
      <w:r>
        <w:t xml:space="preserve">detectable signal above sampling noise — a target that no model, however</w:t>
      </w:r>
      <w:r>
        <w:t xml:space="preserve"> </w:t>
      </w:r>
      <w:r>
        <w:t xml:space="preserve">well specified, could predict.</w:t>
      </w:r>
    </w:p>
    <w:p>
      <w:pPr>
        <w:pStyle w:val="BodyText"/>
      </w:pPr>
      <w:r>
        <w:t xml:space="preserve">A subsequent methods-development analysis explored whether modelling the</w:t>
      </w:r>
      <w:r>
        <w:t xml:space="preserve"> </w:t>
      </w:r>
      <w:r>
        <w:t xml:space="preserve">area prevalence directly, rather than fitting an unregularised</w:t>
      </w:r>
      <w:r>
        <w:t xml:space="preserve"> </w:t>
      </w:r>
      <w:r>
        <w:t xml:space="preserve">p ≫ n SuperLearner on the polygons, could recover a stronger within-country</w:t>
      </w:r>
      <w:r>
        <w:t xml:space="preserve"> </w:t>
      </w:r>
      <w:r>
        <w:t xml:space="preserve">estimator. We developed an</w:t>
      </w:r>
      <w:r>
        <w:t xml:space="preserve"> </w:t>
      </w:r>
      <w:r>
        <w:rPr>
          <w:b/>
          <w:bCs/>
        </w:rPr>
        <w:t xml:space="preserve">area-level prevalence recipe</w:t>
      </w:r>
      <w:r>
        <w:t xml:space="preserve">: admin-2</w:t>
      </w:r>
      <w:r>
        <w:t xml:space="preserve"> </w:t>
      </w:r>
      <w:r>
        <w:t xml:space="preserve">survey-weighted prevalence under a</w:t>
      </w:r>
      <w:r>
        <w:t xml:space="preserve"> </w:t>
      </w:r>
      <w:r>
        <w:rPr>
          <w:b/>
          <w:bCs/>
        </w:rPr>
        <w:t xml:space="preserve">binomial (count) loss weighted by the</w:t>
      </w:r>
      <w:r>
        <w:rPr>
          <w:b/>
          <w:bCs/>
        </w:rPr>
        <w:t xml:space="preserve"> </w:t>
      </w:r>
      <w:r>
        <w:rPr>
          <w:b/>
          <w:bCs/>
        </w:rPr>
        <w:t xml:space="preserve">survey sample size</w:t>
      </w:r>
      <w:r>
        <w:t xml:space="preserve"> </w:t>
      </w:r>
      <w:r>
        <w:t xml:space="preserve">(which leaves district ranking unchanged relative to a</w:t>
      </w:r>
      <w:r>
        <w:t xml:space="preserve"> </w:t>
      </w:r>
      <w:r>
        <w:t xml:space="preserve">Gaussian logit fit but markedly improves calibration); a mild</w:t>
      </w:r>
      <w:r>
        <w:t xml:space="preserve"> </w:t>
      </w:r>
      <w:r>
        <w:rPr>
          <w:b/>
          <w:bCs/>
        </w:rPr>
        <w:t xml:space="preserve">global</w:t>
      </w:r>
      <w:r>
        <w:rPr>
          <w:b/>
          <w:bCs/>
        </w:rPr>
        <w:t xml:space="preserve"> </w:t>
      </w:r>
      <w:r>
        <w:rPr>
          <w:b/>
          <w:bCs/>
        </w:rPr>
        <w:t xml:space="preserve">near-null pre-filter</w:t>
      </w:r>
      <w:r>
        <w:t xml:space="preserve"> </w:t>
      </w:r>
      <w:r>
        <w:t xml:space="preserve">(covariates whose marginal association with the</w:t>
      </w:r>
      <w:r>
        <w:t xml:space="preserve"> </w:t>
      </w:r>
      <w:r>
        <w:t xml:space="preserve">outcome falls in the lowest 70% are dropped) followed by an in-fold</w:t>
      </w:r>
      <w:r>
        <w:t xml:space="preserve"> </w:t>
      </w:r>
      <w:r>
        <w:t xml:space="preserve">supervised screen; and a penalised regression (elastic net), with two opt-in</w:t>
      </w:r>
      <w:r>
        <w:t xml:space="preserve"> </w:t>
      </w:r>
      <w:r>
        <w:t xml:space="preserve">variants (a domain-wise late-fusion stack, and for vitamin A a distributional</w:t>
      </w:r>
      <w:r>
        <w:t xml:space="preserve"> </w:t>
      </w:r>
      <w:r>
        <w:t xml:space="preserve">estimator that integrates over the deficiency threshold). Read against the</w:t>
      </w:r>
      <w:r>
        <w:t xml:space="preserve"> </w:t>
      </w:r>
      <w:r>
        <w:t xml:space="preserve">reliability ceiling and the two uninformed baselines above, this recipe’s</w:t>
      </w:r>
      <w:r>
        <w:t xml:space="preserve"> </w:t>
      </w:r>
      <w:r>
        <w:t xml:space="preserve">comparative claims did</w:t>
      </w:r>
      <w:r>
        <w:t xml:space="preserve"> </w:t>
      </w:r>
      <w:r>
        <w:rPr>
          <w:b/>
          <w:bCs/>
        </w:rPr>
        <w:t xml:space="preserve">not</w:t>
      </w:r>
      <w:r>
        <w:t xml:space="preserve"> </w:t>
      </w:r>
      <w:r>
        <w:t xml:space="preserve">hold up under further audit (Results,</w:t>
      </w:r>
      <w:r>
        <w:t xml:space="preserve"> </w:t>
      </w:r>
      <w:hyperlink w:anchor="sec-recipe-audit">
        <w:r>
          <w:rPr>
            <w:rStyle w:val="Hyperlink"/>
          </w:rPr>
          <w:t xml:space="preserve">Section 3.4</w:t>
        </w:r>
      </w:hyperlink>
      <w:r>
        <w:t xml:space="preserve">): its cross-country comparator (a spatial-plus-soil model)</w:t>
      </w:r>
      <w:r>
        <w:t xml:space="preserve"> </w:t>
      </w:r>
      <w:r>
        <w:t xml:space="preserve">was ranked using LOCO correlations computed on the same held-out countries</w:t>
      </w:r>
      <w:r>
        <w:t xml:space="preserve"> </w:t>
      </w:r>
      <w:r>
        <w:t xml:space="preserve">the ranking was then evaluated on, and re-deriving the pre-filter honestly</w:t>
      </w:r>
      <w:r>
        <w:t xml:space="preserve"> </w:t>
      </w:r>
      <w:r>
        <w:t xml:space="preserve">inside each resampling fold (rather than once on the full data before</w:t>
      </w:r>
      <w:r>
        <w:t xml:space="preserve"> </w:t>
      </w:r>
      <w:r>
        <w:t xml:space="preserve">splitting) reduced its apparent Spearman gain by 0.16–0.30. We retain the</w:t>
      </w:r>
      <w:r>
        <w:t xml:space="preserve"> </w:t>
      </w:r>
      <w:r>
        <w:t xml:space="preserve">recipe’s specification and within-country point estimates for completeness</w:t>
      </w:r>
      <w:r>
        <w:t xml:space="preserve"> </w:t>
      </w:r>
      <w:r>
        <w:t xml:space="preserve">(Supplementary Appendix Table S1, project area-level recipe specification)</w:t>
      </w:r>
      <w:r>
        <w:t xml:space="preserve"> </w:t>
      </w:r>
      <w:r>
        <w:t xml:space="preserve">but report the corrected, null- and ceiling-referenced comparison as the</w:t>
      </w:r>
      <w:r>
        <w:t xml:space="preserve"> </w:t>
      </w:r>
      <w:r>
        <w:t xml:space="preserve">primary within-country result.</w:t>
      </w:r>
    </w:p>
    <w:p>
      <w:pPr>
        <w:pStyle w:val="BodyText"/>
      </w:pPr>
      <w:r>
        <w:t xml:space="preserve">The full list of strategies with their loss functions and implementations is</w:t>
      </w:r>
      <w:r>
        <w:t xml:space="preserve"> </w:t>
      </w:r>
      <w:r>
        <w:t xml:space="preserve">given in Supplementary Appendix Table S1, and the complete modelling detail</w:t>
      </w:r>
      <w:r>
        <w:t xml:space="preserve"> </w:t>
      </w:r>
      <w:r>
        <w:t xml:space="preserve">(learner libraries and hyper-parameters, adjacency construction, post-hoc</w:t>
      </w:r>
      <w:r>
        <w:t xml:space="preserve"> </w:t>
      </w:r>
      <w:r>
        <w:t xml:space="preserve">calibration, outcome-aware feature augmentation, and the bootstrap interval</w:t>
      </w:r>
      <w:r>
        <w:t xml:space="preserve"> </w:t>
      </w:r>
      <w:r>
        <w:t xml:space="preserve">procedure) is in Supplementary Appendix Section S5.</w:t>
      </w:r>
    </w:p>
    <w:bookmarkEnd w:id="24"/>
    <w:bookmarkStart w:id="25" w:name="X8270b41fd5975bd7e5cc3725cf923372727e6bc"/>
    <w:p>
      <w:pPr>
        <w:pStyle w:val="Heading2"/>
      </w:pPr>
      <w:r>
        <w:t xml:space="preserve">2.4 Honest evaluation and the corrected-methods analysis of record</w:t>
      </w:r>
    </w:p>
    <w:p>
      <w:pPr>
        <w:pStyle w:val="FirstParagraph"/>
      </w:pPr>
      <w:r>
        <w:t xml:space="preserve">Initial benchmarking surfaced several ways an analysis at this scale can</w:t>
      </w:r>
      <w:r>
        <w:t xml:space="preserve"> </w:t>
      </w:r>
      <w:r>
        <w:t xml:space="preserve">flatter itself, so the headline results below come from a set of corrected,</w:t>
      </w:r>
      <w:r>
        <w:t xml:space="preserve"> </w:t>
      </w:r>
      <w:r>
        <w:t xml:space="preserve">leakage-free methods (referred to as the P1–P8 methods) that constitute the</w:t>
      </w:r>
      <w:r>
        <w:t xml:space="preserve"> </w:t>
      </w:r>
      <w:r>
        <w:t xml:space="preserve">analysis of record; the original production-pipeline equivalents are retained</w:t>
      </w:r>
      <w:r>
        <w:t xml:space="preserve"> </w:t>
      </w:r>
      <w:r>
        <w:t xml:space="preserve">as a sensitivity comparison. In brief, the corrected methods (i) perform all</w:t>
      </w:r>
      <w:r>
        <w:t xml:space="preserve"> </w:t>
      </w:r>
      <w:r>
        <w:t xml:space="preserve">preprocessing inside each cross-validation fold and form folds by survey</w:t>
      </w:r>
      <w:r>
        <w:t xml:space="preserve"> </w:t>
      </w:r>
      <w:r>
        <w:t xml:space="preserve">cluster and by spatial region, so that no information leaks from held-out</w:t>
      </w:r>
      <w:r>
        <w:t xml:space="preserve"> </w:t>
      </w:r>
      <w:r>
        <w:t xml:space="preserve">areas; (ii) recalibrate binary predictions out-of-fold rather than in-sample;</w:t>
      </w:r>
      <w:r>
        <w:t xml:space="preserve"> </w:t>
      </w:r>
      <w:r>
        <w:t xml:space="preserve">(iii) separate the component of admin-2 prediction error that is attributable</w:t>
      </w:r>
      <w:r>
        <w:t xml:space="preserve"> </w:t>
      </w:r>
      <w:r>
        <w:t xml:space="preserve">to survey sampling noise from genuine model error; (iv) attach</w:t>
      </w:r>
      <w:r>
        <w:t xml:space="preserve"> </w:t>
      </w:r>
      <w:r>
        <w:t xml:space="preserve">split-conformal prediction intervals and design-based survey intervals to each</w:t>
      </w:r>
      <w:r>
        <w:t xml:space="preserve"> </w:t>
      </w:r>
      <w:r>
        <w:t xml:space="preserve">district; (v) score the decision-relevant task of correctly ranking the</w:t>
      </w:r>
      <w:r>
        <w:t xml:space="preserve"> </w:t>
      </w:r>
      <w:r>
        <w:t xml:space="preserve">highest-burden districts; (vi) flag districts whose covariates fall outside the</w:t>
      </w:r>
      <w:r>
        <w:t xml:space="preserve"> </w:t>
      </w:r>
      <w:r>
        <w:t xml:space="preserve">surveyed training range as out-of-support; and (vii) produce partial-pooling</w:t>
      </w:r>
      <w:r>
        <w:t xml:space="preserve"> </w:t>
      </w:r>
      <w:r>
        <w:t xml:space="preserve">(empirical-Bayes) area estimates. The full specification is in Supplementary</w:t>
      </w:r>
      <w:r>
        <w:t xml:space="preserve"> </w:t>
      </w:r>
      <w:r>
        <w:t xml:space="preserve">Appendix Section S6.</w:t>
      </w:r>
    </w:p>
    <w:p>
      <w:pPr>
        <w:pStyle w:val="BodyText"/>
      </w:pPr>
      <w:r>
        <w:t xml:space="preserve">Two further safeguards apply to the area-level recipe. First, every reported</w:t>
      </w:r>
      <w:r>
        <w:t xml:space="preserve"> </w:t>
      </w:r>
      <w:r>
        <w:t xml:space="preserve">correlation carries an area-bootstrap 95% confidence interval and a</w:t>
      </w:r>
      <w:r>
        <w:t xml:space="preserve"> </w:t>
      </w:r>
      <w:r>
        <w:t xml:space="preserve">non-parametric permutation-null</w:t>
      </w:r>
      <w:r>
        <w:t xml:space="preserve"> </w:t>
      </w:r>
      <w:r>
        <w:rPr>
          <w:i/>
          <w:iCs/>
        </w:rPr>
        <w:t xml:space="preserve">p</w:t>
      </w:r>
      <w:r>
        <w:t xml:space="preserve">-value (the permutation re-labels districts</w:t>
      </w:r>
      <w:r>
        <w:t xml:space="preserve"> </w:t>
      </w:r>
      <w:r>
        <w:t xml:space="preserve">within country), so signal can be distinguished from sampling noise at the small</w:t>
      </w:r>
      <w:r>
        <w:t xml:space="preserve"> </w:t>
      </w:r>
      <w:r>
        <w:t xml:space="preserve">effective sample sizes involved. Second, the global near-null pre-filter is</w:t>
      </w:r>
      <w:r>
        <w:t xml:space="preserve"> </w:t>
      </w:r>
      <w:r>
        <w:t xml:space="preserve">shown to be leakage-free by an honest permutation test that</w:t>
      </w:r>
      <w:r>
        <w:t xml:space="preserve"> </w:t>
      </w:r>
      <w:r>
        <w:rPr>
          <w:b/>
          <w:bCs/>
        </w:rPr>
        <w:t xml:space="preserve">re-derives the</w:t>
      </w:r>
      <w:r>
        <w:rPr>
          <w:b/>
          <w:bCs/>
        </w:rPr>
        <w:t xml:space="preserve"> </w:t>
      </w:r>
      <w:r>
        <w:rPr>
          <w:b/>
          <w:bCs/>
        </w:rPr>
        <w:t xml:space="preserve">filter on each permuted outcome</w:t>
      </w:r>
      <w:r>
        <w:t xml:space="preserve">: the resulting null distribution of the</w:t>
      </w:r>
      <w:r>
        <w:t xml:space="preserve"> </w:t>
      </w:r>
      <w:r>
        <w:t xml:space="preserve">out-of-sample correlation remains centred at zero (95th percentile 0.17–0.35</w:t>
      </w:r>
      <w:r>
        <w:t xml:space="preserve"> </w:t>
      </w:r>
      <w:r>
        <w:t xml:space="preserve">across cells) while the observed correlations are 0.29–0.65 (permutation</w:t>
      </w:r>
      <w:r>
        <w:t xml:space="preserve"> </w:t>
      </w:r>
      <w:r>
        <w:rPr>
          <w:i/>
          <w:iCs/>
        </w:rPr>
        <w:t xml:space="preserve">p</w:t>
      </w:r>
      <w:r>
        <w:t xml:space="preserve"> </w:t>
      </w:r>
      <w:r>
        <w:t xml:space="preserve">≤ 0.02), confirming that dropping obvious near-null covariates on the full</w:t>
      </w:r>
      <w:r>
        <w:t xml:space="preserve"> </w:t>
      </w:r>
      <w:r>
        <w:t xml:space="preserve">data introduces negligible optimism. The empirical-Bayes / Fay–Herriot layer is</w:t>
      </w:r>
      <w:r>
        <w:t xml:space="preserve"> </w:t>
      </w:r>
      <w:r>
        <w:t xml:space="preserve">used for honest interval width only and not to shrink the point level, because</w:t>
      </w:r>
      <w:r>
        <w:t xml:space="preserve"> </w:t>
      </w:r>
      <w:r>
        <w:t xml:space="preserve">the covariates carry district ranking but not absolute level; the level is set</w:t>
      </w:r>
      <w:r>
        <w:t xml:space="preserve"> </w:t>
      </w:r>
      <w:r>
        <w:t xml:space="preserve">by anchoring to a known national prevalence.</w:t>
      </w:r>
    </w:p>
    <w:bookmarkEnd w:id="25"/>
    <w:bookmarkStart w:id="26" w:name="evaluation"/>
    <w:p>
      <w:pPr>
        <w:pStyle w:val="Heading2"/>
      </w:pPr>
      <w:r>
        <w:t xml:space="preserve">2.5 Evaluation</w:t>
      </w:r>
    </w:p>
    <w:p>
      <w:pPr>
        <w:pStyle w:val="FirstParagraph"/>
      </w:pPr>
      <w:r>
        <w:t xml:space="preserve">We evaluated two questions corresponding to two deployment regimes.</w:t>
      </w:r>
      <w:r>
        <w:t xml:space="preserve"> </w:t>
      </w:r>
      <w:r>
        <w:rPr>
          <w:b/>
          <w:bCs/>
        </w:rPr>
        <w:t xml:space="preserve">Within-country</w:t>
      </w:r>
      <w:r>
        <w:t xml:space="preserve"> </w:t>
      </w:r>
      <w:r>
        <w:t xml:space="preserve">spatial accuracy (gap-filling unsurveyed districts in a</w:t>
      </w:r>
      <w:r>
        <w:t xml:space="preserve"> </w:t>
      </w:r>
      <w:r>
        <w:t xml:space="preserve">country with some survey data) was estimated by cross-validation on each</w:t>
      </w:r>
      <w:r>
        <w:t xml:space="preserve"> </w:t>
      </w:r>
      <w:r>
        <w:t xml:space="preserve">country’s admin-2 set with metrics on the union of out-of-fold predictions; for</w:t>
      </w:r>
      <w:r>
        <w:t xml:space="preserve"> </w:t>
      </w:r>
      <w:r>
        <w:t xml:space="preserve">the area-level recipe we report both</w:t>
      </w:r>
      <w:r>
        <w:t xml:space="preserve"> </w:t>
      </w:r>
      <w:r>
        <w:rPr>
          <w:b/>
          <w:bCs/>
        </w:rPr>
        <w:t xml:space="preserve">district-block</w:t>
      </w:r>
      <w:r>
        <w:t xml:space="preserve"> </w:t>
      </w:r>
      <w:r>
        <w:t xml:space="preserve">cross-validation (whole</w:t>
      </w:r>
      <w:r>
        <w:t xml:space="preserve"> </w:t>
      </w:r>
      <w:r>
        <w:t xml:space="preserve">districts held out) and the more demanding</w:t>
      </w:r>
      <w:r>
        <w:t xml:space="preserve"> </w:t>
      </w:r>
      <w:r>
        <w:rPr>
          <w:b/>
          <w:bCs/>
        </w:rPr>
        <w:t xml:space="preserve">region-block</w:t>
      </w:r>
      <w:r>
        <w:t xml:space="preserve"> </w:t>
      </w:r>
      <w:r>
        <w:t xml:space="preserve">scheme (whole admin-1</w:t>
      </w:r>
      <w:r>
        <w:t xml:space="preserve"> </w:t>
      </w:r>
      <w:r>
        <w:t xml:space="preserve">regions held out), using the enriched covariate set.</w:t>
      </w:r>
      <w:r>
        <w:t xml:space="preserve"> </w:t>
      </w:r>
      <w:r>
        <w:rPr>
          <w:b/>
          <w:bCs/>
        </w:rPr>
        <w:t xml:space="preserve">Cross-country</w:t>
      </w:r>
      <w:r>
        <w:rPr>
          <w:b/>
          <w:bCs/>
        </w:rPr>
        <w:t xml:space="preserve"> </w:t>
      </w:r>
      <w:r>
        <w:rPr>
          <w:b/>
          <w:bCs/>
        </w:rPr>
        <w:t xml:space="preserve">transportability</w:t>
      </w:r>
      <w:r>
        <w:t xml:space="preserve"> </w:t>
      </w:r>
      <w:r>
        <w:t xml:space="preserve">(predicting a country with no biomarker survey) was assessed</w:t>
      </w:r>
      <w:r>
        <w:t xml:space="preserve"> </w:t>
      </w:r>
      <w:r>
        <w:t xml:space="preserve">by leave-one-country-out (LOCO) holdout on the pooled admin-2 dataset using the</w:t>
      </w:r>
      <w:r>
        <w:t xml:space="preserve"> </w:t>
      </w:r>
      <w:r>
        <w:t xml:space="preserve">universal covariate set and scored by rank correlation, which is invariant to</w:t>
      </w:r>
      <w:r>
        <w:t xml:space="preserve"> </w:t>
      </w:r>
      <w:r>
        <w:t xml:space="preserve">the untransportable absolute level: the model is trained on three countries’</w:t>
      </w:r>
      <w:r>
        <w:t xml:space="preserve"> </w:t>
      </w:r>
      <w:r>
        <w:t xml:space="preserve">admin-2 areas (n = 119–192) and evaluated on the fourth’s (n = 14–87). Metrics reported are Pearson and Spearman</w:t>
      </w:r>
      <w:r>
        <w:t xml:space="preserve"> </w:t>
      </w:r>
      <w:r>
        <w:t xml:space="preserve">correlation, mean absolute and root-mean-squared error in percentage</w:t>
      </w:r>
      <w:r>
        <w:t xml:space="preserve"> </w:t>
      </w:r>
      <w:r>
        <w:t xml:space="preserve">points, mean bias in percentage points, and calibration slope from a</w:t>
      </w:r>
      <w:r>
        <w:t xml:space="preserve"> </w:t>
      </w:r>
      <w:r>
        <w:t xml:space="preserve">linear regression of observed on predicted prevalence.</w:t>
      </w:r>
    </w:p>
    <w:p>
      <w:pPr>
        <w:pStyle w:val="BodyText"/>
      </w:pPr>
      <w:r>
        <w:t xml:space="preserve">For binary classifiers we additionally report area under the ROC curve</w:t>
      </w:r>
      <w:r>
        <w:t xml:space="preserve"> </w:t>
      </w:r>
      <w:r>
        <w:t xml:space="preserve">(AUC), Brier score and Brier skill score, expected and maximum</w:t>
      </w:r>
      <w:r>
        <w:t xml:space="preserve"> </w:t>
      </w:r>
      <w:r>
        <w:t xml:space="preserve">calibration error, and the calibration intercept and slope from a</w:t>
      </w:r>
      <w:r>
        <w:t xml:space="preserve"> </w:t>
      </w:r>
      <w:r>
        <w:t xml:space="preserve">Cox-style logistic recalibration. For continuous biomarker regressions</w:t>
      </w:r>
      <w:r>
        <w:t xml:space="preserve"> </w:t>
      </w:r>
      <w:r>
        <w:t xml:space="preserve">we report R² and Pearson r.</w:t>
      </w:r>
    </w:p>
    <w:p>
      <w:pPr>
        <w:pStyle w:val="BodyText"/>
      </w:pPr>
      <w:r>
        <w:t xml:space="preserve">All analyses were executed via the</w:t>
      </w:r>
      <w:r>
        <w:t xml:space="preserve"> </w:t>
      </w:r>
      <w:r>
        <w:rPr>
          <w:rStyle w:val="VerbatimChar"/>
        </w:rPr>
        <w:t xml:space="preserve">targets</w:t>
      </w:r>
      <w:r>
        <w:t xml:space="preserve"> </w:t>
      </w:r>
      <w:r>
        <w:t xml:space="preserve">R package</w:t>
      </w:r>
      <w:r>
        <w:t xml:space="preserve"> </w:t>
      </w:r>
      <w:r>
        <w:t xml:space="preserve">(Landau 2021)</w:t>
      </w:r>
      <w:r>
        <w:t xml:space="preserve"> </w:t>
      </w:r>
      <w:r>
        <w:t xml:space="preserve">for reproducible dependency-aware execution. Code</w:t>
      </w:r>
      <w:r>
        <w:t xml:space="preserve"> </w:t>
      </w:r>
      <w:r>
        <w:t xml:space="preserve">and pipeline definitions are available at</w:t>
      </w:r>
      <w:r>
        <w:t xml:space="preserve"> </w:t>
      </w:r>
      <w:r>
        <w:t xml:space="preserve">.</w:t>
      </w:r>
    </w:p>
    <w:bookmarkEnd w:id="26"/>
    <w:bookmarkEnd w:id="27"/>
    <w:bookmarkStart w:id="63" w:name="results"/>
    <w:p>
      <w:pPr>
        <w:pStyle w:val="Heading1"/>
      </w:pPr>
      <w:r>
        <w:t xml:space="preserve">3. Results</w:t>
      </w:r>
    </w:p>
    <w:bookmarkStart w:id="28" w:name="sample-characteristics"/>
    <w:p>
      <w:pPr>
        <w:pStyle w:val="Heading2"/>
      </w:pPr>
      <w:r>
        <w:t xml:space="preserve">3.1 Sample characteristics</w:t>
      </w:r>
    </w:p>
    <w:p>
      <w:pPr>
        <w:pStyle w:val="FirstParagraph"/>
      </w:pPr>
      <w:r>
        <w:t xml:space="preserve">The pooled admin-2 dataset comprised 206 administrative units across the</w:t>
      </w:r>
      <w:r>
        <w:t xml:space="preserve"> </w:t>
      </w:r>
      <w:r>
        <w:t xml:space="preserve">four countries (Gambia 30, Ghana 75, Sierra Leone 14, Malawi 90). Sample</w:t>
      </w:r>
      <w:r>
        <w:t xml:space="preserve"> </w:t>
      </w:r>
      <w:r>
        <w:t xml:space="preserve">sizes per country and biomarker are presented in</w:t>
      </w:r>
      <w:r>
        <w:t xml:space="preserve"> </w:t>
      </w:r>
      <w:hyperlink w:anchor="tbl-cohort">
        <w:r>
          <w:rPr>
            <w:rStyle w:val="Hyperlink"/>
          </w:rPr>
          <w:t xml:space="preserve">Table 1</w:t>
        </w:r>
      </w:hyperlink>
      <w:r>
        <w:t xml:space="preserve">.</w:t>
      </w:r>
      <w:r>
        <w:t xml:space="preserve"> </w:t>
      </w:r>
      <w:r>
        <w:t xml:space="preserve">Observed admin-2 deficiency prevalence varied widely across outcomes and</w:t>
      </w:r>
      <w:r>
        <w:t xml:space="preserve"> </w:t>
      </w:r>
      <w:r>
        <w:t xml:space="preserve">countries, with iron deficiency in children ranging from 5.8% (Sierra Leone)</w:t>
      </w:r>
      <w:r>
        <w:t xml:space="preserve"> </w:t>
      </w:r>
      <w:r>
        <w:t xml:space="preserve">to 42.0% (Gambia), and vitamin-A deficiency in women below 3% in all four</w:t>
      </w:r>
      <w:r>
        <w:t xml:space="preserve"> </w:t>
      </w:r>
      <w:r>
        <w:t xml:space="preserve">countries.</w:t>
      </w:r>
    </w:p>
    <w:bookmarkEnd w:id="28"/>
    <w:bookmarkStart w:id="30" w:name="within-country-admin-2-estimation"/>
    <w:p>
      <w:pPr>
        <w:pStyle w:val="Heading2"/>
      </w:pPr>
      <w:r>
        <w:t xml:space="preserve">3.2 Within-country admin-2 estimation</w:t>
      </w:r>
    </w:p>
    <w:p>
      <w:pPr>
        <w:pStyle w:val="FirstParagraph"/>
      </w:pPr>
      <w:r>
        <w:t xml:space="preserve">Under genuinely out-of-fold evaluation, within-country admin-2 ranking was</w:t>
      </w:r>
      <w:r>
        <w:t xml:space="preserve"> </w:t>
      </w:r>
      <w:r>
        <w:t xml:space="preserve">modest, and only one of the five compared approaches clearly beat a</w:t>
      </w:r>
      <w:r>
        <w:t xml:space="preserve"> </w:t>
      </w:r>
      <w:r>
        <w:t xml:space="preserve">national-mean null (</w:t>
      </w:r>
      <w:hyperlink w:anchor="tbl-area-comparison">
        <w:r>
          <w:rPr>
            <w:rStyle w:val="Hyperlink"/>
          </w:rPr>
          <w:t xml:space="preserve">Table 2</w:t>
        </w:r>
      </w:hyperlink>
      <w:r>
        <w:t xml:space="preserve">). Aggregating the individual-level</w:t>
      </w:r>
      <w:r>
        <w:t xml:space="preserve"> </w:t>
      </w:r>
      <w:r>
        <w:t xml:space="preserve">SuperLearner’s out-of-fold predictions to admin-2 was the strongest approach</w:t>
      </w:r>
      <w:r>
        <w:t xml:space="preserve"> </w:t>
      </w:r>
      <w:r>
        <w:t xml:space="preserve">(median Pearson r 0.516 across 24 country–outcome cells; median MAE 8.55 pp,</w:t>
      </w:r>
      <w:r>
        <w:t xml:space="preserve"> </w:t>
      </w:r>
      <w:r>
        <w:t xml:space="preserve">92% of the reliability ceiling defined below). Neither area-level</w:t>
      </w:r>
      <w:r>
        <w:t xml:space="preserve"> </w:t>
      </w:r>
      <w:r>
        <w:t xml:space="preserve">SuperLearner variant, fit directly on the admin-2 polygons, beat the null:</w:t>
      </w:r>
      <w:r>
        <w:t xml:space="preserve"> </w:t>
      </w:r>
      <w:r>
        <w:t xml:space="preserve">median r 0.16 (MSE loss) and 0.215 (NLL loss), with median MAE of 9.31 and</w:t>
      </w:r>
      <w:r>
        <w:t xml:space="preserve"> </w:t>
      </w:r>
      <w:r>
        <w:t xml:space="preserve">9.84 pp respectively — worse than the 9.55 pp a country-mean-everywhere null</w:t>
      </w:r>
      <w:r>
        <w:t xml:space="preserve"> </w:t>
      </w:r>
      <w:r>
        <w:t xml:space="preserve">achieves by construction. A covariate-free spatial-only smoother on admin-2</w:t>
      </w:r>
      <w:r>
        <w:t xml:space="preserve"> </w:t>
      </w:r>
      <w:r>
        <w:t xml:space="preserve">centroid coordinates outperformed both area-level covariate models on rank</w:t>
      </w:r>
      <w:r>
        <w:t xml:space="preserve"> </w:t>
      </w:r>
      <w:r>
        <w:t xml:space="preserve">correlation (median r 0.393, 18 evaluable cells) while remaining close to the</w:t>
      </w:r>
      <w:r>
        <w:t xml:space="preserve"> </w:t>
      </w:r>
      <w:r>
        <w:t xml:space="preserve">null on absolute error (MAE 9.98 pp), indicating that at admin-2 the</w:t>
      </w:r>
      <w:r>
        <w:t xml:space="preserve"> </w:t>
      </w:r>
      <w:r>
        <w:t xml:space="preserve">area-level covariates add essentially nothing beyond</w:t>
      </w:r>
      <w:r>
        <w:t xml:space="preserve"> </w:t>
      </w:r>
      <w:r>
        <w:t xml:space="preserve">“nearby districts are</w:t>
      </w:r>
      <w:r>
        <w:t xml:space="preserve"> </w:t>
      </w:r>
      <w:r>
        <w:t xml:space="preserve">similar.”</w:t>
      </w:r>
    </w:p>
    <w:p>
      <w:pPr>
        <w:pStyle w:val="BodyText"/>
      </w:pPr>
      <w:r>
        <w:t xml:space="preserve">This reversal reflects the area-level p ≫ n setting. Because the proxy and</w:t>
      </w:r>
      <w:r>
        <w:t xml:space="preserve"> </w:t>
      </w:r>
      <w:r>
        <w:t xml:space="preserve">earth-observation predictors are resolved at the admin-2 level, the effective</w:t>
      </w:r>
      <w:r>
        <w:t xml:space="preserve"> </w:t>
      </w:r>
      <w:r>
        <w:t xml:space="preserve">sample size for area-level fitting is the number of polygons — 14 in Sierra</w:t>
      </w:r>
      <w:r>
        <w:t xml:space="preserve"> </w:t>
      </w:r>
      <w:r>
        <w:t xml:space="preserve">Leone, 30 in Gambia, 75 in Ghana, and 90 in Malawi — against</w:t>
      </w:r>
      <w:r>
        <w:t xml:space="preserve"> </w:t>
      </w:r>
      <w:r>
        <w:t xml:space="preserve">roughly 150 screened candidate covariates, leaving few residual degrees of</w:t>
      </w:r>
      <w:r>
        <w:t xml:space="preserve"> </w:t>
      </w:r>
      <w:r>
        <w:t xml:space="preserve">freedom. An earlier in-sample evaluation — predicting the training areas from</w:t>
      </w:r>
      <w:r>
        <w:t xml:space="preserve"> </w:t>
      </w:r>
      <w:r>
        <w:t xml:space="preserve">the fully-fitted ensemble — produced near-perfect correlations (r up to</w:t>
      </w:r>
      <w:r>
        <w:t xml:space="preserve"> </w:t>
      </w:r>
      <w:r>
        <w:t xml:space="preserve">1.00), but these were overfitting artifacts rather than transportable signal;</w:t>
      </w:r>
      <w:r>
        <w:t xml:space="preserve"> </w:t>
      </w:r>
      <w:r>
        <w:t xml:space="preserve">the present numbers use genuine out-of-fold prediction. The individual-level</w:t>
      </w:r>
      <w:r>
        <w:t xml:space="preserve"> </w:t>
      </w:r>
      <w:r>
        <w:t xml:space="preserve">model, fit on hundreds to thousands of individuals, generalises better once</w:t>
      </w:r>
      <w:r>
        <w:t xml:space="preserve"> </w:t>
      </w:r>
      <w:r>
        <w:t xml:space="preserve">aggregated than the</w:t>
      </w:r>
      <w:r>
        <w:t xml:space="preserve"> </w:t>
      </w:r>
      <w:r>
        <w:rPr>
          <w:i/>
          <w:iCs/>
        </w:rPr>
        <w:t xml:space="preserve">unregularised</w:t>
      </w:r>
      <w:r>
        <w:t xml:space="preserve"> </w:t>
      </w:r>
      <w:r>
        <w:t xml:space="preserve">area-level ensemble, and remains the</w:t>
      </w:r>
      <w:r>
        <w:t xml:space="preserve"> </w:t>
      </w:r>
      <w:r>
        <w:t xml:space="preserve">strongest tested approach even once uninformed baselines are added to the</w:t>
      </w:r>
      <w:r>
        <w:t xml:space="preserve"> </w:t>
      </w:r>
      <w:r>
        <w:t xml:space="preserve">comparison (below).</w:t>
      </w:r>
    </w:p>
    <w:tbl>
      <w:tblPr>
        <w:tblStyle w:val="Table"/>
        <w:tblW w:type="pct" w:w="5000"/>
        <w:tblLayout w:type="fixed"/>
        <w:tblLook w:firstRow="0" w:lastRow="0" w:firstColumn="0" w:lastColumn="0" w:noHBand="0" w:noVBand="0" w:val="0000"/>
      </w:tblPr>
      <w:tblGrid>
        <w:gridCol w:w="7920"/>
      </w:tblGrid>
      <w:tr>
        <w:tc>
          <w:tcPr/>
          <w:bookmarkStart w:id="29" w:name="tbl-area-comparison"/>
          <w:p>
            <w:pPr>
              <w:jc w:val="center"/>
            </w:pPr>
            <w:pPr>
              <w:jc w:val="start"/>
              <w:spacing w:before="200"/>
              <w:pStyle w:val="ImageCaption"/>
            </w:pPr>
            <w:r>
              <w:t xml:space="preserve">Table 2: Within-country admin-2 prediction performance for five approaches: individual SuperLearner aggregated to admin-2, area-level SuperLearner with MSE loss, area-level SuperLearner with NLL loss, a covariate-free spatial-only smoother, and a national-mean null. Pearson r between predicted and observed admin-2 prevalence; MAE in percentage points; r_max is the estimated reliability ceiling for that cell (see Results) and signal flags whether the cell has any detectable signal above sampling noise. From results/tables/area_comparison_all.csv.</w:t>
            </w:r>
          </w:p>
          <w:tbl>
            <w:tblPr>
              <w:tblStyle w:val="Table"/>
              <w:tblW w:type="pct" w:w="5000"/>
              <w:tblLayout w:type="fixed"/>
              <w:tblLook w:firstRow="1" w:lastRow="0" w:firstColumn="0" w:lastColumn="0" w:noHBand="0" w:noVBand="0" w:val="0020"/>
            </w:tblPr>
            <w:tblGrid>
              <w:gridCol w:w="936"/>
              <w:gridCol w:w="936"/>
              <w:gridCol w:w="3240"/>
              <w:gridCol w:w="432"/>
              <w:gridCol w:w="648"/>
              <w:gridCol w:w="720"/>
              <w:gridCol w:w="432"/>
              <w:gridCol w:w="576"/>
            </w:tblGrid>
            <w:tr>
              <w:trPr>
                <w:tblHeader w:val="on"/>
              </w:trPr>
              <w:tc>
                <w:tcPr/>
                <w:p>
                  <w:pPr>
                    <w:pStyle w:val="Compact"/>
                    <w:jc w:val="left"/>
                    <w:jc w:val="center"/>
                  </w:pPr>
                  <w:r>
                    <w:t xml:space="preserve">Country</w:t>
                  </w:r>
                </w:p>
              </w:tc>
              <w:tc>
                <w:tcPr/>
                <w:p>
                  <w:pPr>
                    <w:pStyle w:val="Compact"/>
                    <w:jc w:val="left"/>
                    <w:jc w:val="center"/>
                  </w:pPr>
                  <w:r>
                    <w:t xml:space="preserve">Outcome</w:t>
                  </w:r>
                </w:p>
              </w:tc>
              <w:tc>
                <w:tcPr/>
                <w:p>
                  <w:pPr>
                    <w:pStyle w:val="Compact"/>
                    <w:jc w:val="left"/>
                    <w:jc w:val="center"/>
                  </w:pPr>
                  <w:r>
                    <w:t xml:space="preserve">Approach</w:t>
                  </w:r>
                </w:p>
              </w:tc>
              <w:tc>
                <w:tcPr/>
                <w:p>
                  <w:pPr>
                    <w:pStyle w:val="Compact"/>
                    <w:jc w:val="right"/>
                    <w:jc w:val="center"/>
                  </w:pPr>
                  <w:r>
                    <w:t xml:space="preserve">r</w:t>
                  </w:r>
                </w:p>
              </w:tc>
              <w:tc>
                <w:tcPr/>
                <w:p>
                  <w:pPr>
                    <w:pStyle w:val="Compact"/>
                    <w:jc w:val="right"/>
                    <w:jc w:val="center"/>
                  </w:pPr>
                  <w:r>
                    <w:t xml:space="preserve">MAE (pp)</w:t>
                  </w:r>
                </w:p>
              </w:tc>
              <w:tc>
                <w:tcPr/>
                <w:p>
                  <w:pPr>
                    <w:pStyle w:val="Compact"/>
                    <w:jc w:val="right"/>
                    <w:jc w:val="center"/>
                  </w:pPr>
                  <w:r>
                    <w:t xml:space="preserve">Bias (pp)</w:t>
                  </w:r>
                </w:p>
              </w:tc>
              <w:tc>
                <w:tcPr/>
                <w:p>
                  <w:pPr>
                    <w:pStyle w:val="Compact"/>
                    <w:jc w:val="right"/>
                    <w:jc w:val="center"/>
                  </w:pPr>
                  <w:r>
                    <w:t xml:space="preserve">r_max</w:t>
                  </w:r>
                </w:p>
              </w:tc>
              <w:tc>
                <w:tcPr/>
                <w:p>
                  <w:pPr>
                    <w:pStyle w:val="Compact"/>
                    <w:jc w:val="left"/>
                    <w:jc w:val="center"/>
                  </w:pPr>
                  <w:r>
                    <w:t xml:space="preserve">Signal?</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left"/>
                    <w:jc w:val="center"/>
                  </w:pPr>
                  <w:r>
                    <w:t xml:space="preserve">Area SL (MSE)</w:t>
                  </w:r>
                </w:p>
              </w:tc>
              <w:tc>
                <w:tcPr/>
                <w:p>
                  <w:pPr>
                    <w:pStyle w:val="Compact"/>
                    <w:jc w:val="right"/>
                    <w:jc w:val="center"/>
                  </w:pPr>
                  <w:r>
                    <w:t xml:space="preserve">0.34</w:t>
                  </w:r>
                </w:p>
              </w:tc>
              <w:tc>
                <w:tcPr/>
                <w:p>
                  <w:pPr>
                    <w:pStyle w:val="Compact"/>
                    <w:jc w:val="right"/>
                    <w:jc w:val="center"/>
                  </w:pPr>
                  <w:r>
                    <w:t xml:space="preserve">12.80</w:t>
                  </w:r>
                </w:p>
              </w:tc>
              <w:tc>
                <w:tcPr/>
                <w:p>
                  <w:pPr>
                    <w:pStyle w:val="Compact"/>
                    <w:jc w:val="right"/>
                    <w:jc w:val="center"/>
                  </w:pPr>
                  <w:r>
                    <w:t xml:space="preserve">1.66</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left"/>
                    <w:jc w:val="center"/>
                  </w:pPr>
                  <w:r>
                    <w:t xml:space="preserve">Area SL (NLL)</w:t>
                  </w:r>
                </w:p>
              </w:tc>
              <w:tc>
                <w:tcPr/>
                <w:p>
                  <w:pPr>
                    <w:pStyle w:val="Compact"/>
                    <w:jc w:val="right"/>
                    <w:jc w:val="center"/>
                  </w:pPr>
                  <w:r>
                    <w:t xml:space="preserve">0.28</w:t>
                  </w:r>
                </w:p>
              </w:tc>
              <w:tc>
                <w:tcPr/>
                <w:p>
                  <w:pPr>
                    <w:pStyle w:val="Compact"/>
                    <w:jc w:val="right"/>
                    <w:jc w:val="center"/>
                  </w:pPr>
                  <w:r>
                    <w:t xml:space="preserve">12.33</w:t>
                  </w:r>
                </w:p>
              </w:tc>
              <w:tc>
                <w:tcPr/>
                <w:p>
                  <w:pPr>
                    <w:pStyle w:val="Compact"/>
                    <w:jc w:val="right"/>
                    <w:jc w:val="center"/>
                  </w:pPr>
                  <w:r>
                    <w:t xml:space="preserve">2.06</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left"/>
                    <w:jc w:val="center"/>
                  </w:pPr>
                  <w:r>
                    <w:t xml:space="preserve">Area wSL, literature covariates (OOF)</w:t>
                  </w:r>
                </w:p>
              </w:tc>
              <w:tc>
                <w:tcPr/>
                <w:p>
                  <w:pPr>
                    <w:pStyle w:val="Compact"/>
                    <w:jc w:val="right"/>
                    <w:jc w:val="center"/>
                  </w:pPr>
                  <w:r>
                    <w:t xml:space="preserve">0.57</w:t>
                  </w:r>
                </w:p>
              </w:tc>
              <w:tc>
                <w:tcPr/>
                <w:p>
                  <w:pPr>
                    <w:pStyle w:val="Compact"/>
                    <w:jc w:val="right"/>
                    <w:jc w:val="center"/>
                  </w:pPr>
                  <w:r>
                    <w:t xml:space="preserve">10.37</w:t>
                  </w:r>
                </w:p>
              </w:tc>
              <w:tc>
                <w:tcPr/>
                <w:p>
                  <w:pPr>
                    <w:pStyle w:val="Compact"/>
                    <w:jc w:val="right"/>
                    <w:jc w:val="center"/>
                  </w:pPr>
                  <w:r>
                    <w:t xml:space="preserve">-0.61</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left"/>
                    <w:jc w:val="center"/>
                  </w:pPr>
                  <w:r>
                    <w:t xml:space="preserve">Area wSL, precision-weighted (OOF)</w:t>
                  </w:r>
                </w:p>
              </w:tc>
              <w:tc>
                <w:tcPr/>
                <w:p>
                  <w:pPr>
                    <w:pStyle w:val="Compact"/>
                    <w:jc w:val="right"/>
                    <w:jc w:val="center"/>
                  </w:pPr>
                  <w:r>
                    <w:t xml:space="preserve">0.52</w:t>
                  </w:r>
                </w:p>
              </w:tc>
              <w:tc>
                <w:tcPr/>
                <w:p>
                  <w:pPr>
                    <w:pStyle w:val="Compact"/>
                    <w:jc w:val="right"/>
                    <w:jc w:val="center"/>
                  </w:pPr>
                  <w:r>
                    <w:t xml:space="preserve">10.82</w:t>
                  </w:r>
                </w:p>
              </w:tc>
              <w:tc>
                <w:tcPr/>
                <w:p>
                  <w:pPr>
                    <w:pStyle w:val="Compact"/>
                    <w:jc w:val="right"/>
                    <w:jc w:val="center"/>
                  </w:pPr>
                  <w:r>
                    <w:t xml:space="preserve">-1.07</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left"/>
                    <w:jc w:val="center"/>
                  </w:pPr>
                  <w:r>
                    <w:t xml:space="preserve">Area wSL, prescreen in-fold (OOF)</w:t>
                  </w:r>
                </w:p>
              </w:tc>
              <w:tc>
                <w:tcPr/>
                <w:p>
                  <w:pPr>
                    <w:pStyle w:val="Compact"/>
                    <w:jc w:val="right"/>
                    <w:jc w:val="center"/>
                  </w:pPr>
                  <w:r>
                    <w:t xml:space="preserve">0.54</w:t>
                  </w:r>
                </w:p>
              </w:tc>
              <w:tc>
                <w:tcPr/>
                <w:p>
                  <w:pPr>
                    <w:pStyle w:val="Compact"/>
                    <w:jc w:val="right"/>
                    <w:jc w:val="center"/>
                  </w:pPr>
                  <w:r>
                    <w:t xml:space="preserve">10.49</w:t>
                  </w:r>
                </w:p>
              </w:tc>
              <w:tc>
                <w:tcPr/>
                <w:p>
                  <w:pPr>
                    <w:pStyle w:val="Compact"/>
                    <w:jc w:val="right"/>
                    <w:jc w:val="center"/>
                  </w:pPr>
                  <w:r>
                    <w:t xml:space="preserve">-0.74</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left"/>
                    <w:jc w:val="center"/>
                  </w:pPr>
                  <w:r>
                    <w:t xml:space="preserve">Area wSL, prescreen on ALL data (OPTIMISTIC)</w:t>
                  </w:r>
                </w:p>
              </w:tc>
              <w:tc>
                <w:tcPr/>
                <w:p>
                  <w:pPr>
                    <w:pStyle w:val="Compact"/>
                    <w:jc w:val="right"/>
                    <w:jc w:val="center"/>
                  </w:pPr>
                  <w:r>
                    <w:t xml:space="preserve">0.58</w:t>
                  </w:r>
                </w:p>
              </w:tc>
              <w:tc>
                <w:tcPr/>
                <w:p>
                  <w:pPr>
                    <w:pStyle w:val="Compact"/>
                    <w:jc w:val="right"/>
                    <w:jc w:val="center"/>
                  </w:pPr>
                  <w:r>
                    <w:t xml:space="preserve">10.51</w:t>
                  </w:r>
                </w:p>
              </w:tc>
              <w:tc>
                <w:tcPr/>
                <w:p>
                  <w:pPr>
                    <w:pStyle w:val="Compact"/>
                    <w:jc w:val="right"/>
                    <w:jc w:val="center"/>
                  </w:pPr>
                  <w:r>
                    <w:t xml:space="preserve">-2.04</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left"/>
                    <w:jc w:val="center"/>
                  </w:pPr>
                  <w:r>
                    <w:t xml:space="preserve">Area wSL, unweighted (OOF)</w:t>
                  </w:r>
                </w:p>
              </w:tc>
              <w:tc>
                <w:tcPr/>
                <w:p>
                  <w:pPr>
                    <w:pStyle w:val="Compact"/>
                    <w:jc w:val="right"/>
                    <w:jc w:val="center"/>
                  </w:pPr>
                  <w:r>
                    <w:t xml:space="preserve">0.47</w:t>
                  </w:r>
                </w:p>
              </w:tc>
              <w:tc>
                <w:tcPr/>
                <w:p>
                  <w:pPr>
                    <w:pStyle w:val="Compact"/>
                    <w:jc w:val="right"/>
                    <w:jc w:val="center"/>
                  </w:pPr>
                  <w:r>
                    <w:t xml:space="preserve">10.75</w:t>
                  </w:r>
                </w:p>
              </w:tc>
              <w:tc>
                <w:tcPr/>
                <w:p>
                  <w:pPr>
                    <w:pStyle w:val="Compact"/>
                    <w:jc w:val="right"/>
                    <w:jc w:val="center"/>
                  </w:pPr>
                  <w:r>
                    <w:t xml:space="preserve">2.89</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left"/>
                    <w:jc w:val="center"/>
                  </w:pPr>
                  <w:r>
                    <w:t xml:space="preserve">Individual SL</w:t>
                  </w:r>
                </w:p>
              </w:tc>
              <w:tc>
                <w:tcPr/>
                <w:p>
                  <w:pPr>
                    <w:pStyle w:val="Compact"/>
                    <w:jc w:val="right"/>
                    <w:jc w:val="center"/>
                  </w:pPr>
                  <w:r>
                    <w:t xml:space="preserve">-0.16</w:t>
                  </w:r>
                </w:p>
              </w:tc>
              <w:tc>
                <w:tcPr/>
                <w:p>
                  <w:pPr>
                    <w:pStyle w:val="Compact"/>
                    <w:jc w:val="right"/>
                    <w:jc w:val="center"/>
                  </w:pPr>
                  <w:r>
                    <w:t xml:space="preserve">22.75</w:t>
                  </w:r>
                </w:p>
              </w:tc>
              <w:tc>
                <w:tcPr/>
                <w:p>
                  <w:pPr>
                    <w:pStyle w:val="Compact"/>
                    <w:jc w:val="right"/>
                    <w:jc w:val="center"/>
                  </w:pPr>
                  <w:r>
                    <w:t xml:space="preserve">-21.75</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left"/>
                    <w:jc w:val="center"/>
                  </w:pPr>
                  <w:r>
                    <w:t xml:space="preserve">MRP</w:t>
                  </w:r>
                </w:p>
              </w:tc>
              <w:tc>
                <w:tcPr/>
                <w:p>
                  <w:pPr>
                    <w:pStyle w:val="Compact"/>
                    <w:jc w:val="right"/>
                    <w:jc w:val="center"/>
                  </w:pPr>
                  <w:r>
                    <w:t xml:space="preserve">0.79</w:t>
                  </w:r>
                </w:p>
              </w:tc>
              <w:tc>
                <w:tcPr/>
                <w:p>
                  <w:pPr>
                    <w:pStyle w:val="Compact"/>
                    <w:jc w:val="right"/>
                    <w:jc w:val="center"/>
                  </w:pPr>
                  <w:r>
                    <w:t xml:space="preserve">7.37</w:t>
                  </w:r>
                </w:p>
              </w:tc>
              <w:tc>
                <w:tcPr/>
                <w:p>
                  <w:pPr>
                    <w:pStyle w:val="Compact"/>
                    <w:jc w:val="right"/>
                    <w:jc w:val="center"/>
                  </w:pPr>
                  <w:r>
                    <w:t xml:space="preserve">0.52</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12.45</w:t>
                  </w:r>
                </w:p>
              </w:tc>
              <w:tc>
                <w:tcPr/>
                <w:p>
                  <w:pPr>
                    <w:pStyle w:val="Compact"/>
                    <w:jc w:val="right"/>
                    <w:jc w:val="center"/>
                  </w:pPr>
                  <w:r>
                    <w:t xml:space="preserve">-1.56</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left"/>
                    <w:jc w:val="center"/>
                  </w:pPr>
                  <w:r>
                    <w:t xml:space="preserve">Spatial only (no covariates)</w:t>
                  </w:r>
                </w:p>
              </w:tc>
              <w:tc>
                <w:tcPr/>
                <w:p>
                  <w:pPr>
                    <w:pStyle w:val="Compact"/>
                    <w:jc w:val="right"/>
                    <w:jc w:val="center"/>
                  </w:pPr>
                  <w:r>
                    <w:t xml:space="preserve">0.44</w:t>
                  </w:r>
                </w:p>
              </w:tc>
              <w:tc>
                <w:tcPr/>
                <w:p>
                  <w:pPr>
                    <w:pStyle w:val="Compact"/>
                    <w:jc w:val="right"/>
                    <w:jc w:val="center"/>
                  </w:pPr>
                  <w:r>
                    <w:t xml:space="preserve">11.76</w:t>
                  </w:r>
                </w:p>
              </w:tc>
              <w:tc>
                <w:tcPr/>
                <w:p>
                  <w:pPr>
                    <w:pStyle w:val="Compact"/>
                    <w:jc w:val="right"/>
                    <w:jc w:val="center"/>
                  </w:pPr>
                  <w:r>
                    <w:t xml:space="preserve">-0.71</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left"/>
                    <w:jc w:val="center"/>
                  </w:pPr>
                  <w:r>
                    <w:t xml:space="preserve">Area SL (MSE)</w:t>
                  </w:r>
                </w:p>
              </w:tc>
              <w:tc>
                <w:tcPr/>
                <w:p>
                  <w:pPr>
                    <w:pStyle w:val="Compact"/>
                    <w:jc w:val="right"/>
                    <w:jc w:val="center"/>
                  </w:pPr>
                  <w:r>
                    <w:t xml:space="preserve">0.27</w:t>
                  </w:r>
                </w:p>
              </w:tc>
              <w:tc>
                <w:tcPr/>
                <w:p>
                  <w:pPr>
                    <w:pStyle w:val="Compact"/>
                    <w:jc w:val="right"/>
                    <w:jc w:val="center"/>
                  </w:pPr>
                  <w:r>
                    <w:t xml:space="preserve">10.13</w:t>
                  </w:r>
                </w:p>
              </w:tc>
              <w:tc>
                <w:tcPr/>
                <w:p>
                  <w:pPr>
                    <w:pStyle w:val="Compact"/>
                    <w:jc w:val="right"/>
                    <w:jc w:val="center"/>
                  </w:pPr>
                  <w:r>
                    <w:t xml:space="preserve">0.57</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left"/>
                    <w:jc w:val="center"/>
                  </w:pPr>
                  <w:r>
                    <w:t xml:space="preserve">Area SL (NLL)</w:t>
                  </w:r>
                </w:p>
              </w:tc>
              <w:tc>
                <w:tcPr/>
                <w:p>
                  <w:pPr>
                    <w:pStyle w:val="Compact"/>
                    <w:jc w:val="right"/>
                    <w:jc w:val="center"/>
                  </w:pPr>
                  <w:r>
                    <w:t xml:space="preserve">0.30</w:t>
                  </w:r>
                </w:p>
              </w:tc>
              <w:tc>
                <w:tcPr/>
                <w:p>
                  <w:pPr>
                    <w:pStyle w:val="Compact"/>
                    <w:jc w:val="right"/>
                    <w:jc w:val="center"/>
                  </w:pPr>
                  <w:r>
                    <w:t xml:space="preserve">11.26</w:t>
                  </w:r>
                </w:p>
              </w:tc>
              <w:tc>
                <w:tcPr/>
                <w:p>
                  <w:pPr>
                    <w:pStyle w:val="Compact"/>
                    <w:jc w:val="right"/>
                    <w:jc w:val="center"/>
                  </w:pPr>
                  <w:r>
                    <w:t xml:space="preserve">-5.32</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left"/>
                    <w:jc w:val="center"/>
                  </w:pPr>
                  <w:r>
                    <w:t xml:space="preserve">Area wSL, literature covariates (OOF)</w:t>
                  </w:r>
                </w:p>
              </w:tc>
              <w:tc>
                <w:tcPr/>
                <w:p>
                  <w:pPr>
                    <w:pStyle w:val="Compact"/>
                    <w:jc w:val="right"/>
                    <w:jc w:val="center"/>
                  </w:pPr>
                  <w:r>
                    <w:t xml:space="preserve">0.58</w:t>
                  </w:r>
                </w:p>
              </w:tc>
              <w:tc>
                <w:tcPr/>
                <w:p>
                  <w:pPr>
                    <w:pStyle w:val="Compact"/>
                    <w:jc w:val="right"/>
                    <w:jc w:val="center"/>
                  </w:pPr>
                  <w:r>
                    <w:t xml:space="preserve">9.25</w:t>
                  </w:r>
                </w:p>
              </w:tc>
              <w:tc>
                <w:tcPr/>
                <w:p>
                  <w:pPr>
                    <w:pStyle w:val="Compact"/>
                    <w:jc w:val="right"/>
                    <w:jc w:val="center"/>
                  </w:pPr>
                  <w:r>
                    <w:t xml:space="preserve">3.31</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left"/>
                    <w:jc w:val="center"/>
                  </w:pPr>
                  <w:r>
                    <w:t xml:space="preserve">Area wSL, precision-weighted (OOF)</w:t>
                  </w:r>
                </w:p>
              </w:tc>
              <w:tc>
                <w:tcPr/>
                <w:p>
                  <w:pPr>
                    <w:pStyle w:val="Compact"/>
                    <w:jc w:val="right"/>
                    <w:jc w:val="center"/>
                  </w:pPr>
                  <w:r>
                    <w:t xml:space="preserve">0.46</w:t>
                  </w:r>
                </w:p>
              </w:tc>
              <w:tc>
                <w:tcPr/>
                <w:p>
                  <w:pPr>
                    <w:pStyle w:val="Compact"/>
                    <w:jc w:val="right"/>
                    <w:jc w:val="center"/>
                  </w:pPr>
                  <w:r>
                    <w:t xml:space="preserve">9.62</w:t>
                  </w:r>
                </w:p>
              </w:tc>
              <w:tc>
                <w:tcPr/>
                <w:p>
                  <w:pPr>
                    <w:pStyle w:val="Compact"/>
                    <w:jc w:val="right"/>
                    <w:jc w:val="center"/>
                  </w:pPr>
                  <w:r>
                    <w:t xml:space="preserve">1.99</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left"/>
                    <w:jc w:val="center"/>
                  </w:pPr>
                  <w:r>
                    <w:t xml:space="preserve">Area wSL, prescreen in-fold (OOF)</w:t>
                  </w:r>
                </w:p>
              </w:tc>
              <w:tc>
                <w:tcPr/>
                <w:p>
                  <w:pPr>
                    <w:pStyle w:val="Compact"/>
                    <w:jc w:val="right"/>
                    <w:jc w:val="center"/>
                  </w:pPr>
                  <w:r>
                    <w:t xml:space="preserve">0.50</w:t>
                  </w:r>
                </w:p>
              </w:tc>
              <w:tc>
                <w:tcPr/>
                <w:p>
                  <w:pPr>
                    <w:pStyle w:val="Compact"/>
                    <w:jc w:val="right"/>
                    <w:jc w:val="center"/>
                  </w:pPr>
                  <w:r>
                    <w:t xml:space="preserve">9.38</w:t>
                  </w:r>
                </w:p>
              </w:tc>
              <w:tc>
                <w:tcPr/>
                <w:p>
                  <w:pPr>
                    <w:pStyle w:val="Compact"/>
                    <w:jc w:val="right"/>
                    <w:jc w:val="center"/>
                  </w:pPr>
                  <w:r>
                    <w:t xml:space="preserve">1.81</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left"/>
                    <w:jc w:val="center"/>
                  </w:pPr>
                  <w:r>
                    <w:t xml:space="preserve">Area wSL, prescreen on ALL data (OPTIMISTIC)</w:t>
                  </w:r>
                </w:p>
              </w:tc>
              <w:tc>
                <w:tcPr/>
                <w:p>
                  <w:pPr>
                    <w:pStyle w:val="Compact"/>
                    <w:jc w:val="right"/>
                    <w:jc w:val="center"/>
                  </w:pPr>
                  <w:r>
                    <w:t xml:space="preserve">0.62</w:t>
                  </w:r>
                </w:p>
              </w:tc>
              <w:tc>
                <w:tcPr/>
                <w:p>
                  <w:pPr>
                    <w:pStyle w:val="Compact"/>
                    <w:jc w:val="right"/>
                    <w:jc w:val="center"/>
                  </w:pPr>
                  <w:r>
                    <w:t xml:space="preserve">8.69</w:t>
                  </w:r>
                </w:p>
              </w:tc>
              <w:tc>
                <w:tcPr/>
                <w:p>
                  <w:pPr>
                    <w:pStyle w:val="Compact"/>
                    <w:jc w:val="right"/>
                    <w:jc w:val="center"/>
                  </w:pPr>
                  <w:r>
                    <w:t xml:space="preserve">2.43</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left"/>
                    <w:jc w:val="center"/>
                  </w:pPr>
                  <w:r>
                    <w:t xml:space="preserve">Area wSL, unweighted (OOF)</w:t>
                  </w:r>
                </w:p>
              </w:tc>
              <w:tc>
                <w:tcPr/>
                <w:p>
                  <w:pPr>
                    <w:pStyle w:val="Compact"/>
                    <w:jc w:val="right"/>
                    <w:jc w:val="center"/>
                  </w:pPr>
                  <w:r>
                    <w:t xml:space="preserve">0.24</w:t>
                  </w:r>
                </w:p>
              </w:tc>
              <w:tc>
                <w:tcPr/>
                <w:p>
                  <w:pPr>
                    <w:pStyle w:val="Compact"/>
                    <w:jc w:val="right"/>
                    <w:jc w:val="center"/>
                  </w:pPr>
                  <w:r>
                    <w:t xml:space="preserve">11.25</w:t>
                  </w:r>
                </w:p>
              </w:tc>
              <w:tc>
                <w:tcPr/>
                <w:p>
                  <w:pPr>
                    <w:pStyle w:val="Compact"/>
                    <w:jc w:val="right"/>
                    <w:jc w:val="center"/>
                  </w:pPr>
                  <w:r>
                    <w:t xml:space="preserve">-5.69</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left"/>
                    <w:jc w:val="center"/>
                  </w:pPr>
                  <w:r>
                    <w:t xml:space="preserve">Individual SL</w:t>
                  </w:r>
                </w:p>
              </w:tc>
              <w:tc>
                <w:tcPr/>
                <w:p>
                  <w:pPr>
                    <w:pStyle w:val="Compact"/>
                    <w:jc w:val="right"/>
                    <w:jc w:val="center"/>
                  </w:pPr>
                  <w:r>
                    <w:t xml:space="preserve">0.70</w:t>
                  </w:r>
                </w:p>
              </w:tc>
              <w:tc>
                <w:tcPr/>
                <w:p>
                  <w:pPr>
                    <w:pStyle w:val="Compact"/>
                    <w:jc w:val="right"/>
                    <w:jc w:val="center"/>
                  </w:pPr>
                  <w:r>
                    <w:t xml:space="preserve">7.81</w:t>
                  </w:r>
                </w:p>
              </w:tc>
              <w:tc>
                <w:tcPr/>
                <w:p>
                  <w:pPr>
                    <w:pStyle w:val="Compact"/>
                    <w:jc w:val="right"/>
                    <w:jc w:val="center"/>
                  </w:pPr>
                  <w:r>
                    <w:t xml:space="preserve">-0.36</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left"/>
                    <w:jc w:val="center"/>
                  </w:pPr>
                  <w:r>
                    <w:t xml:space="preserve">MRP</w:t>
                  </w:r>
                </w:p>
              </w:tc>
              <w:tc>
                <w:tcPr/>
                <w:p>
                  <w:pPr>
                    <w:pStyle w:val="Compact"/>
                    <w:jc w:val="right"/>
                    <w:jc w:val="center"/>
                  </w:pPr>
                  <w:r>
                    <w:t xml:space="preserve">0.84</w:t>
                  </w:r>
                </w:p>
              </w:tc>
              <w:tc>
                <w:tcPr/>
                <w:p>
                  <w:pPr>
                    <w:pStyle w:val="Compact"/>
                    <w:jc w:val="right"/>
                    <w:jc w:val="center"/>
                  </w:pPr>
                  <w:r>
                    <w:t xml:space="preserve">5.47</w:t>
                  </w:r>
                </w:p>
              </w:tc>
              <w:tc>
                <w:tcPr/>
                <w:p>
                  <w:pPr>
                    <w:pStyle w:val="Compact"/>
                    <w:jc w:val="right"/>
                    <w:jc w:val="center"/>
                  </w:pPr>
                  <w:r>
                    <w:t xml:space="preserve">1.81</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10.79</w:t>
                  </w:r>
                </w:p>
              </w:tc>
              <w:tc>
                <w:tcPr/>
                <w:p>
                  <w:pPr>
                    <w:pStyle w:val="Compact"/>
                    <w:jc w:val="right"/>
                    <w:jc w:val="center"/>
                  </w:pPr>
                  <w:r>
                    <w:t xml:space="preserve">1.03</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left"/>
                    <w:jc w:val="center"/>
                  </w:pPr>
                  <w:r>
                    <w:t xml:space="preserve">Spatial only (no covariates)</w:t>
                  </w:r>
                </w:p>
              </w:tc>
              <w:tc>
                <w:tcPr/>
                <w:p>
                  <w:pPr>
                    <w:pStyle w:val="Compact"/>
                    <w:jc w:val="right"/>
                    <w:jc w:val="center"/>
                  </w:pPr>
                  <w:r>
                    <w:t xml:space="preserve">0.52</w:t>
                  </w:r>
                </w:p>
              </w:tc>
              <w:tc>
                <w:tcPr/>
                <w:p>
                  <w:pPr>
                    <w:pStyle w:val="Compact"/>
                    <w:jc w:val="right"/>
                    <w:jc w:val="center"/>
                  </w:pPr>
                  <w:r>
                    <w:t xml:space="preserve">9.43</w:t>
                  </w:r>
                </w:p>
              </w:tc>
              <w:tc>
                <w:tcPr/>
                <w:p>
                  <w:pPr>
                    <w:pStyle w:val="Compact"/>
                    <w:jc w:val="right"/>
                    <w:jc w:val="center"/>
                  </w:pPr>
                  <w:r>
                    <w:t xml:space="preserve">-1.56</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left"/>
                    <w:jc w:val="center"/>
                  </w:pPr>
                  <w:r>
                    <w:t xml:space="preserve">Area SL (MSE)</w:t>
                  </w:r>
                </w:p>
              </w:tc>
              <w:tc>
                <w:tcPr/>
                <w:p>
                  <w:pPr>
                    <w:pStyle w:val="Compact"/>
                    <w:jc w:val="right"/>
                    <w:jc w:val="center"/>
                  </w:pPr>
                  <w:r>
                    <w:t xml:space="preserve">0.62</w:t>
                  </w:r>
                </w:p>
              </w:tc>
              <w:tc>
                <w:tcPr/>
                <w:p>
                  <w:pPr>
                    <w:pStyle w:val="Compact"/>
                    <w:jc w:val="right"/>
                    <w:jc w:val="center"/>
                  </w:pPr>
                  <w:r>
                    <w:t xml:space="preserve">10.35</w:t>
                  </w:r>
                </w:p>
              </w:tc>
              <w:tc>
                <w:tcPr/>
                <w:p>
                  <w:pPr>
                    <w:pStyle w:val="Compact"/>
                    <w:jc w:val="right"/>
                    <w:jc w:val="center"/>
                  </w:pPr>
                  <w:r>
                    <w:t xml:space="preserve">-0.43</w:t>
                  </w:r>
                </w:p>
              </w:tc>
              <w:tc>
                <w:tcPr/>
                <w:p>
                  <w:pPr>
                    <w:pStyle w:val="Compact"/>
                    <w:jc w:val="right"/>
                    <w:jc w:val="center"/>
                  </w:pPr>
                  <w:r>
                    <w:t xml:space="preserve">0.71</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left"/>
                    <w:jc w:val="center"/>
                  </w:pPr>
                  <w:r>
                    <w:t xml:space="preserve">Area SL (NLL)</w:t>
                  </w:r>
                </w:p>
              </w:tc>
              <w:tc>
                <w:tcPr/>
                <w:p>
                  <w:pPr>
                    <w:pStyle w:val="Compact"/>
                    <w:jc w:val="right"/>
                    <w:jc w:val="center"/>
                  </w:pPr>
                  <w:r>
                    <w:t xml:space="preserve">0.61</w:t>
                  </w:r>
                </w:p>
              </w:tc>
              <w:tc>
                <w:tcPr/>
                <w:p>
                  <w:pPr>
                    <w:pStyle w:val="Compact"/>
                    <w:jc w:val="right"/>
                    <w:jc w:val="center"/>
                  </w:pPr>
                  <w:r>
                    <w:t xml:space="preserve">10.33</w:t>
                  </w:r>
                </w:p>
              </w:tc>
              <w:tc>
                <w:tcPr/>
                <w:p>
                  <w:pPr>
                    <w:pStyle w:val="Compact"/>
                    <w:jc w:val="right"/>
                    <w:jc w:val="center"/>
                  </w:pPr>
                  <w:r>
                    <w:t xml:space="preserve">-0.31</w:t>
                  </w:r>
                </w:p>
              </w:tc>
              <w:tc>
                <w:tcPr/>
                <w:p>
                  <w:pPr>
                    <w:pStyle w:val="Compact"/>
                    <w:jc w:val="right"/>
                    <w:jc w:val="center"/>
                  </w:pPr>
                  <w:r>
                    <w:t xml:space="preserve">0.71</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left"/>
                    <w:jc w:val="center"/>
                  </w:pPr>
                  <w:r>
                    <w:t xml:space="preserve">Area wSL, literature covariates (OOF)</w:t>
                  </w:r>
                </w:p>
              </w:tc>
              <w:tc>
                <w:tcPr/>
                <w:p>
                  <w:pPr>
                    <w:pStyle w:val="Compact"/>
                    <w:jc w:val="right"/>
                    <w:jc w:val="center"/>
                  </w:pPr>
                  <w:r>
                    <w:t xml:space="preserve">0.62</w:t>
                  </w:r>
                </w:p>
              </w:tc>
              <w:tc>
                <w:tcPr/>
                <w:p>
                  <w:pPr>
                    <w:pStyle w:val="Compact"/>
                    <w:jc w:val="right"/>
                    <w:jc w:val="center"/>
                  </w:pPr>
                  <w:r>
                    <w:t xml:space="preserve">10.05</w:t>
                  </w:r>
                </w:p>
              </w:tc>
              <w:tc>
                <w:tcPr/>
                <w:p>
                  <w:pPr>
                    <w:pStyle w:val="Compact"/>
                    <w:jc w:val="right"/>
                    <w:jc w:val="center"/>
                  </w:pPr>
                  <w:r>
                    <w:t xml:space="preserve">-1.66</w:t>
                  </w:r>
                </w:p>
              </w:tc>
              <w:tc>
                <w:tcPr/>
                <w:p>
                  <w:pPr>
                    <w:pStyle w:val="Compact"/>
                    <w:jc w:val="right"/>
                    <w:jc w:val="center"/>
                  </w:pPr>
                  <w:r>
                    <w:t xml:space="preserve">0.71</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left"/>
                    <w:jc w:val="center"/>
                  </w:pPr>
                  <w:r>
                    <w:t xml:space="preserve">Area wSL, precision-weighted (OOF)</w:t>
                  </w:r>
                </w:p>
              </w:tc>
              <w:tc>
                <w:tcPr/>
                <w:p>
                  <w:pPr>
                    <w:pStyle w:val="Compact"/>
                    <w:jc w:val="right"/>
                    <w:jc w:val="center"/>
                  </w:pPr>
                  <w:r>
                    <w:t xml:space="preserve">0.64</w:t>
                  </w:r>
                </w:p>
              </w:tc>
              <w:tc>
                <w:tcPr/>
                <w:p>
                  <w:pPr>
                    <w:pStyle w:val="Compact"/>
                    <w:jc w:val="right"/>
                    <w:jc w:val="center"/>
                  </w:pPr>
                  <w:r>
                    <w:t xml:space="preserve">10.26</w:t>
                  </w:r>
                </w:p>
              </w:tc>
              <w:tc>
                <w:tcPr/>
                <w:p>
                  <w:pPr>
                    <w:pStyle w:val="Compact"/>
                    <w:jc w:val="right"/>
                    <w:jc w:val="center"/>
                  </w:pPr>
                  <w:r>
                    <w:t xml:space="preserve">-0.90</w:t>
                  </w:r>
                </w:p>
              </w:tc>
              <w:tc>
                <w:tcPr/>
                <w:p>
                  <w:pPr>
                    <w:pStyle w:val="Compact"/>
                    <w:jc w:val="right"/>
                    <w:jc w:val="center"/>
                  </w:pPr>
                  <w:r>
                    <w:t xml:space="preserve">0.71</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left"/>
                    <w:jc w:val="center"/>
                  </w:pPr>
                  <w:r>
                    <w:t xml:space="preserve">Area wSL, prescreen in-fold (OOF)</w:t>
                  </w:r>
                </w:p>
              </w:tc>
              <w:tc>
                <w:tcPr/>
                <w:p>
                  <w:pPr>
                    <w:pStyle w:val="Compact"/>
                    <w:jc w:val="right"/>
                    <w:jc w:val="center"/>
                  </w:pPr>
                  <w:r>
                    <w:t xml:space="preserve">0.72</w:t>
                  </w:r>
                </w:p>
              </w:tc>
              <w:tc>
                <w:tcPr/>
                <w:p>
                  <w:pPr>
                    <w:pStyle w:val="Compact"/>
                    <w:jc w:val="right"/>
                    <w:jc w:val="center"/>
                  </w:pPr>
                  <w:r>
                    <w:t xml:space="preserve">9.18</w:t>
                  </w:r>
                </w:p>
              </w:tc>
              <w:tc>
                <w:tcPr/>
                <w:p>
                  <w:pPr>
                    <w:pStyle w:val="Compact"/>
                    <w:jc w:val="right"/>
                    <w:jc w:val="center"/>
                  </w:pPr>
                  <w:r>
                    <w:t xml:space="preserve">-1.77</w:t>
                  </w:r>
                </w:p>
              </w:tc>
              <w:tc>
                <w:tcPr/>
                <w:p>
                  <w:pPr>
                    <w:pStyle w:val="Compact"/>
                    <w:jc w:val="right"/>
                    <w:jc w:val="center"/>
                  </w:pPr>
                  <w:r>
                    <w:t xml:space="preserve">0.71</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left"/>
                    <w:jc w:val="center"/>
                  </w:pPr>
                  <w:r>
                    <w:t xml:space="preserve">Area wSL, prescreen on ALL data (OPTIMISTIC)</w:t>
                  </w:r>
                </w:p>
              </w:tc>
              <w:tc>
                <w:tcPr/>
                <w:p>
                  <w:pPr>
                    <w:pStyle w:val="Compact"/>
                    <w:jc w:val="right"/>
                    <w:jc w:val="center"/>
                  </w:pPr>
                  <w:r>
                    <w:t xml:space="preserve">0.81</w:t>
                  </w:r>
                </w:p>
              </w:tc>
              <w:tc>
                <w:tcPr/>
                <w:p>
                  <w:pPr>
                    <w:pStyle w:val="Compact"/>
                    <w:jc w:val="right"/>
                    <w:jc w:val="center"/>
                  </w:pPr>
                  <w:r>
                    <w:t xml:space="preserve">8.82</w:t>
                  </w:r>
                </w:p>
              </w:tc>
              <w:tc>
                <w:tcPr/>
                <w:p>
                  <w:pPr>
                    <w:pStyle w:val="Compact"/>
                    <w:jc w:val="right"/>
                    <w:jc w:val="center"/>
                  </w:pPr>
                  <w:r>
                    <w:t xml:space="preserve">-4.99</w:t>
                  </w:r>
                </w:p>
              </w:tc>
              <w:tc>
                <w:tcPr/>
                <w:p>
                  <w:pPr>
                    <w:pStyle w:val="Compact"/>
                    <w:jc w:val="right"/>
                    <w:jc w:val="center"/>
                  </w:pPr>
                  <w:r>
                    <w:t xml:space="preserve">0.71</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left"/>
                    <w:jc w:val="center"/>
                  </w:pPr>
                  <w:r>
                    <w:t xml:space="preserve">Area wSL, unweighted (OOF)</w:t>
                  </w:r>
                </w:p>
              </w:tc>
              <w:tc>
                <w:tcPr/>
                <w:p>
                  <w:pPr>
                    <w:pStyle w:val="Compact"/>
                    <w:jc w:val="right"/>
                    <w:jc w:val="center"/>
                  </w:pPr>
                  <w:r>
                    <w:t xml:space="preserve">0.60</w:t>
                  </w:r>
                </w:p>
              </w:tc>
              <w:tc>
                <w:tcPr/>
                <w:p>
                  <w:pPr>
                    <w:pStyle w:val="Compact"/>
                    <w:jc w:val="right"/>
                    <w:jc w:val="center"/>
                  </w:pPr>
                  <w:r>
                    <w:t xml:space="preserve">10.32</w:t>
                  </w:r>
                </w:p>
              </w:tc>
              <w:tc>
                <w:tcPr/>
                <w:p>
                  <w:pPr>
                    <w:pStyle w:val="Compact"/>
                    <w:jc w:val="right"/>
                    <w:jc w:val="center"/>
                  </w:pPr>
                  <w:r>
                    <w:t xml:space="preserve">0.55</w:t>
                  </w:r>
                </w:p>
              </w:tc>
              <w:tc>
                <w:tcPr/>
                <w:p>
                  <w:pPr>
                    <w:pStyle w:val="Compact"/>
                    <w:jc w:val="right"/>
                    <w:jc w:val="center"/>
                  </w:pPr>
                  <w:r>
                    <w:t xml:space="preserve">0.71</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left"/>
                    <w:jc w:val="center"/>
                  </w:pPr>
                  <w:r>
                    <w:t xml:space="preserve">Individual SL</w:t>
                  </w:r>
                </w:p>
              </w:tc>
              <w:tc>
                <w:tcPr/>
                <w:p>
                  <w:pPr>
                    <w:pStyle w:val="Compact"/>
                    <w:jc w:val="right"/>
                    <w:jc w:val="center"/>
                  </w:pPr>
                  <w:r>
                    <w:t xml:space="preserve">0.68</w:t>
                  </w:r>
                </w:p>
              </w:tc>
              <w:tc>
                <w:tcPr/>
                <w:p>
                  <w:pPr>
                    <w:pStyle w:val="Compact"/>
                    <w:jc w:val="right"/>
                    <w:jc w:val="center"/>
                  </w:pPr>
                  <w:r>
                    <w:t xml:space="preserve">18.79</w:t>
                  </w:r>
                </w:p>
              </w:tc>
              <w:tc>
                <w:tcPr/>
                <w:p>
                  <w:pPr>
                    <w:pStyle w:val="Compact"/>
                    <w:jc w:val="right"/>
                    <w:jc w:val="center"/>
                  </w:pPr>
                  <w:r>
                    <w:t xml:space="preserve">-18.79</w:t>
                  </w:r>
                </w:p>
              </w:tc>
              <w:tc>
                <w:tcPr/>
                <w:p>
                  <w:pPr>
                    <w:pStyle w:val="Compact"/>
                    <w:jc w:val="right"/>
                    <w:jc w:val="center"/>
                  </w:pPr>
                  <w:r>
                    <w:t xml:space="preserve">0.71</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left"/>
                    <w:jc w:val="center"/>
                  </w:pPr>
                  <w:r>
                    <w:t xml:space="preserve">MRP</w:t>
                  </w:r>
                </w:p>
              </w:tc>
              <w:tc>
                <w:tcPr/>
                <w:p>
                  <w:pPr>
                    <w:pStyle w:val="Compact"/>
                    <w:jc w:val="right"/>
                    <w:jc w:val="center"/>
                  </w:pPr>
                  <w:r>
                    <w:t xml:space="preserve">0.82</w:t>
                  </w:r>
                </w:p>
              </w:tc>
              <w:tc>
                <w:tcPr/>
                <w:p>
                  <w:pPr>
                    <w:pStyle w:val="Compact"/>
                    <w:jc w:val="right"/>
                    <w:jc w:val="center"/>
                  </w:pPr>
                  <w:r>
                    <w:t xml:space="preserve">8.27</w:t>
                  </w:r>
                </w:p>
              </w:tc>
              <w:tc>
                <w:tcPr/>
                <w:p>
                  <w:pPr>
                    <w:pStyle w:val="Compact"/>
                    <w:jc w:val="right"/>
                    <w:jc w:val="center"/>
                  </w:pPr>
                  <w:r>
                    <w:t xml:space="preserve">-1.80</w:t>
                  </w:r>
                </w:p>
              </w:tc>
              <w:tc>
                <w:tcPr/>
                <w:p>
                  <w:pPr>
                    <w:pStyle w:val="Compact"/>
                    <w:jc w:val="right"/>
                    <w:jc w:val="center"/>
                  </w:pPr>
                  <w:r>
                    <w:t xml:space="preserve">0.71</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14.19</w:t>
                  </w:r>
                </w:p>
              </w:tc>
              <w:tc>
                <w:tcPr/>
                <w:p>
                  <w:pPr>
                    <w:pStyle w:val="Compact"/>
                    <w:jc w:val="right"/>
                    <w:jc w:val="center"/>
                  </w:pPr>
                  <w:r>
                    <w:t xml:space="preserve">-6.28</w:t>
                  </w:r>
                </w:p>
              </w:tc>
              <w:tc>
                <w:tcPr/>
                <w:p>
                  <w:pPr>
                    <w:pStyle w:val="Compact"/>
                    <w:jc w:val="right"/>
                    <w:jc w:val="center"/>
                  </w:pPr>
                  <w:r>
                    <w:t xml:space="preserve">0.71</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left"/>
                    <w:jc w:val="center"/>
                  </w:pPr>
                  <w:r>
                    <w:t xml:space="preserve">Spatial only (no covariates)</w:t>
                  </w:r>
                </w:p>
              </w:tc>
              <w:tc>
                <w:tcPr/>
                <w:p>
                  <w:pPr>
                    <w:pStyle w:val="Compact"/>
                    <w:jc w:val="right"/>
                    <w:jc w:val="center"/>
                  </w:pPr>
                  <w:r>
                    <w:t xml:space="preserve">0.63</w:t>
                  </w:r>
                </w:p>
              </w:tc>
              <w:tc>
                <w:tcPr/>
                <w:p>
                  <w:pPr>
                    <w:pStyle w:val="Compact"/>
                    <w:jc w:val="right"/>
                    <w:jc w:val="center"/>
                  </w:pPr>
                  <w:r>
                    <w:t xml:space="preserve">10.31</w:t>
                  </w:r>
                </w:p>
              </w:tc>
              <w:tc>
                <w:tcPr/>
                <w:p>
                  <w:pPr>
                    <w:pStyle w:val="Compact"/>
                    <w:jc w:val="right"/>
                    <w:jc w:val="center"/>
                  </w:pPr>
                  <w:r>
                    <w:t xml:space="preserve">-3.15</w:t>
                  </w:r>
                </w:p>
              </w:tc>
              <w:tc>
                <w:tcPr/>
                <w:p>
                  <w:pPr>
                    <w:pStyle w:val="Compact"/>
                    <w:jc w:val="right"/>
                    <w:jc w:val="center"/>
                  </w:pPr>
                  <w:r>
                    <w:t xml:space="preserve">0.71</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left"/>
                    <w:jc w:val="center"/>
                  </w:pPr>
                  <w:r>
                    <w:t xml:space="preserve">Area SL (MSE)</w:t>
                  </w:r>
                </w:p>
              </w:tc>
              <w:tc>
                <w:tcPr/>
                <w:p>
                  <w:pPr>
                    <w:pStyle w:val="Compact"/>
                    <w:jc w:val="right"/>
                    <w:jc w:val="center"/>
                  </w:pPr>
                  <w:r>
                    <w:t xml:space="preserve">0.35</w:t>
                  </w:r>
                </w:p>
              </w:tc>
              <w:tc>
                <w:tcPr/>
                <w:p>
                  <w:pPr>
                    <w:pStyle w:val="Compact"/>
                    <w:jc w:val="right"/>
                    <w:jc w:val="center"/>
                  </w:pPr>
                  <w:r>
                    <w:t xml:space="preserve">3.54</w:t>
                  </w:r>
                </w:p>
              </w:tc>
              <w:tc>
                <w:tcPr/>
                <w:p>
                  <w:pPr>
                    <w:pStyle w:val="Compact"/>
                    <w:jc w:val="right"/>
                    <w:jc w:val="center"/>
                  </w:pPr>
                  <w:r>
                    <w:t xml:space="preserve">0.15</w:t>
                  </w:r>
                </w:p>
              </w:tc>
              <w:tc>
                <w:tcPr/>
                <w:p>
                  <w:pPr>
                    <w:pStyle w:val="Compact"/>
                    <w:jc w:val="right"/>
                    <w:jc w:val="center"/>
                  </w:pPr>
                  <w:r>
                    <w:t xml:space="preserve">0.28</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left"/>
                    <w:jc w:val="center"/>
                  </w:pPr>
                  <w:r>
                    <w:t xml:space="preserve">Area SL (NLL)</w:t>
                  </w:r>
                </w:p>
              </w:tc>
              <w:tc>
                <w:tcPr/>
                <w:p>
                  <w:pPr>
                    <w:pStyle w:val="Compact"/>
                    <w:jc w:val="right"/>
                    <w:jc w:val="center"/>
                  </w:pPr>
                  <w:r>
                    <w:t xml:space="preserve">0.29</w:t>
                  </w:r>
                </w:p>
              </w:tc>
              <w:tc>
                <w:tcPr/>
                <w:p>
                  <w:pPr>
                    <w:pStyle w:val="Compact"/>
                    <w:jc w:val="right"/>
                    <w:jc w:val="center"/>
                  </w:pPr>
                  <w:r>
                    <w:t xml:space="preserve">3.18</w:t>
                  </w:r>
                </w:p>
              </w:tc>
              <w:tc>
                <w:tcPr/>
                <w:p>
                  <w:pPr>
                    <w:pStyle w:val="Compact"/>
                    <w:jc w:val="right"/>
                    <w:jc w:val="center"/>
                  </w:pPr>
                  <w:r>
                    <w:t xml:space="preserve">-2.23</w:t>
                  </w:r>
                </w:p>
              </w:tc>
              <w:tc>
                <w:tcPr/>
                <w:p>
                  <w:pPr>
                    <w:pStyle w:val="Compact"/>
                    <w:jc w:val="right"/>
                    <w:jc w:val="center"/>
                  </w:pPr>
                  <w:r>
                    <w:t xml:space="preserve">0.28</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left"/>
                    <w:jc w:val="center"/>
                  </w:pPr>
                  <w:r>
                    <w:t xml:space="preserve">Area wSL, literature covariates (OOF)</w:t>
                  </w:r>
                </w:p>
              </w:tc>
              <w:tc>
                <w:tcPr/>
                <w:p>
                  <w:pPr>
                    <w:pStyle w:val="Compact"/>
                    <w:jc w:val="right"/>
                    <w:jc w:val="center"/>
                  </w:pPr>
                  <w:r>
                    <w:t xml:space="preserve">0.12</w:t>
                  </w:r>
                </w:p>
              </w:tc>
              <w:tc>
                <w:tcPr/>
                <w:p>
                  <w:pPr>
                    <w:pStyle w:val="Compact"/>
                    <w:jc w:val="right"/>
                    <w:jc w:val="center"/>
                  </w:pPr>
                  <w:r>
                    <w:t xml:space="preserve">3.88</w:t>
                  </w:r>
                </w:p>
              </w:tc>
              <w:tc>
                <w:tcPr/>
                <w:p>
                  <w:pPr>
                    <w:pStyle w:val="Compact"/>
                    <w:jc w:val="right"/>
                    <w:jc w:val="center"/>
                  </w:pPr>
                  <w:r>
                    <w:t xml:space="preserve">0.41</w:t>
                  </w:r>
                </w:p>
              </w:tc>
              <w:tc>
                <w:tcPr/>
                <w:p>
                  <w:pPr>
                    <w:pStyle w:val="Compact"/>
                    <w:jc w:val="right"/>
                    <w:jc w:val="center"/>
                  </w:pPr>
                  <w:r>
                    <w:t xml:space="preserve">0.28</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left"/>
                    <w:jc w:val="center"/>
                  </w:pPr>
                  <w:r>
                    <w:t xml:space="preserve">Area wSL, precision-weighted (OOF)</w:t>
                  </w:r>
                </w:p>
              </w:tc>
              <w:tc>
                <w:tcPr/>
                <w:p>
                  <w:pPr>
                    <w:pStyle w:val="Compact"/>
                    <w:jc w:val="right"/>
                    <w:jc w:val="center"/>
                  </w:pPr>
                  <w:r>
                    <w:t xml:space="preserve">0.47</w:t>
                  </w:r>
                </w:p>
              </w:tc>
              <w:tc>
                <w:tcPr/>
                <w:p>
                  <w:pPr>
                    <w:pStyle w:val="Compact"/>
                    <w:jc w:val="right"/>
                    <w:jc w:val="center"/>
                  </w:pPr>
                  <w:r>
                    <w:t xml:space="preserve">3.36</w:t>
                  </w:r>
                </w:p>
              </w:tc>
              <w:tc>
                <w:tcPr/>
                <w:p>
                  <w:pPr>
                    <w:pStyle w:val="Compact"/>
                    <w:jc w:val="right"/>
                    <w:jc w:val="center"/>
                  </w:pPr>
                  <w:r>
                    <w:t xml:space="preserve">0.64</w:t>
                  </w:r>
                </w:p>
              </w:tc>
              <w:tc>
                <w:tcPr/>
                <w:p>
                  <w:pPr>
                    <w:pStyle w:val="Compact"/>
                    <w:jc w:val="right"/>
                    <w:jc w:val="center"/>
                  </w:pPr>
                  <w:r>
                    <w:t xml:space="preserve">0.28</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left"/>
                    <w:jc w:val="center"/>
                  </w:pPr>
                  <w:r>
                    <w:t xml:space="preserve">Area wSL, prescreen in-fold (OOF)</w:t>
                  </w:r>
                </w:p>
              </w:tc>
              <w:tc>
                <w:tcPr/>
                <w:p>
                  <w:pPr>
                    <w:pStyle w:val="Compact"/>
                    <w:jc w:val="right"/>
                    <w:jc w:val="center"/>
                  </w:pPr>
                  <w:r>
                    <w:t xml:space="preserve">0.18</w:t>
                  </w:r>
                </w:p>
              </w:tc>
              <w:tc>
                <w:tcPr/>
                <w:p>
                  <w:pPr>
                    <w:pStyle w:val="Compact"/>
                    <w:jc w:val="right"/>
                    <w:jc w:val="center"/>
                  </w:pPr>
                  <w:r>
                    <w:t xml:space="preserve">4.20</w:t>
                  </w:r>
                </w:p>
              </w:tc>
              <w:tc>
                <w:tcPr/>
                <w:p>
                  <w:pPr>
                    <w:pStyle w:val="Compact"/>
                    <w:jc w:val="right"/>
                    <w:jc w:val="center"/>
                  </w:pPr>
                  <w:r>
                    <w:t xml:space="preserve">0.86</w:t>
                  </w:r>
                </w:p>
              </w:tc>
              <w:tc>
                <w:tcPr/>
                <w:p>
                  <w:pPr>
                    <w:pStyle w:val="Compact"/>
                    <w:jc w:val="right"/>
                    <w:jc w:val="center"/>
                  </w:pPr>
                  <w:r>
                    <w:t xml:space="preserve">0.28</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left"/>
                    <w:jc w:val="center"/>
                  </w:pPr>
                  <w:r>
                    <w:t xml:space="preserve">Area wSL, prescreen on ALL data (OPTIMISTIC)</w:t>
                  </w:r>
                </w:p>
              </w:tc>
              <w:tc>
                <w:tcPr/>
                <w:p>
                  <w:pPr>
                    <w:pStyle w:val="Compact"/>
                    <w:jc w:val="right"/>
                    <w:jc w:val="center"/>
                  </w:pPr>
                  <w:r>
                    <w:t xml:space="preserve">0.45</w:t>
                  </w:r>
                </w:p>
              </w:tc>
              <w:tc>
                <w:tcPr/>
                <w:p>
                  <w:pPr>
                    <w:pStyle w:val="Compact"/>
                    <w:jc w:val="right"/>
                    <w:jc w:val="center"/>
                  </w:pPr>
                  <w:r>
                    <w:t xml:space="preserve">4.04</w:t>
                  </w:r>
                </w:p>
              </w:tc>
              <w:tc>
                <w:tcPr/>
                <w:p>
                  <w:pPr>
                    <w:pStyle w:val="Compact"/>
                    <w:jc w:val="right"/>
                    <w:jc w:val="center"/>
                  </w:pPr>
                  <w:r>
                    <w:t xml:space="preserve">1.81</w:t>
                  </w:r>
                </w:p>
              </w:tc>
              <w:tc>
                <w:tcPr/>
                <w:p>
                  <w:pPr>
                    <w:pStyle w:val="Compact"/>
                    <w:jc w:val="right"/>
                    <w:jc w:val="center"/>
                  </w:pPr>
                  <w:r>
                    <w:t xml:space="preserve">0.28</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left"/>
                    <w:jc w:val="center"/>
                  </w:pPr>
                  <w:r>
                    <w:t xml:space="preserve">Area wSL, unweighted (OOF)</w:t>
                  </w:r>
                </w:p>
              </w:tc>
              <w:tc>
                <w:tcPr/>
                <w:p>
                  <w:pPr>
                    <w:pStyle w:val="Compact"/>
                    <w:jc w:val="right"/>
                    <w:jc w:val="center"/>
                  </w:pPr>
                  <w:r>
                    <w:t xml:space="preserve">0.43</w:t>
                  </w:r>
                </w:p>
              </w:tc>
              <w:tc>
                <w:tcPr/>
                <w:p>
                  <w:pPr>
                    <w:pStyle w:val="Compact"/>
                    <w:jc w:val="right"/>
                    <w:jc w:val="center"/>
                  </w:pPr>
                  <w:r>
                    <w:t xml:space="preserve">3.12</w:t>
                  </w:r>
                </w:p>
              </w:tc>
              <w:tc>
                <w:tcPr/>
                <w:p>
                  <w:pPr>
                    <w:pStyle w:val="Compact"/>
                    <w:jc w:val="right"/>
                    <w:jc w:val="center"/>
                  </w:pPr>
                  <w:r>
                    <w:t xml:space="preserve">-1.58</w:t>
                  </w:r>
                </w:p>
              </w:tc>
              <w:tc>
                <w:tcPr/>
                <w:p>
                  <w:pPr>
                    <w:pStyle w:val="Compact"/>
                    <w:jc w:val="right"/>
                    <w:jc w:val="center"/>
                  </w:pPr>
                  <w:r>
                    <w:t xml:space="preserve">0.28</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left"/>
                    <w:jc w:val="center"/>
                  </w:pPr>
                  <w:r>
                    <w:t xml:space="preserve">Individual SL</w:t>
                  </w:r>
                </w:p>
              </w:tc>
              <w:tc>
                <w:tcPr/>
                <w:p>
                  <w:pPr>
                    <w:pStyle w:val="Compact"/>
                    <w:jc w:val="right"/>
                    <w:jc w:val="center"/>
                  </w:pPr>
                  <w:r>
                    <w:t xml:space="preserve">0.49</w:t>
                  </w:r>
                </w:p>
              </w:tc>
              <w:tc>
                <w:tcPr/>
                <w:p>
                  <w:pPr>
                    <w:pStyle w:val="Compact"/>
                    <w:jc w:val="right"/>
                    <w:jc w:val="center"/>
                  </w:pPr>
                  <w:r>
                    <w:t xml:space="preserve">3.04</w:t>
                  </w:r>
                </w:p>
              </w:tc>
              <w:tc>
                <w:tcPr/>
                <w:p>
                  <w:pPr>
                    <w:pStyle w:val="Compact"/>
                    <w:jc w:val="right"/>
                    <w:jc w:val="center"/>
                  </w:pPr>
                  <w:r>
                    <w:t xml:space="preserve">-0.39</w:t>
                  </w:r>
                </w:p>
              </w:tc>
              <w:tc>
                <w:tcPr/>
                <w:p>
                  <w:pPr>
                    <w:pStyle w:val="Compact"/>
                    <w:jc w:val="right"/>
                    <w:jc w:val="center"/>
                  </w:pPr>
                  <w:r>
                    <w:t xml:space="preserve">0.28</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left"/>
                    <w:jc w:val="center"/>
                  </w:pPr>
                  <w:r>
                    <w:t xml:space="preserve">MRP</w:t>
                  </w:r>
                </w:p>
              </w:tc>
              <w:tc>
                <w:tcPr/>
                <w:p>
                  <w:pPr>
                    <w:pStyle w:val="Compact"/>
                    <w:jc w:val="right"/>
                    <w:jc w:val="center"/>
                  </w:pPr>
                  <w:r>
                    <w:t xml:space="preserve">0.80</w:t>
                  </w:r>
                </w:p>
              </w:tc>
              <w:tc>
                <w:tcPr/>
                <w:p>
                  <w:pPr>
                    <w:pStyle w:val="Compact"/>
                    <w:jc w:val="right"/>
                    <w:jc w:val="center"/>
                  </w:pPr>
                  <w:r>
                    <w:t xml:space="preserve">2.18</w:t>
                  </w:r>
                </w:p>
              </w:tc>
              <w:tc>
                <w:tcPr/>
                <w:p>
                  <w:pPr>
                    <w:pStyle w:val="Compact"/>
                    <w:jc w:val="right"/>
                    <w:jc w:val="center"/>
                  </w:pPr>
                  <w:r>
                    <w:t xml:space="preserve">0.11</w:t>
                  </w:r>
                </w:p>
              </w:tc>
              <w:tc>
                <w:tcPr/>
                <w:p>
                  <w:pPr>
                    <w:pStyle w:val="Compact"/>
                    <w:jc w:val="right"/>
                    <w:jc w:val="center"/>
                  </w:pPr>
                  <w:r>
                    <w:t xml:space="preserve">0.28</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3.59</w:t>
                  </w:r>
                </w:p>
              </w:tc>
              <w:tc>
                <w:tcPr/>
                <w:p>
                  <w:pPr>
                    <w:pStyle w:val="Compact"/>
                    <w:jc w:val="right"/>
                    <w:jc w:val="center"/>
                  </w:pPr>
                  <w:r>
                    <w:t xml:space="preserve">-0.99</w:t>
                  </w:r>
                </w:p>
              </w:tc>
              <w:tc>
                <w:tcPr/>
                <w:p>
                  <w:pPr>
                    <w:pStyle w:val="Compact"/>
                    <w:jc w:val="right"/>
                    <w:jc w:val="center"/>
                  </w:pPr>
                  <w:r>
                    <w:t xml:space="preserve">0.28</w:t>
                  </w:r>
                </w:p>
              </w:tc>
              <w:tc>
                <w:tcPr/>
                <w:p>
                  <w:pPr>
                    <w:pStyle w:val="Compact"/>
                    <w:jc w:val="left"/>
                    <w:jc w:val="center"/>
                  </w:pPr>
                  <w:r>
                    <w:t xml:space="preserve">TRUE</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left"/>
                    <w:jc w:val="center"/>
                  </w:pPr>
                  <w:r>
                    <w:t xml:space="preserve">Spatial only (no covariates)</w:t>
                  </w:r>
                </w:p>
              </w:tc>
              <w:tc>
                <w:tcPr/>
                <w:p>
                  <w:pPr>
                    <w:pStyle w:val="Compact"/>
                    <w:jc w:val="right"/>
                    <w:jc w:val="center"/>
                  </w:pPr>
                  <w:r>
                    <w:t xml:space="preserve">0.50</w:t>
                  </w:r>
                </w:p>
              </w:tc>
              <w:tc>
                <w:tcPr/>
                <w:p>
                  <w:pPr>
                    <w:pStyle w:val="Compact"/>
                    <w:jc w:val="right"/>
                    <w:jc w:val="center"/>
                  </w:pPr>
                  <w:r>
                    <w:t xml:space="preserve">2.97</w:t>
                  </w:r>
                </w:p>
              </w:tc>
              <w:tc>
                <w:tcPr/>
                <w:p>
                  <w:pPr>
                    <w:pStyle w:val="Compact"/>
                    <w:jc w:val="right"/>
                    <w:jc w:val="center"/>
                  </w:pPr>
                  <w:r>
                    <w:t xml:space="preserve">-1.41</w:t>
                  </w:r>
                </w:p>
              </w:tc>
              <w:tc>
                <w:tcPr/>
                <w:p>
                  <w:pPr>
                    <w:pStyle w:val="Compact"/>
                    <w:jc w:val="right"/>
                    <w:jc w:val="center"/>
                  </w:pPr>
                  <w:r>
                    <w:t xml:space="preserve">0.28</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left"/>
                    <w:jc w:val="center"/>
                  </w:pPr>
                  <w:r>
                    <w:t xml:space="preserve">Area SL (MSE)</w:t>
                  </w:r>
                </w:p>
              </w:tc>
              <w:tc>
                <w:tcPr/>
                <w:p>
                  <w:pPr>
                    <w:pStyle w:val="Compact"/>
                    <w:jc w:val="right"/>
                    <w:jc w:val="center"/>
                  </w:pPr>
                  <w:r>
                    <w:t xml:space="preserve">0.59</w:t>
                  </w:r>
                </w:p>
              </w:tc>
              <w:tc>
                <w:tcPr/>
                <w:p>
                  <w:pPr>
                    <w:pStyle w:val="Compact"/>
                    <w:jc w:val="right"/>
                    <w:jc w:val="center"/>
                  </w:pPr>
                  <w:r>
                    <w:t xml:space="preserve">11.84</w:t>
                  </w:r>
                </w:p>
              </w:tc>
              <w:tc>
                <w:tcPr/>
                <w:p>
                  <w:pPr>
                    <w:pStyle w:val="Compact"/>
                    <w:jc w:val="right"/>
                    <w:jc w:val="center"/>
                  </w:pPr>
                  <w:r>
                    <w:t xml:space="preserve">0.92</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left"/>
                    <w:jc w:val="center"/>
                  </w:pPr>
                  <w:r>
                    <w:t xml:space="preserve">Area SL (NLL)</w:t>
                  </w:r>
                </w:p>
              </w:tc>
              <w:tc>
                <w:tcPr/>
                <w:p>
                  <w:pPr>
                    <w:pStyle w:val="Compact"/>
                    <w:jc w:val="right"/>
                    <w:jc w:val="center"/>
                  </w:pPr>
                  <w:r>
                    <w:t xml:space="preserve">0.62</w:t>
                  </w:r>
                </w:p>
              </w:tc>
              <w:tc>
                <w:tcPr/>
                <w:p>
                  <w:pPr>
                    <w:pStyle w:val="Compact"/>
                    <w:jc w:val="right"/>
                    <w:jc w:val="center"/>
                  </w:pPr>
                  <w:r>
                    <w:t xml:space="preserve">13.33</w:t>
                  </w:r>
                </w:p>
              </w:tc>
              <w:tc>
                <w:tcPr/>
                <w:p>
                  <w:pPr>
                    <w:pStyle w:val="Compact"/>
                    <w:jc w:val="right"/>
                    <w:jc w:val="center"/>
                  </w:pPr>
                  <w:r>
                    <w:t xml:space="preserve">-6.33</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left"/>
                    <w:jc w:val="center"/>
                  </w:pPr>
                  <w:r>
                    <w:t xml:space="preserve">Area wSL, literature covariates (OOF)</w:t>
                  </w:r>
                </w:p>
              </w:tc>
              <w:tc>
                <w:tcPr/>
                <w:p>
                  <w:pPr>
                    <w:pStyle w:val="Compact"/>
                    <w:jc w:val="right"/>
                    <w:jc w:val="center"/>
                  </w:pPr>
                  <w:r>
                    <w:t xml:space="preserve">0.42</w:t>
                  </w:r>
                </w:p>
              </w:tc>
              <w:tc>
                <w:tcPr/>
                <w:p>
                  <w:pPr>
                    <w:pStyle w:val="Compact"/>
                    <w:jc w:val="right"/>
                    <w:jc w:val="center"/>
                  </w:pPr>
                  <w:r>
                    <w:t xml:space="preserve">14.53</w:t>
                  </w:r>
                </w:p>
              </w:tc>
              <w:tc>
                <w:tcPr/>
                <w:p>
                  <w:pPr>
                    <w:pStyle w:val="Compact"/>
                    <w:jc w:val="right"/>
                    <w:jc w:val="center"/>
                  </w:pPr>
                  <w:r>
                    <w:t xml:space="preserve">5.35</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left"/>
                    <w:jc w:val="center"/>
                  </w:pPr>
                  <w:r>
                    <w:t xml:space="preserve">Area wSL, precision-weighted (OOF)</w:t>
                  </w:r>
                </w:p>
              </w:tc>
              <w:tc>
                <w:tcPr/>
                <w:p>
                  <w:pPr>
                    <w:pStyle w:val="Compact"/>
                    <w:jc w:val="right"/>
                    <w:jc w:val="center"/>
                  </w:pPr>
                  <w:r>
                    <w:t xml:space="preserve">0.38</w:t>
                  </w:r>
                </w:p>
              </w:tc>
              <w:tc>
                <w:tcPr/>
                <w:p>
                  <w:pPr>
                    <w:pStyle w:val="Compact"/>
                    <w:jc w:val="right"/>
                    <w:jc w:val="center"/>
                  </w:pPr>
                  <w:r>
                    <w:t xml:space="preserve">14.18</w:t>
                  </w:r>
                </w:p>
              </w:tc>
              <w:tc>
                <w:tcPr/>
                <w:p>
                  <w:pPr>
                    <w:pStyle w:val="Compact"/>
                    <w:jc w:val="right"/>
                    <w:jc w:val="center"/>
                  </w:pPr>
                  <w:r>
                    <w:t xml:space="preserve">4.42</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left"/>
                    <w:jc w:val="center"/>
                  </w:pPr>
                  <w:r>
                    <w:t xml:space="preserve">Area wSL, prescreen in-fold (OOF)</w:t>
                  </w:r>
                </w:p>
              </w:tc>
              <w:tc>
                <w:tcPr/>
                <w:p>
                  <w:pPr>
                    <w:pStyle w:val="Compact"/>
                    <w:jc w:val="right"/>
                    <w:jc w:val="center"/>
                  </w:pPr>
                  <w:r>
                    <w:t xml:space="preserve">0.54</w:t>
                  </w:r>
                </w:p>
              </w:tc>
              <w:tc>
                <w:tcPr/>
                <w:p>
                  <w:pPr>
                    <w:pStyle w:val="Compact"/>
                    <w:jc w:val="right"/>
                    <w:jc w:val="center"/>
                  </w:pPr>
                  <w:r>
                    <w:t xml:space="preserve">12.67</w:t>
                  </w:r>
                </w:p>
              </w:tc>
              <w:tc>
                <w:tcPr/>
                <w:p>
                  <w:pPr>
                    <w:pStyle w:val="Compact"/>
                    <w:jc w:val="right"/>
                    <w:jc w:val="center"/>
                  </w:pPr>
                  <w:r>
                    <w:t xml:space="preserve">4.38</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left"/>
                    <w:jc w:val="center"/>
                  </w:pPr>
                  <w:r>
                    <w:t xml:space="preserve">Area wSL, prescreen on ALL data (OPTIMISTIC)</w:t>
                  </w:r>
                </w:p>
              </w:tc>
              <w:tc>
                <w:tcPr/>
                <w:p>
                  <w:pPr>
                    <w:pStyle w:val="Compact"/>
                    <w:jc w:val="right"/>
                    <w:jc w:val="center"/>
                  </w:pPr>
                  <w:r>
                    <w:t xml:space="preserve">0.58</w:t>
                  </w:r>
                </w:p>
              </w:tc>
              <w:tc>
                <w:tcPr/>
                <w:p>
                  <w:pPr>
                    <w:pStyle w:val="Compact"/>
                    <w:jc w:val="right"/>
                    <w:jc w:val="center"/>
                  </w:pPr>
                  <w:r>
                    <w:t xml:space="preserve">12.60</w:t>
                  </w:r>
                </w:p>
              </w:tc>
              <w:tc>
                <w:tcPr/>
                <w:p>
                  <w:pPr>
                    <w:pStyle w:val="Compact"/>
                    <w:jc w:val="right"/>
                    <w:jc w:val="center"/>
                  </w:pPr>
                  <w:r>
                    <w:t xml:space="preserve">4.87</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left"/>
                    <w:jc w:val="center"/>
                  </w:pPr>
                  <w:r>
                    <w:t xml:space="preserve">Area wSL, unweighted (OOF)</w:t>
                  </w:r>
                </w:p>
              </w:tc>
              <w:tc>
                <w:tcPr/>
                <w:p>
                  <w:pPr>
                    <w:pStyle w:val="Compact"/>
                    <w:jc w:val="right"/>
                    <w:jc w:val="center"/>
                  </w:pPr>
                  <w:r>
                    <w:t xml:space="preserve">0.42</w:t>
                  </w:r>
                </w:p>
              </w:tc>
              <w:tc>
                <w:tcPr/>
                <w:p>
                  <w:pPr>
                    <w:pStyle w:val="Compact"/>
                    <w:jc w:val="right"/>
                    <w:jc w:val="center"/>
                  </w:pPr>
                  <w:r>
                    <w:t xml:space="preserve">13.98</w:t>
                  </w:r>
                </w:p>
              </w:tc>
              <w:tc>
                <w:tcPr/>
                <w:p>
                  <w:pPr>
                    <w:pStyle w:val="Compact"/>
                    <w:jc w:val="right"/>
                    <w:jc w:val="center"/>
                  </w:pPr>
                  <w:r>
                    <w:t xml:space="preserve">-6.24</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left"/>
                    <w:jc w:val="center"/>
                  </w:pPr>
                  <w:r>
                    <w:t xml:space="preserve">Individual SL</w:t>
                  </w:r>
                </w:p>
              </w:tc>
              <w:tc>
                <w:tcPr/>
                <w:p>
                  <w:pPr>
                    <w:pStyle w:val="Compact"/>
                    <w:jc w:val="right"/>
                    <w:jc w:val="center"/>
                  </w:pPr>
                  <w:r>
                    <w:t xml:space="preserve">0.73</w:t>
                  </w:r>
                </w:p>
              </w:tc>
              <w:tc>
                <w:tcPr/>
                <w:p>
                  <w:pPr>
                    <w:pStyle w:val="Compact"/>
                    <w:jc w:val="right"/>
                    <w:jc w:val="center"/>
                  </w:pPr>
                  <w:r>
                    <w:t xml:space="preserve">9.76</w:t>
                  </w:r>
                </w:p>
              </w:tc>
              <w:tc>
                <w:tcPr/>
                <w:p>
                  <w:pPr>
                    <w:pStyle w:val="Compact"/>
                    <w:jc w:val="right"/>
                    <w:jc w:val="center"/>
                  </w:pPr>
                  <w:r>
                    <w:t xml:space="preserve">0.79</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left"/>
                    <w:jc w:val="center"/>
                  </w:pPr>
                  <w:r>
                    <w:t xml:space="preserve">MRP</w:t>
                  </w:r>
                </w:p>
              </w:tc>
              <w:tc>
                <w:tcPr/>
                <w:p>
                  <w:pPr>
                    <w:pStyle w:val="Compact"/>
                    <w:jc w:val="right"/>
                    <w:jc w:val="center"/>
                  </w:pPr>
                  <w:r>
                    <w:t xml:space="preserve">0.89</w:t>
                  </w:r>
                </w:p>
              </w:tc>
              <w:tc>
                <w:tcPr/>
                <w:p>
                  <w:pPr>
                    <w:pStyle w:val="Compact"/>
                    <w:jc w:val="right"/>
                    <w:jc w:val="center"/>
                  </w:pPr>
                  <w:r>
                    <w:t xml:space="preserve">6.84</w:t>
                  </w:r>
                </w:p>
              </w:tc>
              <w:tc>
                <w:tcPr/>
                <w:p>
                  <w:pPr>
                    <w:pStyle w:val="Compact"/>
                    <w:jc w:val="right"/>
                    <w:jc w:val="center"/>
                  </w:pPr>
                  <w:r>
                    <w:t xml:space="preserve">0.93</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15.23</w:t>
                  </w:r>
                </w:p>
              </w:tc>
              <w:tc>
                <w:tcPr/>
                <w:p>
                  <w:pPr>
                    <w:pStyle w:val="Compact"/>
                    <w:jc w:val="right"/>
                    <w:jc w:val="center"/>
                  </w:pPr>
                  <w:r>
                    <w:t xml:space="preserve">2.56</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left"/>
                    <w:jc w:val="center"/>
                  </w:pPr>
                  <w:r>
                    <w:t xml:space="preserve">Spatial only (no covariates)</w:t>
                  </w:r>
                </w:p>
              </w:tc>
              <w:tc>
                <w:tcPr/>
                <w:p>
                  <w:pPr>
                    <w:pStyle w:val="Compact"/>
                    <w:jc w:val="right"/>
                    <w:jc w:val="center"/>
                  </w:pPr>
                  <w:r>
                    <w:t xml:space="preserve">0.56</w:t>
                  </w:r>
                </w:p>
              </w:tc>
              <w:tc>
                <w:tcPr/>
                <w:p>
                  <w:pPr>
                    <w:pStyle w:val="Compact"/>
                    <w:jc w:val="right"/>
                    <w:jc w:val="center"/>
                  </w:pPr>
                  <w:r>
                    <w:t xml:space="preserve">12.59</w:t>
                  </w:r>
                </w:p>
              </w:tc>
              <w:tc>
                <w:tcPr/>
                <w:p>
                  <w:pPr>
                    <w:pStyle w:val="Compact"/>
                    <w:jc w:val="right"/>
                    <w:jc w:val="center"/>
                  </w:pPr>
                  <w:r>
                    <w:t xml:space="preserve">-1.85</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left"/>
                    <w:jc w:val="center"/>
                  </w:pPr>
                  <w:r>
                    <w:t xml:space="preserve">Area SL (MSE)</w:t>
                  </w:r>
                </w:p>
              </w:tc>
              <w:tc>
                <w:tcPr/>
                <w:p>
                  <w:pPr>
                    <w:pStyle w:val="Compact"/>
                    <w:jc w:val="right"/>
                    <w:jc w:val="center"/>
                  </w:pPr>
                  <w:r>
                    <w:t xml:space="preserve">0.35</w:t>
                  </w:r>
                </w:p>
              </w:tc>
              <w:tc>
                <w:tcPr/>
                <w:p>
                  <w:pPr>
                    <w:pStyle w:val="Compact"/>
                    <w:jc w:val="right"/>
                    <w:jc w:val="center"/>
                  </w:pPr>
                  <w:r>
                    <w:t xml:space="preserve">8.81</w:t>
                  </w:r>
                </w:p>
              </w:tc>
              <w:tc>
                <w:tcPr/>
                <w:p>
                  <w:pPr>
                    <w:pStyle w:val="Compact"/>
                    <w:jc w:val="right"/>
                    <w:jc w:val="center"/>
                  </w:pPr>
                  <w:r>
                    <w:t xml:space="preserve">0.24</w:t>
                  </w:r>
                </w:p>
              </w:tc>
              <w:tc>
                <w:tcPr/>
                <w:p>
                  <w:pPr>
                    <w:pStyle w:val="Compact"/>
                    <w:jc w:val="right"/>
                    <w:jc w:val="center"/>
                  </w:pPr>
                  <w:r>
                    <w:t xml:space="preserve">0.03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left"/>
                    <w:jc w:val="center"/>
                  </w:pPr>
                  <w:r>
                    <w:t xml:space="preserve">Area SL (NLL)</w:t>
                  </w:r>
                </w:p>
              </w:tc>
              <w:tc>
                <w:tcPr/>
                <w:p>
                  <w:pPr>
                    <w:pStyle w:val="Compact"/>
                    <w:jc w:val="right"/>
                    <w:jc w:val="center"/>
                  </w:pPr>
                  <w:r>
                    <w:t xml:space="preserve">0.12</w:t>
                  </w:r>
                </w:p>
              </w:tc>
              <w:tc>
                <w:tcPr/>
                <w:p>
                  <w:pPr>
                    <w:pStyle w:val="Compact"/>
                    <w:jc w:val="right"/>
                    <w:jc w:val="center"/>
                  </w:pPr>
                  <w:r>
                    <w:t xml:space="preserve">11.73</w:t>
                  </w:r>
                </w:p>
              </w:tc>
              <w:tc>
                <w:tcPr/>
                <w:p>
                  <w:pPr>
                    <w:pStyle w:val="Compact"/>
                    <w:jc w:val="right"/>
                    <w:jc w:val="center"/>
                  </w:pPr>
                  <w:r>
                    <w:t xml:space="preserve">-7.31</w:t>
                  </w:r>
                </w:p>
              </w:tc>
              <w:tc>
                <w:tcPr/>
                <w:p>
                  <w:pPr>
                    <w:pStyle w:val="Compact"/>
                    <w:jc w:val="right"/>
                    <w:jc w:val="center"/>
                  </w:pPr>
                  <w:r>
                    <w:t xml:space="preserve">0.03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left"/>
                    <w:jc w:val="center"/>
                  </w:pPr>
                  <w:r>
                    <w:t xml:space="preserve">Area wSL, literature covariates (OOF)</w:t>
                  </w:r>
                </w:p>
              </w:tc>
              <w:tc>
                <w:tcPr/>
                <w:p>
                  <w:pPr>
                    <w:pStyle w:val="Compact"/>
                    <w:jc w:val="right"/>
                    <w:jc w:val="center"/>
                  </w:pPr>
                  <w:r>
                    <w:t xml:space="preserve">0.32</w:t>
                  </w:r>
                </w:p>
              </w:tc>
              <w:tc>
                <w:tcPr/>
                <w:p>
                  <w:pPr>
                    <w:pStyle w:val="Compact"/>
                    <w:jc w:val="right"/>
                    <w:jc w:val="center"/>
                  </w:pPr>
                  <w:r>
                    <w:t xml:space="preserve">9.98</w:t>
                  </w:r>
                </w:p>
              </w:tc>
              <w:tc>
                <w:tcPr/>
                <w:p>
                  <w:pPr>
                    <w:pStyle w:val="Compact"/>
                    <w:jc w:val="right"/>
                    <w:jc w:val="center"/>
                  </w:pPr>
                  <w:r>
                    <w:t xml:space="preserve">4.96</w:t>
                  </w:r>
                </w:p>
              </w:tc>
              <w:tc>
                <w:tcPr/>
                <w:p>
                  <w:pPr>
                    <w:pStyle w:val="Compact"/>
                    <w:jc w:val="right"/>
                    <w:jc w:val="center"/>
                  </w:pPr>
                  <w:r>
                    <w:t xml:space="preserve">0.03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left"/>
                    <w:jc w:val="center"/>
                  </w:pPr>
                  <w:r>
                    <w:t xml:space="preserve">Area wSL, precision-weighted (OOF)</w:t>
                  </w:r>
                </w:p>
              </w:tc>
              <w:tc>
                <w:tcPr/>
                <w:p>
                  <w:pPr>
                    <w:pStyle w:val="Compact"/>
                    <w:jc w:val="right"/>
                    <w:jc w:val="center"/>
                  </w:pPr>
                  <w:r>
                    <w:t xml:space="preserve">0.33</w:t>
                  </w:r>
                </w:p>
              </w:tc>
              <w:tc>
                <w:tcPr/>
                <w:p>
                  <w:pPr>
                    <w:pStyle w:val="Compact"/>
                    <w:jc w:val="right"/>
                    <w:jc w:val="center"/>
                  </w:pPr>
                  <w:r>
                    <w:t xml:space="preserve">10.12</w:t>
                  </w:r>
                </w:p>
              </w:tc>
              <w:tc>
                <w:tcPr/>
                <w:p>
                  <w:pPr>
                    <w:pStyle w:val="Compact"/>
                    <w:jc w:val="right"/>
                    <w:jc w:val="center"/>
                  </w:pPr>
                  <w:r>
                    <w:t xml:space="preserve">5.30</w:t>
                  </w:r>
                </w:p>
              </w:tc>
              <w:tc>
                <w:tcPr/>
                <w:p>
                  <w:pPr>
                    <w:pStyle w:val="Compact"/>
                    <w:jc w:val="right"/>
                    <w:jc w:val="center"/>
                  </w:pPr>
                  <w:r>
                    <w:t xml:space="preserve">0.03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left"/>
                    <w:jc w:val="center"/>
                  </w:pPr>
                  <w:r>
                    <w:t xml:space="preserve">Area wSL, prescreen in-fold (OOF)</w:t>
                  </w:r>
                </w:p>
              </w:tc>
              <w:tc>
                <w:tcPr/>
                <w:p>
                  <w:pPr>
                    <w:pStyle w:val="Compact"/>
                    <w:jc w:val="right"/>
                    <w:jc w:val="center"/>
                  </w:pPr>
                  <w:r>
                    <w:t xml:space="preserve">0.33</w:t>
                  </w:r>
                </w:p>
              </w:tc>
              <w:tc>
                <w:tcPr/>
                <w:p>
                  <w:pPr>
                    <w:pStyle w:val="Compact"/>
                    <w:jc w:val="right"/>
                    <w:jc w:val="center"/>
                  </w:pPr>
                  <w:r>
                    <w:t xml:space="preserve">10.06</w:t>
                  </w:r>
                </w:p>
              </w:tc>
              <w:tc>
                <w:tcPr/>
                <w:p>
                  <w:pPr>
                    <w:pStyle w:val="Compact"/>
                    <w:jc w:val="right"/>
                    <w:jc w:val="center"/>
                  </w:pPr>
                  <w:r>
                    <w:t xml:space="preserve">4.75</w:t>
                  </w:r>
                </w:p>
              </w:tc>
              <w:tc>
                <w:tcPr/>
                <w:p>
                  <w:pPr>
                    <w:pStyle w:val="Compact"/>
                    <w:jc w:val="right"/>
                    <w:jc w:val="center"/>
                  </w:pPr>
                  <w:r>
                    <w:t xml:space="preserve">0.03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left"/>
                    <w:jc w:val="center"/>
                  </w:pPr>
                  <w:r>
                    <w:t xml:space="preserve">Area wSL, prescreen on ALL data (OPTIMISTIC)</w:t>
                  </w:r>
                </w:p>
              </w:tc>
              <w:tc>
                <w:tcPr/>
                <w:p>
                  <w:pPr>
                    <w:pStyle w:val="Compact"/>
                    <w:jc w:val="right"/>
                    <w:jc w:val="center"/>
                  </w:pPr>
                  <w:r>
                    <w:t xml:space="preserve">0.38</w:t>
                  </w:r>
                </w:p>
              </w:tc>
              <w:tc>
                <w:tcPr/>
                <w:p>
                  <w:pPr>
                    <w:pStyle w:val="Compact"/>
                    <w:jc w:val="right"/>
                    <w:jc w:val="center"/>
                  </w:pPr>
                  <w:r>
                    <w:t xml:space="preserve">9.94</w:t>
                  </w:r>
                </w:p>
              </w:tc>
              <w:tc>
                <w:tcPr/>
                <w:p>
                  <w:pPr>
                    <w:pStyle w:val="Compact"/>
                    <w:jc w:val="right"/>
                    <w:jc w:val="center"/>
                  </w:pPr>
                  <w:r>
                    <w:t xml:space="preserve">4.99</w:t>
                  </w:r>
                </w:p>
              </w:tc>
              <w:tc>
                <w:tcPr/>
                <w:p>
                  <w:pPr>
                    <w:pStyle w:val="Compact"/>
                    <w:jc w:val="right"/>
                    <w:jc w:val="center"/>
                  </w:pPr>
                  <w:r>
                    <w:t xml:space="preserve">0.03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left"/>
                    <w:jc w:val="center"/>
                  </w:pPr>
                  <w:r>
                    <w:t xml:space="preserve">Area wSL, unweighted (OOF)</w:t>
                  </w:r>
                </w:p>
              </w:tc>
              <w:tc>
                <w:tcPr/>
                <w:p>
                  <w:pPr>
                    <w:pStyle w:val="Compact"/>
                    <w:jc w:val="right"/>
                    <w:jc w:val="center"/>
                  </w:pPr>
                  <w:r>
                    <w:t xml:space="preserve">0.06</w:t>
                  </w:r>
                </w:p>
              </w:tc>
              <w:tc>
                <w:tcPr/>
                <w:p>
                  <w:pPr>
                    <w:pStyle w:val="Compact"/>
                    <w:jc w:val="right"/>
                    <w:jc w:val="center"/>
                  </w:pPr>
                  <w:r>
                    <w:t xml:space="preserve">10.78</w:t>
                  </w:r>
                </w:p>
              </w:tc>
              <w:tc>
                <w:tcPr/>
                <w:p>
                  <w:pPr>
                    <w:pStyle w:val="Compact"/>
                    <w:jc w:val="right"/>
                    <w:jc w:val="center"/>
                  </w:pPr>
                  <w:r>
                    <w:t xml:space="preserve">-6.58</w:t>
                  </w:r>
                </w:p>
              </w:tc>
              <w:tc>
                <w:tcPr/>
                <w:p>
                  <w:pPr>
                    <w:pStyle w:val="Compact"/>
                    <w:jc w:val="right"/>
                    <w:jc w:val="center"/>
                  </w:pPr>
                  <w:r>
                    <w:t xml:space="preserve">0.03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left"/>
                    <w:jc w:val="center"/>
                  </w:pPr>
                  <w:r>
                    <w:t xml:space="preserve">Individual SL</w:t>
                  </w:r>
                </w:p>
              </w:tc>
              <w:tc>
                <w:tcPr/>
                <w:p>
                  <w:pPr>
                    <w:pStyle w:val="Compact"/>
                    <w:jc w:val="right"/>
                    <w:jc w:val="center"/>
                  </w:pPr>
                  <w:r>
                    <w:t xml:space="preserve">-0.33</w:t>
                  </w:r>
                </w:p>
              </w:tc>
              <w:tc>
                <w:tcPr/>
                <w:p>
                  <w:pPr>
                    <w:pStyle w:val="Compact"/>
                    <w:jc w:val="right"/>
                    <w:jc w:val="center"/>
                  </w:pPr>
                  <w:r>
                    <w:t xml:space="preserve">9.96</w:t>
                  </w:r>
                </w:p>
              </w:tc>
              <w:tc>
                <w:tcPr/>
                <w:p>
                  <w:pPr>
                    <w:pStyle w:val="Compact"/>
                    <w:jc w:val="right"/>
                    <w:jc w:val="center"/>
                  </w:pPr>
                  <w:r>
                    <w:t xml:space="preserve">1.44</w:t>
                  </w:r>
                </w:p>
              </w:tc>
              <w:tc>
                <w:tcPr/>
                <w:p>
                  <w:pPr>
                    <w:pStyle w:val="Compact"/>
                    <w:jc w:val="right"/>
                    <w:jc w:val="center"/>
                  </w:pPr>
                  <w:r>
                    <w:t xml:space="preserve">0.03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left"/>
                    <w:jc w:val="center"/>
                  </w:pPr>
                  <w:r>
                    <w:t xml:space="preserve">MRP</w:t>
                  </w:r>
                </w:p>
              </w:tc>
              <w:tc>
                <w:tcPr/>
                <w:p>
                  <w:pPr>
                    <w:pStyle w:val="Compact"/>
                    <w:jc w:val="right"/>
                    <w:jc w:val="center"/>
                  </w:pPr>
                  <w:r>
                    <w:t xml:space="preserve">0.72</w:t>
                  </w:r>
                </w:p>
              </w:tc>
              <w:tc>
                <w:tcPr/>
                <w:p>
                  <w:pPr>
                    <w:pStyle w:val="Compact"/>
                    <w:jc w:val="right"/>
                    <w:jc w:val="center"/>
                  </w:pPr>
                  <w:r>
                    <w:t xml:space="preserve">6.89</w:t>
                  </w:r>
                </w:p>
              </w:tc>
              <w:tc>
                <w:tcPr/>
                <w:p>
                  <w:pPr>
                    <w:pStyle w:val="Compact"/>
                    <w:jc w:val="right"/>
                    <w:jc w:val="center"/>
                  </w:pPr>
                  <w:r>
                    <w:t xml:space="preserve">0.67</w:t>
                  </w:r>
                </w:p>
              </w:tc>
              <w:tc>
                <w:tcPr/>
                <w:p>
                  <w:pPr>
                    <w:pStyle w:val="Compact"/>
                    <w:jc w:val="right"/>
                    <w:jc w:val="center"/>
                  </w:pPr>
                  <w:r>
                    <w:t xml:space="preserve">0.03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9.59</w:t>
                  </w:r>
                </w:p>
              </w:tc>
              <w:tc>
                <w:tcPr/>
                <w:p>
                  <w:pPr>
                    <w:pStyle w:val="Compact"/>
                    <w:jc w:val="right"/>
                    <w:jc w:val="center"/>
                  </w:pPr>
                  <w:r>
                    <w:t xml:space="preserve">1.40</w:t>
                  </w:r>
                </w:p>
              </w:tc>
              <w:tc>
                <w:tcPr/>
                <w:p>
                  <w:pPr>
                    <w:pStyle w:val="Compact"/>
                    <w:jc w:val="right"/>
                    <w:jc w:val="center"/>
                  </w:pPr>
                  <w:r>
                    <w:t xml:space="preserve">0.03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left"/>
                    <w:jc w:val="center"/>
                  </w:pPr>
                  <w:r>
                    <w:t xml:space="preserve">Spatial only (no covariates)</w:t>
                  </w:r>
                </w:p>
              </w:tc>
              <w:tc>
                <w:tcPr/>
                <w:p>
                  <w:pPr>
                    <w:pStyle w:val="Compact"/>
                    <w:jc w:val="right"/>
                    <w:jc w:val="center"/>
                  </w:pPr>
                  <w:r>
                    <w:t xml:space="preserve">0.24</w:t>
                  </w:r>
                </w:p>
              </w:tc>
              <w:tc>
                <w:tcPr/>
                <w:p>
                  <w:pPr>
                    <w:pStyle w:val="Compact"/>
                    <w:jc w:val="right"/>
                    <w:jc w:val="center"/>
                  </w:pPr>
                  <w:r>
                    <w:t xml:space="preserve">9.39</w:t>
                  </w:r>
                </w:p>
              </w:tc>
              <w:tc>
                <w:tcPr/>
                <w:p>
                  <w:pPr>
                    <w:pStyle w:val="Compact"/>
                    <w:jc w:val="right"/>
                    <w:jc w:val="center"/>
                  </w:pPr>
                  <w:r>
                    <w:t xml:space="preserve">-3.57</w:t>
                  </w:r>
                </w:p>
              </w:tc>
              <w:tc>
                <w:tcPr/>
                <w:p>
                  <w:pPr>
                    <w:pStyle w:val="Compact"/>
                    <w:jc w:val="right"/>
                    <w:jc w:val="center"/>
                  </w:pPr>
                  <w:r>
                    <w:t xml:space="preserve">0.03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left"/>
                    <w:jc w:val="center"/>
                  </w:pPr>
                  <w:r>
                    <w:t xml:space="preserve">Area SL (MSE)</w:t>
                  </w:r>
                </w:p>
              </w:tc>
              <w:tc>
                <w:tcPr/>
                <w:p>
                  <w:pPr>
                    <w:pStyle w:val="Compact"/>
                    <w:jc w:val="right"/>
                    <w:jc w:val="center"/>
                  </w:pPr>
                  <w:r>
                    <w:t xml:space="preserve">0.26</w:t>
                  </w:r>
                </w:p>
              </w:tc>
              <w:tc>
                <w:tcPr/>
                <w:p>
                  <w:pPr>
                    <w:pStyle w:val="Compact"/>
                    <w:jc w:val="right"/>
                    <w:jc w:val="center"/>
                  </w:pPr>
                  <w:r>
                    <w:t xml:space="preserve">11.00</w:t>
                  </w:r>
                </w:p>
              </w:tc>
              <w:tc>
                <w:tcPr/>
                <w:p>
                  <w:pPr>
                    <w:pStyle w:val="Compact"/>
                    <w:jc w:val="right"/>
                    <w:jc w:val="center"/>
                  </w:pPr>
                  <w:r>
                    <w:t xml:space="preserve">-0.06</w:t>
                  </w:r>
                </w:p>
              </w:tc>
              <w:tc>
                <w:tcPr/>
                <w:p>
                  <w:pPr>
                    <w:pStyle w:val="Compact"/>
                    <w:jc w:val="right"/>
                    <w:jc w:val="center"/>
                  </w:pPr>
                  <w:r>
                    <w:t xml:space="preserve">0.37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left"/>
                    <w:jc w:val="center"/>
                  </w:pPr>
                  <w:r>
                    <w:t xml:space="preserve">Area SL (NLL)</w:t>
                  </w:r>
                </w:p>
              </w:tc>
              <w:tc>
                <w:tcPr/>
                <w:p>
                  <w:pPr>
                    <w:pStyle w:val="Compact"/>
                    <w:jc w:val="right"/>
                    <w:jc w:val="center"/>
                  </w:pPr>
                  <w:r>
                    <w:t xml:space="preserve">0.14</w:t>
                  </w:r>
                </w:p>
              </w:tc>
              <w:tc>
                <w:tcPr/>
                <w:p>
                  <w:pPr>
                    <w:pStyle w:val="Compact"/>
                    <w:jc w:val="right"/>
                    <w:jc w:val="center"/>
                  </w:pPr>
                  <w:r>
                    <w:t xml:space="preserve">9.74</w:t>
                  </w:r>
                </w:p>
              </w:tc>
              <w:tc>
                <w:tcPr/>
                <w:p>
                  <w:pPr>
                    <w:pStyle w:val="Compact"/>
                    <w:jc w:val="right"/>
                    <w:jc w:val="center"/>
                  </w:pPr>
                  <w:r>
                    <w:t xml:space="preserve">-7.02</w:t>
                  </w:r>
                </w:p>
              </w:tc>
              <w:tc>
                <w:tcPr/>
                <w:p>
                  <w:pPr>
                    <w:pStyle w:val="Compact"/>
                    <w:jc w:val="right"/>
                    <w:jc w:val="center"/>
                  </w:pPr>
                  <w:r>
                    <w:t xml:space="preserve">0.37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left"/>
                    <w:jc w:val="center"/>
                  </w:pPr>
                  <w:r>
                    <w:t xml:space="preserve">Area wSL, literature covariates (OOF)</w:t>
                  </w:r>
                </w:p>
              </w:tc>
              <w:tc>
                <w:tcPr/>
                <w:p>
                  <w:pPr>
                    <w:pStyle w:val="Compact"/>
                    <w:jc w:val="right"/>
                    <w:jc w:val="center"/>
                  </w:pPr>
                  <w:r>
                    <w:t xml:space="preserve">0.09</w:t>
                  </w:r>
                </w:p>
              </w:tc>
              <w:tc>
                <w:tcPr/>
                <w:p>
                  <w:pPr>
                    <w:pStyle w:val="Compact"/>
                    <w:jc w:val="right"/>
                    <w:jc w:val="center"/>
                  </w:pPr>
                  <w:r>
                    <w:t xml:space="preserve">16.29</w:t>
                  </w:r>
                </w:p>
              </w:tc>
              <w:tc>
                <w:tcPr/>
                <w:p>
                  <w:pPr>
                    <w:pStyle w:val="Compact"/>
                    <w:jc w:val="right"/>
                    <w:jc w:val="center"/>
                  </w:pPr>
                  <w:r>
                    <w:t xml:space="preserve">9.40</w:t>
                  </w:r>
                </w:p>
              </w:tc>
              <w:tc>
                <w:tcPr/>
                <w:p>
                  <w:pPr>
                    <w:pStyle w:val="Compact"/>
                    <w:jc w:val="right"/>
                    <w:jc w:val="center"/>
                  </w:pPr>
                  <w:r>
                    <w:t xml:space="preserve">0.37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left"/>
                    <w:jc w:val="center"/>
                  </w:pPr>
                  <w:r>
                    <w:t xml:space="preserve">Area wSL, precision-weighted (OOF)</w:t>
                  </w:r>
                </w:p>
              </w:tc>
              <w:tc>
                <w:tcPr/>
                <w:p>
                  <w:pPr>
                    <w:pStyle w:val="Compact"/>
                    <w:jc w:val="right"/>
                    <w:jc w:val="center"/>
                  </w:pPr>
                  <w:r>
                    <w:t xml:space="preserve">0.22</w:t>
                  </w:r>
                </w:p>
              </w:tc>
              <w:tc>
                <w:tcPr/>
                <w:p>
                  <w:pPr>
                    <w:pStyle w:val="Compact"/>
                    <w:jc w:val="right"/>
                    <w:jc w:val="center"/>
                  </w:pPr>
                  <w:r>
                    <w:t xml:space="preserve">15.42</w:t>
                  </w:r>
                </w:p>
              </w:tc>
              <w:tc>
                <w:tcPr/>
                <w:p>
                  <w:pPr>
                    <w:pStyle w:val="Compact"/>
                    <w:jc w:val="right"/>
                    <w:jc w:val="center"/>
                  </w:pPr>
                  <w:r>
                    <w:t xml:space="preserve">8.42</w:t>
                  </w:r>
                </w:p>
              </w:tc>
              <w:tc>
                <w:tcPr/>
                <w:p>
                  <w:pPr>
                    <w:pStyle w:val="Compact"/>
                    <w:jc w:val="right"/>
                    <w:jc w:val="center"/>
                  </w:pPr>
                  <w:r>
                    <w:t xml:space="preserve">0.37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left"/>
                    <w:jc w:val="center"/>
                  </w:pPr>
                  <w:r>
                    <w:t xml:space="preserve">Area wSL, prescreen in-fold (OOF)</w:t>
                  </w:r>
                </w:p>
              </w:tc>
              <w:tc>
                <w:tcPr/>
                <w:p>
                  <w:pPr>
                    <w:pStyle w:val="Compact"/>
                    <w:jc w:val="right"/>
                    <w:jc w:val="center"/>
                  </w:pPr>
                  <w:r>
                    <w:t xml:space="preserve">-0.12</w:t>
                  </w:r>
                </w:p>
              </w:tc>
              <w:tc>
                <w:tcPr/>
                <w:p>
                  <w:pPr>
                    <w:pStyle w:val="Compact"/>
                    <w:jc w:val="right"/>
                    <w:jc w:val="center"/>
                  </w:pPr>
                  <w:r>
                    <w:t xml:space="preserve">16.74</w:t>
                  </w:r>
                </w:p>
              </w:tc>
              <w:tc>
                <w:tcPr/>
                <w:p>
                  <w:pPr>
                    <w:pStyle w:val="Compact"/>
                    <w:jc w:val="right"/>
                    <w:jc w:val="center"/>
                  </w:pPr>
                  <w:r>
                    <w:t xml:space="preserve">8.75</w:t>
                  </w:r>
                </w:p>
              </w:tc>
              <w:tc>
                <w:tcPr/>
                <w:p>
                  <w:pPr>
                    <w:pStyle w:val="Compact"/>
                    <w:jc w:val="right"/>
                    <w:jc w:val="center"/>
                  </w:pPr>
                  <w:r>
                    <w:t xml:space="preserve">0.37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left"/>
                    <w:jc w:val="center"/>
                  </w:pPr>
                  <w:r>
                    <w:t xml:space="preserve">Area wSL, prescreen on ALL data (OPTIMISTIC)</w:t>
                  </w:r>
                </w:p>
              </w:tc>
              <w:tc>
                <w:tcPr/>
                <w:p>
                  <w:pPr>
                    <w:pStyle w:val="Compact"/>
                    <w:jc w:val="right"/>
                    <w:jc w:val="center"/>
                  </w:pPr>
                  <w:r>
                    <w:t xml:space="preserve">0.27</w:t>
                  </w:r>
                </w:p>
              </w:tc>
              <w:tc>
                <w:tcPr/>
                <w:p>
                  <w:pPr>
                    <w:pStyle w:val="Compact"/>
                    <w:jc w:val="right"/>
                    <w:jc w:val="center"/>
                  </w:pPr>
                  <w:r>
                    <w:t xml:space="preserve">15.64</w:t>
                  </w:r>
                </w:p>
              </w:tc>
              <w:tc>
                <w:tcPr/>
                <w:p>
                  <w:pPr>
                    <w:pStyle w:val="Compact"/>
                    <w:jc w:val="right"/>
                    <w:jc w:val="center"/>
                  </w:pPr>
                  <w:r>
                    <w:t xml:space="preserve">9.63</w:t>
                  </w:r>
                </w:p>
              </w:tc>
              <w:tc>
                <w:tcPr/>
                <w:p>
                  <w:pPr>
                    <w:pStyle w:val="Compact"/>
                    <w:jc w:val="right"/>
                    <w:jc w:val="center"/>
                  </w:pPr>
                  <w:r>
                    <w:t xml:space="preserve">0.37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left"/>
                    <w:jc w:val="center"/>
                  </w:pPr>
                  <w:r>
                    <w:t xml:space="preserve">Area wSL, unweighted (OOF)</w:t>
                  </w:r>
                </w:p>
              </w:tc>
              <w:tc>
                <w:tcPr/>
                <w:p>
                  <w:pPr>
                    <w:pStyle w:val="Compact"/>
                    <w:jc w:val="right"/>
                    <w:jc w:val="center"/>
                  </w:pPr>
                  <w:r>
                    <w:t xml:space="preserve">-0.10</w:t>
                  </w:r>
                </w:p>
              </w:tc>
              <w:tc>
                <w:tcPr/>
                <w:p>
                  <w:pPr>
                    <w:pStyle w:val="Compact"/>
                    <w:jc w:val="right"/>
                    <w:jc w:val="center"/>
                  </w:pPr>
                  <w:r>
                    <w:t xml:space="preserve">11.29</w:t>
                  </w:r>
                </w:p>
              </w:tc>
              <w:tc>
                <w:tcPr/>
                <w:p>
                  <w:pPr>
                    <w:pStyle w:val="Compact"/>
                    <w:jc w:val="right"/>
                    <w:jc w:val="center"/>
                  </w:pPr>
                  <w:r>
                    <w:t xml:space="preserve">-5.42</w:t>
                  </w:r>
                </w:p>
              </w:tc>
              <w:tc>
                <w:tcPr/>
                <w:p>
                  <w:pPr>
                    <w:pStyle w:val="Compact"/>
                    <w:jc w:val="right"/>
                    <w:jc w:val="center"/>
                  </w:pPr>
                  <w:r>
                    <w:t xml:space="preserve">0.37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left"/>
                    <w:jc w:val="center"/>
                  </w:pPr>
                  <w:r>
                    <w:t xml:space="preserve">Individual SL</w:t>
                  </w:r>
                </w:p>
              </w:tc>
              <w:tc>
                <w:tcPr/>
                <w:p>
                  <w:pPr>
                    <w:pStyle w:val="Compact"/>
                    <w:jc w:val="right"/>
                    <w:jc w:val="center"/>
                  </w:pPr>
                  <w:r>
                    <w:t xml:space="preserve">0.66</w:t>
                  </w:r>
                </w:p>
              </w:tc>
              <w:tc>
                <w:tcPr/>
                <w:p>
                  <w:pPr>
                    <w:pStyle w:val="Compact"/>
                    <w:jc w:val="right"/>
                    <w:jc w:val="center"/>
                  </w:pPr>
                  <w:r>
                    <w:t xml:space="preserve">9.02</w:t>
                  </w:r>
                </w:p>
              </w:tc>
              <w:tc>
                <w:tcPr/>
                <w:p>
                  <w:pPr>
                    <w:pStyle w:val="Compact"/>
                    <w:jc w:val="right"/>
                    <w:jc w:val="center"/>
                  </w:pPr>
                  <w:r>
                    <w:t xml:space="preserve">-0.13</w:t>
                  </w:r>
                </w:p>
              </w:tc>
              <w:tc>
                <w:tcPr/>
                <w:p>
                  <w:pPr>
                    <w:pStyle w:val="Compact"/>
                    <w:jc w:val="right"/>
                    <w:jc w:val="center"/>
                  </w:pPr>
                  <w:r>
                    <w:t xml:space="preserve">0.37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left"/>
                    <w:jc w:val="center"/>
                  </w:pPr>
                  <w:r>
                    <w:t xml:space="preserve">MRP</w:t>
                  </w:r>
                </w:p>
              </w:tc>
              <w:tc>
                <w:tcPr/>
                <w:p>
                  <w:pPr>
                    <w:pStyle w:val="Compact"/>
                    <w:jc w:val="right"/>
                    <w:jc w:val="center"/>
                  </w:pPr>
                  <w:r>
                    <w:t xml:space="preserve">0.75</w:t>
                  </w:r>
                </w:p>
              </w:tc>
              <w:tc>
                <w:tcPr/>
                <w:p>
                  <w:pPr>
                    <w:pStyle w:val="Compact"/>
                    <w:jc w:val="right"/>
                    <w:jc w:val="center"/>
                  </w:pPr>
                  <w:r>
                    <w:t xml:space="preserve">7.70</w:t>
                  </w:r>
                </w:p>
              </w:tc>
              <w:tc>
                <w:tcPr/>
                <w:p>
                  <w:pPr>
                    <w:pStyle w:val="Compact"/>
                    <w:jc w:val="right"/>
                    <w:jc w:val="center"/>
                  </w:pPr>
                  <w:r>
                    <w:t xml:space="preserve">-0.86</w:t>
                  </w:r>
                </w:p>
              </w:tc>
              <w:tc>
                <w:tcPr/>
                <w:p>
                  <w:pPr>
                    <w:pStyle w:val="Compact"/>
                    <w:jc w:val="right"/>
                    <w:jc w:val="center"/>
                  </w:pPr>
                  <w:r>
                    <w:t xml:space="preserve">0.37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11.63</w:t>
                  </w:r>
                </w:p>
              </w:tc>
              <w:tc>
                <w:tcPr/>
                <w:p>
                  <w:pPr>
                    <w:pStyle w:val="Compact"/>
                    <w:jc w:val="right"/>
                    <w:jc w:val="center"/>
                  </w:pPr>
                  <w:r>
                    <w:t xml:space="preserve">-1.03</w:t>
                  </w:r>
                </w:p>
              </w:tc>
              <w:tc>
                <w:tcPr/>
                <w:p>
                  <w:pPr>
                    <w:pStyle w:val="Compact"/>
                    <w:jc w:val="right"/>
                    <w:jc w:val="center"/>
                  </w:pPr>
                  <w:r>
                    <w:t xml:space="preserve">0.37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left"/>
                    <w:jc w:val="center"/>
                  </w:pPr>
                  <w:r>
                    <w:t xml:space="preserve">Spatial only (no covariates)</w:t>
                  </w:r>
                </w:p>
              </w:tc>
              <w:tc>
                <w:tcPr/>
                <w:p>
                  <w:pPr>
                    <w:pStyle w:val="Compact"/>
                    <w:jc w:val="right"/>
                    <w:jc w:val="center"/>
                  </w:pPr>
                  <w:r>
                    <w:t xml:space="preserve">0.39</w:t>
                  </w:r>
                </w:p>
              </w:tc>
              <w:tc>
                <w:tcPr/>
                <w:p>
                  <w:pPr>
                    <w:pStyle w:val="Compact"/>
                    <w:jc w:val="right"/>
                    <w:jc w:val="center"/>
                  </w:pPr>
                  <w:r>
                    <w:t xml:space="preserve">9.66</w:t>
                  </w:r>
                </w:p>
              </w:tc>
              <w:tc>
                <w:tcPr/>
                <w:p>
                  <w:pPr>
                    <w:pStyle w:val="Compact"/>
                    <w:jc w:val="right"/>
                    <w:jc w:val="center"/>
                  </w:pPr>
                  <w:r>
                    <w:t xml:space="preserve">-6.16</w:t>
                  </w:r>
                </w:p>
              </w:tc>
              <w:tc>
                <w:tcPr/>
                <w:p>
                  <w:pPr>
                    <w:pStyle w:val="Compact"/>
                    <w:jc w:val="right"/>
                    <w:jc w:val="center"/>
                  </w:pPr>
                  <w:r>
                    <w:t xml:space="preserve">0.37</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left"/>
                    <w:jc w:val="center"/>
                  </w:pPr>
                  <w:r>
                    <w:t xml:space="preserve">Area SL (MSE)</w:t>
                  </w:r>
                </w:p>
              </w:tc>
              <w:tc>
                <w:tcPr/>
                <w:p>
                  <w:pPr>
                    <w:pStyle w:val="Compact"/>
                    <w:jc w:val="right"/>
                    <w:jc w:val="center"/>
                  </w:pPr>
                  <w:r>
                    <w:t xml:space="preserve">0.44</w:t>
                  </w:r>
                </w:p>
              </w:tc>
              <w:tc>
                <w:tcPr/>
                <w:p>
                  <w:pPr>
                    <w:pStyle w:val="Compact"/>
                    <w:jc w:val="right"/>
                    <w:jc w:val="center"/>
                  </w:pPr>
                  <w:r>
                    <w:t xml:space="preserve">21.87</w:t>
                  </w:r>
                </w:p>
              </w:tc>
              <w:tc>
                <w:tcPr/>
                <w:p>
                  <w:pPr>
                    <w:pStyle w:val="Compact"/>
                    <w:jc w:val="right"/>
                    <w:jc w:val="center"/>
                  </w:pPr>
                  <w:r>
                    <w:t xml:space="preserve">-0.12</w:t>
                  </w:r>
                </w:p>
              </w:tc>
              <w:tc>
                <w:tcPr/>
                <w:p>
                  <w:pPr>
                    <w:pStyle w:val="Compact"/>
                    <w:jc w:val="right"/>
                    <w:jc w:val="center"/>
                  </w:pPr>
                  <w:r>
                    <w:t xml:space="preserve">0.63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left"/>
                    <w:jc w:val="center"/>
                  </w:pPr>
                  <w:r>
                    <w:t xml:space="preserve">Area SL (NLL)</w:t>
                  </w:r>
                </w:p>
              </w:tc>
              <w:tc>
                <w:tcPr/>
                <w:p>
                  <w:pPr>
                    <w:pStyle w:val="Compact"/>
                    <w:jc w:val="right"/>
                    <w:jc w:val="center"/>
                  </w:pPr>
                  <w:r>
                    <w:t xml:space="preserve">0.38</w:t>
                  </w:r>
                </w:p>
              </w:tc>
              <w:tc>
                <w:tcPr/>
                <w:p>
                  <w:pPr>
                    <w:pStyle w:val="Compact"/>
                    <w:jc w:val="right"/>
                    <w:jc w:val="center"/>
                  </w:pPr>
                  <w:r>
                    <w:t xml:space="preserve">23.23</w:t>
                  </w:r>
                </w:p>
              </w:tc>
              <w:tc>
                <w:tcPr/>
                <w:p>
                  <w:pPr>
                    <w:pStyle w:val="Compact"/>
                    <w:jc w:val="right"/>
                    <w:jc w:val="center"/>
                  </w:pPr>
                  <w:r>
                    <w:t xml:space="preserve">0.72</w:t>
                  </w:r>
                </w:p>
              </w:tc>
              <w:tc>
                <w:tcPr/>
                <w:p>
                  <w:pPr>
                    <w:pStyle w:val="Compact"/>
                    <w:jc w:val="right"/>
                    <w:jc w:val="center"/>
                  </w:pPr>
                  <w:r>
                    <w:t xml:space="preserve">0.63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left"/>
                    <w:jc w:val="center"/>
                  </w:pPr>
                  <w:r>
                    <w:t xml:space="preserve">Area wSL, literature covariates (OOF)</w:t>
                  </w:r>
                </w:p>
              </w:tc>
              <w:tc>
                <w:tcPr/>
                <w:p>
                  <w:pPr>
                    <w:pStyle w:val="Compact"/>
                    <w:jc w:val="right"/>
                    <w:jc w:val="center"/>
                  </w:pPr>
                  <w:r>
                    <w:t xml:space="preserve">0.00</w:t>
                  </w:r>
                </w:p>
              </w:tc>
              <w:tc>
                <w:tcPr/>
                <w:p>
                  <w:pPr>
                    <w:pStyle w:val="Compact"/>
                    <w:jc w:val="right"/>
                    <w:jc w:val="center"/>
                  </w:pPr>
                  <w:r>
                    <w:t xml:space="preserve">26.22</w:t>
                  </w:r>
                </w:p>
              </w:tc>
              <w:tc>
                <w:tcPr/>
                <w:p>
                  <w:pPr>
                    <w:pStyle w:val="Compact"/>
                    <w:jc w:val="right"/>
                    <w:jc w:val="center"/>
                  </w:pPr>
                  <w:r>
                    <w:t xml:space="preserve">3.05</w:t>
                  </w:r>
                </w:p>
              </w:tc>
              <w:tc>
                <w:tcPr/>
                <w:p>
                  <w:pPr>
                    <w:pStyle w:val="Compact"/>
                    <w:jc w:val="right"/>
                    <w:jc w:val="center"/>
                  </w:pPr>
                  <w:r>
                    <w:t xml:space="preserve">0.63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left"/>
                    <w:jc w:val="center"/>
                  </w:pPr>
                  <w:r>
                    <w:t xml:space="preserve">Area wSL, precision-weighted (OOF)</w:t>
                  </w:r>
                </w:p>
              </w:tc>
              <w:tc>
                <w:tcPr/>
                <w:p>
                  <w:pPr>
                    <w:pStyle w:val="Compact"/>
                    <w:jc w:val="right"/>
                    <w:jc w:val="center"/>
                  </w:pPr>
                  <w:r>
                    <w:t xml:space="preserve">0.15</w:t>
                  </w:r>
                </w:p>
              </w:tc>
              <w:tc>
                <w:tcPr/>
                <w:p>
                  <w:pPr>
                    <w:pStyle w:val="Compact"/>
                    <w:jc w:val="right"/>
                    <w:jc w:val="center"/>
                  </w:pPr>
                  <w:r>
                    <w:t xml:space="preserve">24.34</w:t>
                  </w:r>
                </w:p>
              </w:tc>
              <w:tc>
                <w:tcPr/>
                <w:p>
                  <w:pPr>
                    <w:pStyle w:val="Compact"/>
                    <w:jc w:val="right"/>
                    <w:jc w:val="center"/>
                  </w:pPr>
                  <w:r>
                    <w:t xml:space="preserve">1.14</w:t>
                  </w:r>
                </w:p>
              </w:tc>
              <w:tc>
                <w:tcPr/>
                <w:p>
                  <w:pPr>
                    <w:pStyle w:val="Compact"/>
                    <w:jc w:val="right"/>
                    <w:jc w:val="center"/>
                  </w:pPr>
                  <w:r>
                    <w:t xml:space="preserve">0.63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left"/>
                    <w:jc w:val="center"/>
                  </w:pPr>
                  <w:r>
                    <w:t xml:space="preserve">Area wSL, prescreen in-fold (OOF)</w:t>
                  </w:r>
                </w:p>
              </w:tc>
              <w:tc>
                <w:tcPr/>
                <w:p>
                  <w:pPr>
                    <w:pStyle w:val="Compact"/>
                    <w:jc w:val="right"/>
                    <w:jc w:val="center"/>
                  </w:pPr>
                  <w:r>
                    <w:t xml:space="preserve">0.15</w:t>
                  </w:r>
                </w:p>
              </w:tc>
              <w:tc>
                <w:tcPr/>
                <w:p>
                  <w:pPr>
                    <w:pStyle w:val="Compact"/>
                    <w:jc w:val="right"/>
                    <w:jc w:val="center"/>
                  </w:pPr>
                  <w:r>
                    <w:t xml:space="preserve">24.69</w:t>
                  </w:r>
                </w:p>
              </w:tc>
              <w:tc>
                <w:tcPr/>
                <w:p>
                  <w:pPr>
                    <w:pStyle w:val="Compact"/>
                    <w:jc w:val="right"/>
                    <w:jc w:val="center"/>
                  </w:pPr>
                  <w:r>
                    <w:t xml:space="preserve">-0.14</w:t>
                  </w:r>
                </w:p>
              </w:tc>
              <w:tc>
                <w:tcPr/>
                <w:p>
                  <w:pPr>
                    <w:pStyle w:val="Compact"/>
                    <w:jc w:val="right"/>
                    <w:jc w:val="center"/>
                  </w:pPr>
                  <w:r>
                    <w:t xml:space="preserve">0.63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left"/>
                    <w:jc w:val="center"/>
                  </w:pPr>
                  <w:r>
                    <w:t xml:space="preserve">Area wSL, prescreen on ALL data (OPTIMISTIC)</w:t>
                  </w:r>
                </w:p>
              </w:tc>
              <w:tc>
                <w:tcPr/>
                <w:p>
                  <w:pPr>
                    <w:pStyle w:val="Compact"/>
                    <w:jc w:val="right"/>
                    <w:jc w:val="center"/>
                  </w:pPr>
                  <w:r>
                    <w:t xml:space="preserve">0.16</w:t>
                  </w:r>
                </w:p>
              </w:tc>
              <w:tc>
                <w:tcPr/>
                <w:p>
                  <w:pPr>
                    <w:pStyle w:val="Compact"/>
                    <w:jc w:val="right"/>
                    <w:jc w:val="center"/>
                  </w:pPr>
                  <w:r>
                    <w:t xml:space="preserve">24.31</w:t>
                  </w:r>
                </w:p>
              </w:tc>
              <w:tc>
                <w:tcPr/>
                <w:p>
                  <w:pPr>
                    <w:pStyle w:val="Compact"/>
                    <w:jc w:val="right"/>
                    <w:jc w:val="center"/>
                  </w:pPr>
                  <w:r>
                    <w:t xml:space="preserve">0.79</w:t>
                  </w:r>
                </w:p>
              </w:tc>
              <w:tc>
                <w:tcPr/>
                <w:p>
                  <w:pPr>
                    <w:pStyle w:val="Compact"/>
                    <w:jc w:val="right"/>
                    <w:jc w:val="center"/>
                  </w:pPr>
                  <w:r>
                    <w:t xml:space="preserve">0.63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left"/>
                    <w:jc w:val="center"/>
                  </w:pPr>
                  <w:r>
                    <w:t xml:space="preserve">Area wSL, unweighted (OOF)</w:t>
                  </w:r>
                </w:p>
              </w:tc>
              <w:tc>
                <w:tcPr/>
                <w:p>
                  <w:pPr>
                    <w:pStyle w:val="Compact"/>
                    <w:jc w:val="right"/>
                    <w:jc w:val="center"/>
                  </w:pPr>
                  <w:r>
                    <w:t xml:space="preserve">0.22</w:t>
                  </w:r>
                </w:p>
              </w:tc>
              <w:tc>
                <w:tcPr/>
                <w:p>
                  <w:pPr>
                    <w:pStyle w:val="Compact"/>
                    <w:jc w:val="right"/>
                    <w:jc w:val="center"/>
                  </w:pPr>
                  <w:r>
                    <w:t xml:space="preserve">25.52</w:t>
                  </w:r>
                </w:p>
              </w:tc>
              <w:tc>
                <w:tcPr/>
                <w:p>
                  <w:pPr>
                    <w:pStyle w:val="Compact"/>
                    <w:jc w:val="right"/>
                    <w:jc w:val="center"/>
                  </w:pPr>
                  <w:r>
                    <w:t xml:space="preserve">-1.04</w:t>
                  </w:r>
                </w:p>
              </w:tc>
              <w:tc>
                <w:tcPr/>
                <w:p>
                  <w:pPr>
                    <w:pStyle w:val="Compact"/>
                    <w:jc w:val="right"/>
                    <w:jc w:val="center"/>
                  </w:pPr>
                  <w:r>
                    <w:t xml:space="preserve">0.63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left"/>
                    <w:jc w:val="center"/>
                  </w:pPr>
                  <w:r>
                    <w:t xml:space="preserve">Individual SL</w:t>
                  </w:r>
                </w:p>
              </w:tc>
              <w:tc>
                <w:tcPr/>
                <w:p>
                  <w:pPr>
                    <w:pStyle w:val="Compact"/>
                    <w:jc w:val="right"/>
                    <w:jc w:val="center"/>
                  </w:pPr>
                  <w:r>
                    <w:t xml:space="preserve">0.49</w:t>
                  </w:r>
                </w:p>
              </w:tc>
              <w:tc>
                <w:tcPr/>
                <w:p>
                  <w:pPr>
                    <w:pStyle w:val="Compact"/>
                    <w:jc w:val="right"/>
                    <w:jc w:val="center"/>
                  </w:pPr>
                  <w:r>
                    <w:t xml:space="preserve">21.17</w:t>
                  </w:r>
                </w:p>
              </w:tc>
              <w:tc>
                <w:tcPr/>
                <w:p>
                  <w:pPr>
                    <w:pStyle w:val="Compact"/>
                    <w:jc w:val="right"/>
                    <w:jc w:val="center"/>
                  </w:pPr>
                  <w:r>
                    <w:t xml:space="preserve">-0.76</w:t>
                  </w:r>
                </w:p>
              </w:tc>
              <w:tc>
                <w:tcPr/>
                <w:p>
                  <w:pPr>
                    <w:pStyle w:val="Compact"/>
                    <w:jc w:val="right"/>
                    <w:jc w:val="center"/>
                  </w:pPr>
                  <w:r>
                    <w:t xml:space="preserve">0.63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left"/>
                    <w:jc w:val="center"/>
                  </w:pPr>
                  <w:r>
                    <w:t xml:space="preserve">MRP</w:t>
                  </w:r>
                </w:p>
              </w:tc>
              <w:tc>
                <w:tcPr/>
                <w:p>
                  <w:pPr>
                    <w:pStyle w:val="Compact"/>
                    <w:jc w:val="right"/>
                    <w:jc w:val="center"/>
                  </w:pPr>
                  <w:r>
                    <w:t xml:space="preserve">0.70</w:t>
                  </w:r>
                </w:p>
              </w:tc>
              <w:tc>
                <w:tcPr/>
                <w:p>
                  <w:pPr>
                    <w:pStyle w:val="Compact"/>
                    <w:jc w:val="right"/>
                    <w:jc w:val="center"/>
                  </w:pPr>
                  <w:r>
                    <w:t xml:space="preserve">16.83</w:t>
                  </w:r>
                </w:p>
              </w:tc>
              <w:tc>
                <w:tcPr/>
                <w:p>
                  <w:pPr>
                    <w:pStyle w:val="Compact"/>
                    <w:jc w:val="right"/>
                    <w:jc w:val="center"/>
                  </w:pPr>
                  <w:r>
                    <w:t xml:space="preserve">0.19</w:t>
                  </w:r>
                </w:p>
              </w:tc>
              <w:tc>
                <w:tcPr/>
                <w:p>
                  <w:pPr>
                    <w:pStyle w:val="Compact"/>
                    <w:jc w:val="right"/>
                    <w:jc w:val="center"/>
                  </w:pPr>
                  <w:r>
                    <w:t xml:space="preserve">0.63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24.92</w:t>
                  </w:r>
                </w:p>
              </w:tc>
              <w:tc>
                <w:tcPr/>
                <w:p>
                  <w:pPr>
                    <w:pStyle w:val="Compact"/>
                    <w:jc w:val="right"/>
                    <w:jc w:val="center"/>
                  </w:pPr>
                  <w:r>
                    <w:t xml:space="preserve">1.02</w:t>
                  </w:r>
                </w:p>
              </w:tc>
              <w:tc>
                <w:tcPr/>
                <w:p>
                  <w:pPr>
                    <w:pStyle w:val="Compact"/>
                    <w:jc w:val="right"/>
                    <w:jc w:val="center"/>
                  </w:pPr>
                  <w:r>
                    <w:t xml:space="preserve">0.63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left"/>
                    <w:jc w:val="center"/>
                  </w:pPr>
                  <w:r>
                    <w:t xml:space="preserve">Spatial only (no covariates)</w:t>
                  </w:r>
                </w:p>
              </w:tc>
              <w:tc>
                <w:tcPr/>
                <w:p>
                  <w:pPr>
                    <w:pStyle w:val="Compact"/>
                    <w:jc w:val="right"/>
                    <w:jc w:val="center"/>
                  </w:pPr>
                  <w:r>
                    <w:t xml:space="preserve">0.48</w:t>
                  </w:r>
                </w:p>
              </w:tc>
              <w:tc>
                <w:tcPr/>
                <w:p>
                  <w:pPr>
                    <w:pStyle w:val="Compact"/>
                    <w:jc w:val="right"/>
                    <w:jc w:val="center"/>
                  </w:pPr>
                  <w:r>
                    <w:t xml:space="preserve">21.73</w:t>
                  </w:r>
                </w:p>
              </w:tc>
              <w:tc>
                <w:tcPr/>
                <w:p>
                  <w:pPr>
                    <w:pStyle w:val="Compact"/>
                    <w:jc w:val="right"/>
                    <w:jc w:val="center"/>
                  </w:pPr>
                  <w:r>
                    <w:t xml:space="preserve">-0.01</w:t>
                  </w:r>
                </w:p>
              </w:tc>
              <w:tc>
                <w:tcPr/>
                <w:p>
                  <w:pPr>
                    <w:pStyle w:val="Compact"/>
                    <w:jc w:val="right"/>
                    <w:jc w:val="center"/>
                  </w:pPr>
                  <w:r>
                    <w:t xml:space="preserve">0.63</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left"/>
                    <w:jc w:val="center"/>
                  </w:pPr>
                  <w:r>
                    <w:t xml:space="preserve">Area SL (MSE)</w:t>
                  </w:r>
                </w:p>
              </w:tc>
              <w:tc>
                <w:tcPr/>
                <w:p>
                  <w:pPr>
                    <w:pStyle w:val="Compact"/>
                    <w:jc w:val="right"/>
                    <w:jc w:val="center"/>
                  </w:pPr>
                  <w:r>
                    <w:t xml:space="preserve">0.45</w:t>
                  </w:r>
                </w:p>
              </w:tc>
              <w:tc>
                <w:tcPr/>
                <w:p>
                  <w:pPr>
                    <w:pStyle w:val="Compact"/>
                    <w:jc w:val="right"/>
                    <w:jc w:val="center"/>
                  </w:pPr>
                  <w:r>
                    <w:t xml:space="preserve">8.31</w:t>
                  </w:r>
                </w:p>
              </w:tc>
              <w:tc>
                <w:tcPr/>
                <w:p>
                  <w:pPr>
                    <w:pStyle w:val="Compact"/>
                    <w:jc w:val="right"/>
                    <w:jc w:val="center"/>
                  </w:pPr>
                  <w:r>
                    <w:t xml:space="preserve">-0.31</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left"/>
                    <w:jc w:val="center"/>
                  </w:pPr>
                  <w:r>
                    <w:t xml:space="preserve">Area SL (NLL)</w:t>
                  </w:r>
                </w:p>
              </w:tc>
              <w:tc>
                <w:tcPr/>
                <w:p>
                  <w:pPr>
                    <w:pStyle w:val="Compact"/>
                    <w:jc w:val="right"/>
                    <w:jc w:val="center"/>
                  </w:pPr>
                  <w:r>
                    <w:t xml:space="preserve">0.32</w:t>
                  </w:r>
                </w:p>
              </w:tc>
              <w:tc>
                <w:tcPr/>
                <w:p>
                  <w:pPr>
                    <w:pStyle w:val="Compact"/>
                    <w:jc w:val="right"/>
                    <w:jc w:val="center"/>
                  </w:pPr>
                  <w:r>
                    <w:t xml:space="preserve">9.96</w:t>
                  </w:r>
                </w:p>
              </w:tc>
              <w:tc>
                <w:tcPr/>
                <w:p>
                  <w:pPr>
                    <w:pStyle w:val="Compact"/>
                    <w:jc w:val="right"/>
                    <w:jc w:val="center"/>
                  </w:pPr>
                  <w:r>
                    <w:t xml:space="preserve">-6.84</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left"/>
                    <w:jc w:val="center"/>
                  </w:pPr>
                  <w:r>
                    <w:t xml:space="preserve">Area wSL, literature covariates (OOF)</w:t>
                  </w:r>
                </w:p>
              </w:tc>
              <w:tc>
                <w:tcPr/>
                <w:p>
                  <w:pPr>
                    <w:pStyle w:val="Compact"/>
                    <w:jc w:val="right"/>
                    <w:jc w:val="center"/>
                  </w:pPr>
                  <w:r>
                    <w:t xml:space="preserve">0.34</w:t>
                  </w:r>
                </w:p>
              </w:tc>
              <w:tc>
                <w:tcPr/>
                <w:p>
                  <w:pPr>
                    <w:pStyle w:val="Compact"/>
                    <w:jc w:val="right"/>
                    <w:jc w:val="center"/>
                  </w:pPr>
                  <w:r>
                    <w:t xml:space="preserve">9.83</w:t>
                  </w:r>
                </w:p>
              </w:tc>
              <w:tc>
                <w:tcPr/>
                <w:p>
                  <w:pPr>
                    <w:pStyle w:val="Compact"/>
                    <w:jc w:val="right"/>
                    <w:jc w:val="center"/>
                  </w:pPr>
                  <w:r>
                    <w:t xml:space="preserve">4.39</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left"/>
                    <w:jc w:val="center"/>
                  </w:pPr>
                  <w:r>
                    <w:t xml:space="preserve">Area wSL, precision-weighted (OOF)</w:t>
                  </w:r>
                </w:p>
              </w:tc>
              <w:tc>
                <w:tcPr/>
                <w:p>
                  <w:pPr>
                    <w:pStyle w:val="Compact"/>
                    <w:jc w:val="right"/>
                    <w:jc w:val="center"/>
                  </w:pPr>
                  <w:r>
                    <w:t xml:space="preserve">0.42</w:t>
                  </w:r>
                </w:p>
              </w:tc>
              <w:tc>
                <w:tcPr/>
                <w:p>
                  <w:pPr>
                    <w:pStyle w:val="Compact"/>
                    <w:jc w:val="right"/>
                    <w:jc w:val="center"/>
                  </w:pPr>
                  <w:r>
                    <w:t xml:space="preserve">9.30</w:t>
                  </w:r>
                </w:p>
              </w:tc>
              <w:tc>
                <w:tcPr/>
                <w:p>
                  <w:pPr>
                    <w:pStyle w:val="Compact"/>
                    <w:jc w:val="right"/>
                    <w:jc w:val="center"/>
                  </w:pPr>
                  <w:r>
                    <w:t xml:space="preserve">3.72</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left"/>
                    <w:jc w:val="center"/>
                  </w:pPr>
                  <w:r>
                    <w:t xml:space="preserve">Area wSL, prescreen in-fold (OOF)</w:t>
                  </w:r>
                </w:p>
              </w:tc>
              <w:tc>
                <w:tcPr/>
                <w:p>
                  <w:pPr>
                    <w:pStyle w:val="Compact"/>
                    <w:jc w:val="right"/>
                    <w:jc w:val="center"/>
                  </w:pPr>
                  <w:r>
                    <w:t xml:space="preserve">0.24</w:t>
                  </w:r>
                </w:p>
              </w:tc>
              <w:tc>
                <w:tcPr/>
                <w:p>
                  <w:pPr>
                    <w:pStyle w:val="Compact"/>
                    <w:jc w:val="right"/>
                    <w:jc w:val="center"/>
                  </w:pPr>
                  <w:r>
                    <w:t xml:space="preserve">10.07</w:t>
                  </w:r>
                </w:p>
              </w:tc>
              <w:tc>
                <w:tcPr/>
                <w:p>
                  <w:pPr>
                    <w:pStyle w:val="Compact"/>
                    <w:jc w:val="right"/>
                    <w:jc w:val="center"/>
                  </w:pPr>
                  <w:r>
                    <w:t xml:space="preserve">3.18</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left"/>
                    <w:jc w:val="center"/>
                  </w:pPr>
                  <w:r>
                    <w:t xml:space="preserve">Area wSL, prescreen on ALL data (OPTIMISTIC)</w:t>
                  </w:r>
                </w:p>
              </w:tc>
              <w:tc>
                <w:tcPr/>
                <w:p>
                  <w:pPr>
                    <w:pStyle w:val="Compact"/>
                    <w:jc w:val="right"/>
                    <w:jc w:val="center"/>
                  </w:pPr>
                  <w:r>
                    <w:t xml:space="preserve">0.44</w:t>
                  </w:r>
                </w:p>
              </w:tc>
              <w:tc>
                <w:tcPr/>
                <w:p>
                  <w:pPr>
                    <w:pStyle w:val="Compact"/>
                    <w:jc w:val="right"/>
                    <w:jc w:val="center"/>
                  </w:pPr>
                  <w:r>
                    <w:t xml:space="preserve">9.55</w:t>
                  </w:r>
                </w:p>
              </w:tc>
              <w:tc>
                <w:tcPr/>
                <w:p>
                  <w:pPr>
                    <w:pStyle w:val="Compact"/>
                    <w:jc w:val="right"/>
                    <w:jc w:val="center"/>
                  </w:pPr>
                  <w:r>
                    <w:t xml:space="preserve">4.23</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left"/>
                    <w:jc w:val="center"/>
                  </w:pPr>
                  <w:r>
                    <w:t xml:space="preserve">Area wSL, unweighted (OOF)</w:t>
                  </w:r>
                </w:p>
              </w:tc>
              <w:tc>
                <w:tcPr/>
                <w:p>
                  <w:pPr>
                    <w:pStyle w:val="Compact"/>
                    <w:jc w:val="right"/>
                    <w:jc w:val="center"/>
                  </w:pPr>
                  <w:r>
                    <w:t xml:space="preserve">0.21</w:t>
                  </w:r>
                </w:p>
              </w:tc>
              <w:tc>
                <w:tcPr/>
                <w:p>
                  <w:pPr>
                    <w:pStyle w:val="Compact"/>
                    <w:jc w:val="right"/>
                    <w:jc w:val="center"/>
                  </w:pPr>
                  <w:r>
                    <w:t xml:space="preserve">10.16</w:t>
                  </w:r>
                </w:p>
              </w:tc>
              <w:tc>
                <w:tcPr/>
                <w:p>
                  <w:pPr>
                    <w:pStyle w:val="Compact"/>
                    <w:jc w:val="right"/>
                    <w:jc w:val="center"/>
                  </w:pPr>
                  <w:r>
                    <w:t xml:space="preserve">-6.56</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left"/>
                    <w:jc w:val="center"/>
                  </w:pPr>
                  <w:r>
                    <w:t xml:space="preserve">Individual SL</w:t>
                  </w:r>
                </w:p>
              </w:tc>
              <w:tc>
                <w:tcPr/>
                <w:p>
                  <w:pPr>
                    <w:pStyle w:val="Compact"/>
                    <w:jc w:val="right"/>
                    <w:jc w:val="center"/>
                  </w:pPr>
                  <w:r>
                    <w:t xml:space="preserve">0.52</w:t>
                  </w:r>
                </w:p>
              </w:tc>
              <w:tc>
                <w:tcPr/>
                <w:p>
                  <w:pPr>
                    <w:pStyle w:val="Compact"/>
                    <w:jc w:val="right"/>
                    <w:jc w:val="center"/>
                  </w:pPr>
                  <w:r>
                    <w:t xml:space="preserve">8.63</w:t>
                  </w:r>
                </w:p>
              </w:tc>
              <w:tc>
                <w:tcPr/>
                <w:p>
                  <w:pPr>
                    <w:pStyle w:val="Compact"/>
                    <w:jc w:val="right"/>
                    <w:jc w:val="center"/>
                  </w:pPr>
                  <w:r>
                    <w:t xml:space="preserve">-3.93</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left"/>
                    <w:jc w:val="center"/>
                  </w:pPr>
                  <w:r>
                    <w:t xml:space="preserve">MRP</w:t>
                  </w:r>
                </w:p>
              </w:tc>
              <w:tc>
                <w:tcPr/>
                <w:p>
                  <w:pPr>
                    <w:pStyle w:val="Compact"/>
                    <w:jc w:val="right"/>
                    <w:jc w:val="center"/>
                  </w:pPr>
                  <w:r>
                    <w:t xml:space="preserve">0.62</w:t>
                  </w:r>
                </w:p>
              </w:tc>
              <w:tc>
                <w:tcPr/>
                <w:p>
                  <w:pPr>
                    <w:pStyle w:val="Compact"/>
                    <w:jc w:val="right"/>
                    <w:jc w:val="center"/>
                  </w:pPr>
                  <w:r>
                    <w:t xml:space="preserve">7.00</w:t>
                  </w:r>
                </w:p>
              </w:tc>
              <w:tc>
                <w:tcPr/>
                <w:p>
                  <w:pPr>
                    <w:pStyle w:val="Compact"/>
                    <w:jc w:val="right"/>
                    <w:jc w:val="center"/>
                  </w:pPr>
                  <w:r>
                    <w:t xml:space="preserve">0.07</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9.51</w:t>
                  </w:r>
                </w:p>
              </w:tc>
              <w:tc>
                <w:tcPr/>
                <w:p>
                  <w:pPr>
                    <w:pStyle w:val="Compact"/>
                    <w:jc w:val="right"/>
                    <w:jc w:val="center"/>
                  </w:pPr>
                  <w:r>
                    <w:t xml:space="preserve">0.56</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left"/>
                    <w:jc w:val="center"/>
                  </w:pPr>
                  <w:r>
                    <w:t xml:space="preserve">Spatial only (no covariates)</w:t>
                  </w:r>
                </w:p>
              </w:tc>
              <w:tc>
                <w:tcPr/>
                <w:p>
                  <w:pPr>
                    <w:pStyle w:val="Compact"/>
                    <w:jc w:val="right"/>
                    <w:jc w:val="center"/>
                  </w:pPr>
                  <w:r>
                    <w:t xml:space="preserve">0.55</w:t>
                  </w:r>
                </w:p>
              </w:tc>
              <w:tc>
                <w:tcPr/>
                <w:p>
                  <w:pPr>
                    <w:pStyle w:val="Compact"/>
                    <w:jc w:val="right"/>
                    <w:jc w:val="center"/>
                  </w:pPr>
                  <w:r>
                    <w:t xml:space="preserve">8.07</w:t>
                  </w:r>
                </w:p>
              </w:tc>
              <w:tc>
                <w:tcPr/>
                <w:p>
                  <w:pPr>
                    <w:pStyle w:val="Compact"/>
                    <w:jc w:val="right"/>
                    <w:jc w:val="center"/>
                  </w:pPr>
                  <w:r>
                    <w:t xml:space="preserve">-3.74</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left"/>
                    <w:jc w:val="center"/>
                  </w:pPr>
                  <w:r>
                    <w:t xml:space="preserve">Area SL (MSE)</w:t>
                  </w:r>
                </w:p>
              </w:tc>
              <w:tc>
                <w:tcPr/>
                <w:p>
                  <w:pPr>
                    <w:pStyle w:val="Compact"/>
                    <w:jc w:val="right"/>
                    <w:jc w:val="center"/>
                  </w:pPr>
                  <w:r>
                    <w:t xml:space="preserve">NA</w:t>
                  </w:r>
                </w:p>
              </w:tc>
              <w:tc>
                <w:tcPr/>
                <w:p>
                  <w:pPr>
                    <w:pStyle w:val="Compact"/>
                    <w:jc w:val="right"/>
                    <w:jc w:val="center"/>
                  </w:pPr>
                  <w:r>
                    <w:t xml:space="preserve">2.92</w:t>
                  </w:r>
                </w:p>
              </w:tc>
              <w:tc>
                <w:tcPr/>
                <w:p>
                  <w:pPr>
                    <w:pStyle w:val="Compact"/>
                    <w:jc w:val="right"/>
                    <w:jc w:val="center"/>
                  </w:pPr>
                  <w:r>
                    <w:t xml:space="preserve">0.14</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left"/>
                    <w:jc w:val="center"/>
                  </w:pPr>
                  <w:r>
                    <w:t xml:space="preserve">Area SL (NLL)</w:t>
                  </w:r>
                </w:p>
              </w:tc>
              <w:tc>
                <w:tcPr/>
                <w:p>
                  <w:pPr>
                    <w:pStyle w:val="Compact"/>
                    <w:jc w:val="right"/>
                    <w:jc w:val="center"/>
                  </w:pPr>
                  <w:r>
                    <w:t xml:space="preserve">NA</w:t>
                  </w:r>
                </w:p>
              </w:tc>
              <w:tc>
                <w:tcPr/>
                <w:p>
                  <w:pPr>
                    <w:pStyle w:val="Compact"/>
                    <w:jc w:val="right"/>
                    <w:jc w:val="center"/>
                  </w:pPr>
                  <w:r>
                    <w:t xml:space="preserve">1.85</w:t>
                  </w:r>
                </w:p>
              </w:tc>
              <w:tc>
                <w:tcPr/>
                <w:p>
                  <w:pPr>
                    <w:pStyle w:val="Compact"/>
                    <w:jc w:val="right"/>
                    <w:jc w:val="center"/>
                  </w:pPr>
                  <w:r>
                    <w:t xml:space="preserve">-1.33</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left"/>
                    <w:jc w:val="center"/>
                  </w:pPr>
                  <w:r>
                    <w:t xml:space="preserve">Area wSL, literature covariates (OOF)</w:t>
                  </w:r>
                </w:p>
              </w:tc>
              <w:tc>
                <w:tcPr/>
                <w:p>
                  <w:pPr>
                    <w:pStyle w:val="Compact"/>
                    <w:jc w:val="right"/>
                    <w:jc w:val="center"/>
                  </w:pPr>
                  <w:r>
                    <w:t xml:space="preserve">NA</w:t>
                  </w:r>
                </w:p>
              </w:tc>
              <w:tc>
                <w:tcPr/>
                <w:p>
                  <w:pPr>
                    <w:pStyle w:val="Compact"/>
                    <w:jc w:val="right"/>
                    <w:jc w:val="center"/>
                  </w:pPr>
                  <w:r>
                    <w:t xml:space="preserve">7.57</w:t>
                  </w:r>
                </w:p>
              </w:tc>
              <w:tc>
                <w:tcPr/>
                <w:p>
                  <w:pPr>
                    <w:pStyle w:val="Compact"/>
                    <w:jc w:val="right"/>
                    <w:jc w:val="center"/>
                  </w:pPr>
                  <w:r>
                    <w:t xml:space="preserve">6.45</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left"/>
                    <w:jc w:val="center"/>
                  </w:pPr>
                  <w:r>
                    <w:t xml:space="preserve">Area wSL, precision-weighted (OOF)</w:t>
                  </w:r>
                </w:p>
              </w:tc>
              <w:tc>
                <w:tcPr/>
                <w:p>
                  <w:pPr>
                    <w:pStyle w:val="Compact"/>
                    <w:jc w:val="right"/>
                    <w:jc w:val="center"/>
                  </w:pPr>
                  <w:r>
                    <w:t xml:space="preserve">NA</w:t>
                  </w:r>
                </w:p>
              </w:tc>
              <w:tc>
                <w:tcPr/>
                <w:p>
                  <w:pPr>
                    <w:pStyle w:val="Compact"/>
                    <w:jc w:val="right"/>
                    <w:jc w:val="center"/>
                  </w:pPr>
                  <w:r>
                    <w:t xml:space="preserve">7.66</w:t>
                  </w:r>
                </w:p>
              </w:tc>
              <w:tc>
                <w:tcPr/>
                <w:p>
                  <w:pPr>
                    <w:pStyle w:val="Compact"/>
                    <w:jc w:val="right"/>
                    <w:jc w:val="center"/>
                  </w:pPr>
                  <w:r>
                    <w:t xml:space="preserve">6.73</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left"/>
                    <w:jc w:val="center"/>
                  </w:pPr>
                  <w:r>
                    <w:t xml:space="preserve">Area wSL, prescreen in-fold (OOF)</w:t>
                  </w:r>
                </w:p>
              </w:tc>
              <w:tc>
                <w:tcPr/>
                <w:p>
                  <w:pPr>
                    <w:pStyle w:val="Compact"/>
                    <w:jc w:val="right"/>
                    <w:jc w:val="center"/>
                  </w:pPr>
                  <w:r>
                    <w:t xml:space="preserve">NA</w:t>
                  </w:r>
                </w:p>
              </w:tc>
              <w:tc>
                <w:tcPr/>
                <w:p>
                  <w:pPr>
                    <w:pStyle w:val="Compact"/>
                    <w:jc w:val="right"/>
                    <w:jc w:val="center"/>
                  </w:pPr>
                  <w:r>
                    <w:t xml:space="preserve">5.53</w:t>
                  </w:r>
                </w:p>
              </w:tc>
              <w:tc>
                <w:tcPr/>
                <w:p>
                  <w:pPr>
                    <w:pStyle w:val="Compact"/>
                    <w:jc w:val="right"/>
                    <w:jc w:val="center"/>
                  </w:pPr>
                  <w:r>
                    <w:t xml:space="preserve">4.19</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left"/>
                    <w:jc w:val="center"/>
                  </w:pPr>
                  <w:r>
                    <w:t xml:space="preserve">Area wSL, prescreen on ALL data (OPTIMISTIC)</w:t>
                  </w:r>
                </w:p>
              </w:tc>
              <w:tc>
                <w:tcPr/>
                <w:p>
                  <w:pPr>
                    <w:pStyle w:val="Compact"/>
                    <w:jc w:val="right"/>
                    <w:jc w:val="center"/>
                  </w:pPr>
                  <w:r>
                    <w:t xml:space="preserve">NA</w:t>
                  </w:r>
                </w:p>
              </w:tc>
              <w:tc>
                <w:tcPr/>
                <w:p>
                  <w:pPr>
                    <w:pStyle w:val="Compact"/>
                    <w:jc w:val="right"/>
                    <w:jc w:val="center"/>
                  </w:pPr>
                  <w:r>
                    <w:t xml:space="preserve">5.27</w:t>
                  </w:r>
                </w:p>
              </w:tc>
              <w:tc>
                <w:tcPr/>
                <w:p>
                  <w:pPr>
                    <w:pStyle w:val="Compact"/>
                    <w:jc w:val="right"/>
                    <w:jc w:val="center"/>
                  </w:pPr>
                  <w:r>
                    <w:t xml:space="preserve">3.96</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left"/>
                    <w:jc w:val="center"/>
                  </w:pPr>
                  <w:r>
                    <w:t xml:space="preserve">Area wSL, unweighted (OOF)</w:t>
                  </w:r>
                </w:p>
              </w:tc>
              <w:tc>
                <w:tcPr/>
                <w:p>
                  <w:pPr>
                    <w:pStyle w:val="Compact"/>
                    <w:jc w:val="right"/>
                    <w:jc w:val="center"/>
                  </w:pPr>
                  <w:r>
                    <w:t xml:space="preserve">NA</w:t>
                  </w:r>
                </w:p>
              </w:tc>
              <w:tc>
                <w:tcPr/>
                <w:p>
                  <w:pPr>
                    <w:pStyle w:val="Compact"/>
                    <w:jc w:val="right"/>
                    <w:jc w:val="center"/>
                  </w:pPr>
                  <w:r>
                    <w:t xml:space="preserve">2.17</w:t>
                  </w:r>
                </w:p>
              </w:tc>
              <w:tc>
                <w:tcPr/>
                <w:p>
                  <w:pPr>
                    <w:pStyle w:val="Compact"/>
                    <w:jc w:val="right"/>
                    <w:jc w:val="center"/>
                  </w:pPr>
                  <w:r>
                    <w:t xml:space="preserve">-0.81</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left"/>
                    <w:jc w:val="center"/>
                  </w:pPr>
                  <w:r>
                    <w:t xml:space="preserve">Individual SL</w:t>
                  </w:r>
                </w:p>
              </w:tc>
              <w:tc>
                <w:tcPr/>
                <w:p>
                  <w:pPr>
                    <w:pStyle w:val="Compact"/>
                    <w:jc w:val="right"/>
                    <w:jc w:val="center"/>
                  </w:pPr>
                  <w:r>
                    <w:t xml:space="preserve">NA</w:t>
                  </w:r>
                </w:p>
              </w:tc>
              <w:tc>
                <w:tcPr/>
                <w:p>
                  <w:pPr>
                    <w:pStyle w:val="Compact"/>
                    <w:jc w:val="right"/>
                    <w:jc w:val="center"/>
                  </w:pPr>
                  <w:r>
                    <w:t xml:space="preserve">2.92</w:t>
                  </w:r>
                </w:p>
              </w:tc>
              <w:tc>
                <w:tcPr/>
                <w:p>
                  <w:pPr>
                    <w:pStyle w:val="Compact"/>
                    <w:jc w:val="right"/>
                    <w:jc w:val="center"/>
                  </w:pPr>
                  <w:r>
                    <w:t xml:space="preserve">0.28</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left"/>
                    <w:jc w:val="center"/>
                  </w:pPr>
                  <w:r>
                    <w:t xml:space="preserve">MRP</w:t>
                  </w:r>
                </w:p>
              </w:tc>
              <w:tc>
                <w:tcPr/>
                <w:p>
                  <w:pPr>
                    <w:pStyle w:val="Compact"/>
                    <w:jc w:val="right"/>
                    <w:jc w:val="center"/>
                  </w:pPr>
                  <w:r>
                    <w:t xml:space="preserve">NA</w:t>
                  </w:r>
                </w:p>
              </w:tc>
              <w:tc>
                <w:tcPr/>
                <w:p>
                  <w:pPr>
                    <w:pStyle w:val="Compact"/>
                    <w:jc w:val="right"/>
                    <w:jc w:val="center"/>
                  </w:pPr>
                  <w:r>
                    <w:t xml:space="preserve">2.12</w:t>
                  </w:r>
                </w:p>
              </w:tc>
              <w:tc>
                <w:tcPr/>
                <w:p>
                  <w:pPr>
                    <w:pStyle w:val="Compact"/>
                    <w:jc w:val="right"/>
                    <w:jc w:val="center"/>
                  </w:pPr>
                  <w:r>
                    <w:t xml:space="preserve">0.04</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2.64</w:t>
                  </w:r>
                </w:p>
              </w:tc>
              <w:tc>
                <w:tcPr/>
                <w:p>
                  <w:pPr>
                    <w:pStyle w:val="Compact"/>
                    <w:jc w:val="right"/>
                    <w:jc w:val="center"/>
                  </w:pPr>
                  <w:r>
                    <w:t xml:space="preserve">-0.10</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left"/>
                    <w:jc w:val="center"/>
                  </w:pPr>
                  <w:r>
                    <w:t xml:space="preserve">Spatial only (no covariates)</w:t>
                  </w:r>
                </w:p>
              </w:tc>
              <w:tc>
                <w:tcPr/>
                <w:p>
                  <w:pPr>
                    <w:pStyle w:val="Compact"/>
                    <w:jc w:val="right"/>
                    <w:jc w:val="center"/>
                  </w:pPr>
                  <w:r>
                    <w:t xml:space="preserve">NA</w:t>
                  </w:r>
                </w:p>
              </w:tc>
              <w:tc>
                <w:tcPr/>
                <w:p>
                  <w:pPr>
                    <w:pStyle w:val="Compact"/>
                    <w:jc w:val="right"/>
                    <w:jc w:val="center"/>
                  </w:pPr>
                  <w:r>
                    <w:t xml:space="preserve">2.21</w:t>
                  </w:r>
                </w:p>
              </w:tc>
              <w:tc>
                <w:tcPr/>
                <w:p>
                  <w:pPr>
                    <w:pStyle w:val="Compact"/>
                    <w:jc w:val="right"/>
                    <w:jc w:val="center"/>
                  </w:pPr>
                  <w:r>
                    <w:t xml:space="preserve">-0.74</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left"/>
                    <w:jc w:val="center"/>
                  </w:pPr>
                  <w:r>
                    <w:t xml:space="preserve">Area SL (MSE)</w:t>
                  </w:r>
                </w:p>
              </w:tc>
              <w:tc>
                <w:tcPr/>
                <w:p>
                  <w:pPr>
                    <w:pStyle w:val="Compact"/>
                    <w:jc w:val="right"/>
                    <w:jc w:val="center"/>
                  </w:pPr>
                  <w:r>
                    <w:t xml:space="preserve">0.37</w:t>
                  </w:r>
                </w:p>
              </w:tc>
              <w:tc>
                <w:tcPr/>
                <w:p>
                  <w:pPr>
                    <w:pStyle w:val="Compact"/>
                    <w:jc w:val="right"/>
                    <w:jc w:val="center"/>
                  </w:pPr>
                  <w:r>
                    <w:t xml:space="preserve">10.46</w:t>
                  </w:r>
                </w:p>
              </w:tc>
              <w:tc>
                <w:tcPr/>
                <w:p>
                  <w:pPr>
                    <w:pStyle w:val="Compact"/>
                    <w:jc w:val="right"/>
                    <w:jc w:val="center"/>
                  </w:pPr>
                  <w:r>
                    <w:t xml:space="preserve">-0.41</w:t>
                  </w:r>
                </w:p>
              </w:tc>
              <w:tc>
                <w:tcPr/>
                <w:p>
                  <w:pPr>
                    <w:pStyle w:val="Compact"/>
                    <w:jc w:val="right"/>
                    <w:jc w:val="center"/>
                  </w:pPr>
                  <w:r>
                    <w:t xml:space="preserve">0.10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left"/>
                    <w:jc w:val="center"/>
                  </w:pPr>
                  <w:r>
                    <w:t xml:space="preserve">Area SL (NLL)</w:t>
                  </w:r>
                </w:p>
              </w:tc>
              <w:tc>
                <w:tcPr/>
                <w:p>
                  <w:pPr>
                    <w:pStyle w:val="Compact"/>
                    <w:jc w:val="right"/>
                    <w:jc w:val="center"/>
                  </w:pPr>
                  <w:r>
                    <w:t xml:space="preserve">0.38</w:t>
                  </w:r>
                </w:p>
              </w:tc>
              <w:tc>
                <w:tcPr/>
                <w:p>
                  <w:pPr>
                    <w:pStyle w:val="Compact"/>
                    <w:jc w:val="right"/>
                    <w:jc w:val="center"/>
                  </w:pPr>
                  <w:r>
                    <w:t xml:space="preserve">11.95</w:t>
                  </w:r>
                </w:p>
              </w:tc>
              <w:tc>
                <w:tcPr/>
                <w:p>
                  <w:pPr>
                    <w:pStyle w:val="Compact"/>
                    <w:jc w:val="right"/>
                    <w:jc w:val="center"/>
                  </w:pPr>
                  <w:r>
                    <w:t xml:space="preserve">-7.00</w:t>
                  </w:r>
                </w:p>
              </w:tc>
              <w:tc>
                <w:tcPr/>
                <w:p>
                  <w:pPr>
                    <w:pStyle w:val="Compact"/>
                    <w:jc w:val="right"/>
                    <w:jc w:val="center"/>
                  </w:pPr>
                  <w:r>
                    <w:t xml:space="preserve">0.10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left"/>
                    <w:jc w:val="center"/>
                  </w:pPr>
                  <w:r>
                    <w:t xml:space="preserve">Area wSL, literature covariates (OOF)</w:t>
                  </w:r>
                </w:p>
              </w:tc>
              <w:tc>
                <w:tcPr/>
                <w:p>
                  <w:pPr>
                    <w:pStyle w:val="Compact"/>
                    <w:jc w:val="right"/>
                    <w:jc w:val="center"/>
                  </w:pPr>
                  <w:r>
                    <w:t xml:space="preserve">0.13</w:t>
                  </w:r>
                </w:p>
              </w:tc>
              <w:tc>
                <w:tcPr/>
                <w:p>
                  <w:pPr>
                    <w:pStyle w:val="Compact"/>
                    <w:jc w:val="right"/>
                    <w:jc w:val="center"/>
                  </w:pPr>
                  <w:r>
                    <w:t xml:space="preserve">12.62</w:t>
                  </w:r>
                </w:p>
              </w:tc>
              <w:tc>
                <w:tcPr/>
                <w:p>
                  <w:pPr>
                    <w:pStyle w:val="Compact"/>
                    <w:jc w:val="right"/>
                    <w:jc w:val="center"/>
                  </w:pPr>
                  <w:r>
                    <w:t xml:space="preserve">2.53</w:t>
                  </w:r>
                </w:p>
              </w:tc>
              <w:tc>
                <w:tcPr/>
                <w:p>
                  <w:pPr>
                    <w:pStyle w:val="Compact"/>
                    <w:jc w:val="right"/>
                    <w:jc w:val="center"/>
                  </w:pPr>
                  <w:r>
                    <w:t xml:space="preserve">0.10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left"/>
                    <w:jc w:val="center"/>
                  </w:pPr>
                  <w:r>
                    <w:t xml:space="preserve">Area wSL, precision-weighted (OOF)</w:t>
                  </w:r>
                </w:p>
              </w:tc>
              <w:tc>
                <w:tcPr/>
                <w:p>
                  <w:pPr>
                    <w:pStyle w:val="Compact"/>
                    <w:jc w:val="right"/>
                    <w:jc w:val="center"/>
                  </w:pPr>
                  <w:r>
                    <w:t xml:space="preserve">0.11</w:t>
                  </w:r>
                </w:p>
              </w:tc>
              <w:tc>
                <w:tcPr/>
                <w:p>
                  <w:pPr>
                    <w:pStyle w:val="Compact"/>
                    <w:jc w:val="right"/>
                    <w:jc w:val="center"/>
                  </w:pPr>
                  <w:r>
                    <w:t xml:space="preserve">12.11</w:t>
                  </w:r>
                </w:p>
              </w:tc>
              <w:tc>
                <w:tcPr/>
                <w:p>
                  <w:pPr>
                    <w:pStyle w:val="Compact"/>
                    <w:jc w:val="right"/>
                    <w:jc w:val="center"/>
                  </w:pPr>
                  <w:r>
                    <w:t xml:space="preserve">2.15</w:t>
                  </w:r>
                </w:p>
              </w:tc>
              <w:tc>
                <w:tcPr/>
                <w:p>
                  <w:pPr>
                    <w:pStyle w:val="Compact"/>
                    <w:jc w:val="right"/>
                    <w:jc w:val="center"/>
                  </w:pPr>
                  <w:r>
                    <w:t xml:space="preserve">0.10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left"/>
                    <w:jc w:val="center"/>
                  </w:pPr>
                  <w:r>
                    <w:t xml:space="preserve">Area wSL, prescreen in-fold (OOF)</w:t>
                  </w:r>
                </w:p>
              </w:tc>
              <w:tc>
                <w:tcPr/>
                <w:p>
                  <w:pPr>
                    <w:pStyle w:val="Compact"/>
                    <w:jc w:val="right"/>
                    <w:jc w:val="center"/>
                  </w:pPr>
                  <w:r>
                    <w:t xml:space="preserve">0.38</w:t>
                  </w:r>
                </w:p>
              </w:tc>
              <w:tc>
                <w:tcPr/>
                <w:p>
                  <w:pPr>
                    <w:pStyle w:val="Compact"/>
                    <w:jc w:val="right"/>
                    <w:jc w:val="center"/>
                  </w:pPr>
                  <w:r>
                    <w:t xml:space="preserve">11.18</w:t>
                  </w:r>
                </w:p>
              </w:tc>
              <w:tc>
                <w:tcPr/>
                <w:p>
                  <w:pPr>
                    <w:pStyle w:val="Compact"/>
                    <w:jc w:val="right"/>
                    <w:jc w:val="center"/>
                  </w:pPr>
                  <w:r>
                    <w:t xml:space="preserve">3.18</w:t>
                  </w:r>
                </w:p>
              </w:tc>
              <w:tc>
                <w:tcPr/>
                <w:p>
                  <w:pPr>
                    <w:pStyle w:val="Compact"/>
                    <w:jc w:val="right"/>
                    <w:jc w:val="center"/>
                  </w:pPr>
                  <w:r>
                    <w:t xml:space="preserve">0.10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left"/>
                    <w:jc w:val="center"/>
                  </w:pPr>
                  <w:r>
                    <w:t xml:space="preserve">Area wSL, prescreen on ALL data (OPTIMISTIC)</w:t>
                  </w:r>
                </w:p>
              </w:tc>
              <w:tc>
                <w:tcPr/>
                <w:p>
                  <w:pPr>
                    <w:pStyle w:val="Compact"/>
                    <w:jc w:val="right"/>
                    <w:jc w:val="center"/>
                  </w:pPr>
                  <w:r>
                    <w:t xml:space="preserve">0.41</w:t>
                  </w:r>
                </w:p>
              </w:tc>
              <w:tc>
                <w:tcPr/>
                <w:p>
                  <w:pPr>
                    <w:pStyle w:val="Compact"/>
                    <w:jc w:val="right"/>
                    <w:jc w:val="center"/>
                  </w:pPr>
                  <w:r>
                    <w:t xml:space="preserve">10.95</w:t>
                  </w:r>
                </w:p>
              </w:tc>
              <w:tc>
                <w:tcPr/>
                <w:p>
                  <w:pPr>
                    <w:pStyle w:val="Compact"/>
                    <w:jc w:val="right"/>
                    <w:jc w:val="center"/>
                  </w:pPr>
                  <w:r>
                    <w:t xml:space="preserve">3.20</w:t>
                  </w:r>
                </w:p>
              </w:tc>
              <w:tc>
                <w:tcPr/>
                <w:p>
                  <w:pPr>
                    <w:pStyle w:val="Compact"/>
                    <w:jc w:val="right"/>
                    <w:jc w:val="center"/>
                  </w:pPr>
                  <w:r>
                    <w:t xml:space="preserve">0.10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left"/>
                    <w:jc w:val="center"/>
                  </w:pPr>
                  <w:r>
                    <w:t xml:space="preserve">Area wSL, unweighted (OOF)</w:t>
                  </w:r>
                </w:p>
              </w:tc>
              <w:tc>
                <w:tcPr/>
                <w:p>
                  <w:pPr>
                    <w:pStyle w:val="Compact"/>
                    <w:jc w:val="right"/>
                    <w:jc w:val="center"/>
                  </w:pPr>
                  <w:r>
                    <w:t xml:space="preserve">0.16</w:t>
                  </w:r>
                </w:p>
              </w:tc>
              <w:tc>
                <w:tcPr/>
                <w:p>
                  <w:pPr>
                    <w:pStyle w:val="Compact"/>
                    <w:jc w:val="right"/>
                    <w:jc w:val="center"/>
                  </w:pPr>
                  <w:r>
                    <w:t xml:space="preserve">11.82</w:t>
                  </w:r>
                </w:p>
              </w:tc>
              <w:tc>
                <w:tcPr/>
                <w:p>
                  <w:pPr>
                    <w:pStyle w:val="Compact"/>
                    <w:jc w:val="right"/>
                    <w:jc w:val="center"/>
                  </w:pPr>
                  <w:r>
                    <w:t xml:space="preserve">-5.20</w:t>
                  </w:r>
                </w:p>
              </w:tc>
              <w:tc>
                <w:tcPr/>
                <w:p>
                  <w:pPr>
                    <w:pStyle w:val="Compact"/>
                    <w:jc w:val="right"/>
                    <w:jc w:val="center"/>
                  </w:pPr>
                  <w:r>
                    <w:t xml:space="preserve">0.10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left"/>
                    <w:jc w:val="center"/>
                  </w:pPr>
                  <w:r>
                    <w:t xml:space="preserve">Individual SL</w:t>
                  </w:r>
                </w:p>
              </w:tc>
              <w:tc>
                <w:tcPr/>
                <w:p>
                  <w:pPr>
                    <w:pStyle w:val="Compact"/>
                    <w:jc w:val="right"/>
                    <w:jc w:val="center"/>
                  </w:pPr>
                  <w:r>
                    <w:t xml:space="preserve">0.43</w:t>
                  </w:r>
                </w:p>
              </w:tc>
              <w:tc>
                <w:tcPr/>
                <w:p>
                  <w:pPr>
                    <w:pStyle w:val="Compact"/>
                    <w:jc w:val="right"/>
                    <w:jc w:val="center"/>
                  </w:pPr>
                  <w:r>
                    <w:t xml:space="preserve">12.20</w:t>
                  </w:r>
                </w:p>
              </w:tc>
              <w:tc>
                <w:tcPr/>
                <w:p>
                  <w:pPr>
                    <w:pStyle w:val="Compact"/>
                    <w:jc w:val="right"/>
                    <w:jc w:val="center"/>
                  </w:pPr>
                  <w:r>
                    <w:t xml:space="preserve">-9.11</w:t>
                  </w:r>
                </w:p>
              </w:tc>
              <w:tc>
                <w:tcPr/>
                <w:p>
                  <w:pPr>
                    <w:pStyle w:val="Compact"/>
                    <w:jc w:val="right"/>
                    <w:jc w:val="center"/>
                  </w:pPr>
                  <w:r>
                    <w:t xml:space="preserve">0.10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11.58</w:t>
                  </w:r>
                </w:p>
              </w:tc>
              <w:tc>
                <w:tcPr/>
                <w:p>
                  <w:pPr>
                    <w:pStyle w:val="Compact"/>
                    <w:jc w:val="right"/>
                    <w:jc w:val="center"/>
                  </w:pPr>
                  <w:r>
                    <w:t xml:space="preserve">0.13</w:t>
                  </w:r>
                </w:p>
              </w:tc>
              <w:tc>
                <w:tcPr/>
                <w:p>
                  <w:pPr>
                    <w:pStyle w:val="Compact"/>
                    <w:jc w:val="right"/>
                    <w:jc w:val="center"/>
                  </w:pPr>
                  <w:r>
                    <w:t xml:space="preserve">0.10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left"/>
                    <w:jc w:val="center"/>
                  </w:pPr>
                  <w:r>
                    <w:t xml:space="preserve">Spatial only (no covariates)</w:t>
                  </w:r>
                </w:p>
              </w:tc>
              <w:tc>
                <w:tcPr/>
                <w:p>
                  <w:pPr>
                    <w:pStyle w:val="Compact"/>
                    <w:jc w:val="right"/>
                    <w:jc w:val="center"/>
                  </w:pPr>
                  <w:r>
                    <w:t xml:space="preserve">0.11</w:t>
                  </w:r>
                </w:p>
              </w:tc>
              <w:tc>
                <w:tcPr/>
                <w:p>
                  <w:pPr>
                    <w:pStyle w:val="Compact"/>
                    <w:jc w:val="right"/>
                    <w:jc w:val="center"/>
                  </w:pPr>
                  <w:r>
                    <w:t xml:space="preserve">11.61</w:t>
                  </w:r>
                </w:p>
              </w:tc>
              <w:tc>
                <w:tcPr/>
                <w:p>
                  <w:pPr>
                    <w:pStyle w:val="Compact"/>
                    <w:jc w:val="right"/>
                    <w:jc w:val="center"/>
                  </w:pPr>
                  <w:r>
                    <w:t xml:space="preserve">-4.16</w:t>
                  </w:r>
                </w:p>
              </w:tc>
              <w:tc>
                <w:tcPr/>
                <w:p>
                  <w:pPr>
                    <w:pStyle w:val="Compact"/>
                    <w:jc w:val="right"/>
                    <w:jc w:val="center"/>
                  </w:pPr>
                  <w:r>
                    <w:t xml:space="preserve">0.10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left"/>
                    <w:jc w:val="center"/>
                  </w:pPr>
                  <w:r>
                    <w:t xml:space="preserve">Area SL (MSE)</w:t>
                  </w:r>
                </w:p>
              </w:tc>
              <w:tc>
                <w:tcPr/>
                <w:p>
                  <w:pPr>
                    <w:pStyle w:val="Compact"/>
                    <w:jc w:val="right"/>
                    <w:jc w:val="center"/>
                  </w:pPr>
                  <w:r>
                    <w:t xml:space="preserve">0.12</w:t>
                  </w:r>
                </w:p>
              </w:tc>
              <w:tc>
                <w:tcPr/>
                <w:p>
                  <w:pPr>
                    <w:pStyle w:val="Compact"/>
                    <w:jc w:val="right"/>
                    <w:jc w:val="center"/>
                  </w:pPr>
                  <w:r>
                    <w:t xml:space="preserve">8.24</w:t>
                  </w:r>
                </w:p>
              </w:tc>
              <w:tc>
                <w:tcPr/>
                <w:p>
                  <w:pPr>
                    <w:pStyle w:val="Compact"/>
                    <w:jc w:val="right"/>
                    <w:jc w:val="center"/>
                  </w:pPr>
                  <w:r>
                    <w:t xml:space="preserve">0.45</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left"/>
                    <w:jc w:val="center"/>
                  </w:pPr>
                  <w:r>
                    <w:t xml:space="preserve">Area SL (NLL)</w:t>
                  </w:r>
                </w:p>
              </w:tc>
              <w:tc>
                <w:tcPr/>
                <w:p>
                  <w:pPr>
                    <w:pStyle w:val="Compact"/>
                    <w:jc w:val="right"/>
                    <w:jc w:val="center"/>
                  </w:pPr>
                  <w:r>
                    <w:t xml:space="preserve">0.18</w:t>
                  </w:r>
                </w:p>
              </w:tc>
              <w:tc>
                <w:tcPr/>
                <w:p>
                  <w:pPr>
                    <w:pStyle w:val="Compact"/>
                    <w:jc w:val="right"/>
                    <w:jc w:val="center"/>
                  </w:pPr>
                  <w:r>
                    <w:t xml:space="preserve">8.17</w:t>
                  </w:r>
                </w:p>
              </w:tc>
              <w:tc>
                <w:tcPr/>
                <w:p>
                  <w:pPr>
                    <w:pStyle w:val="Compact"/>
                    <w:jc w:val="right"/>
                    <w:jc w:val="center"/>
                  </w:pPr>
                  <w:r>
                    <w:t xml:space="preserve">-6.17</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left"/>
                    <w:jc w:val="center"/>
                  </w:pPr>
                  <w:r>
                    <w:t xml:space="preserve">Area wSL, literature covariates (OOF)</w:t>
                  </w:r>
                </w:p>
              </w:tc>
              <w:tc>
                <w:tcPr/>
                <w:p>
                  <w:pPr>
                    <w:pStyle w:val="Compact"/>
                    <w:jc w:val="right"/>
                    <w:jc w:val="center"/>
                  </w:pPr>
                  <w:r>
                    <w:t xml:space="preserve">0.01</w:t>
                  </w:r>
                </w:p>
              </w:tc>
              <w:tc>
                <w:tcPr/>
                <w:p>
                  <w:pPr>
                    <w:pStyle w:val="Compact"/>
                    <w:jc w:val="right"/>
                    <w:jc w:val="center"/>
                  </w:pPr>
                  <w:r>
                    <w:t xml:space="preserve">10.78</w:t>
                  </w:r>
                </w:p>
              </w:tc>
              <w:tc>
                <w:tcPr/>
                <w:p>
                  <w:pPr>
                    <w:pStyle w:val="Compact"/>
                    <w:jc w:val="right"/>
                    <w:jc w:val="center"/>
                  </w:pPr>
                  <w:r>
                    <w:t xml:space="preserve">6.23</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left"/>
                    <w:jc w:val="center"/>
                  </w:pPr>
                  <w:r>
                    <w:t xml:space="preserve">Area wSL, precision-weighted (OOF)</w:t>
                  </w:r>
                </w:p>
              </w:tc>
              <w:tc>
                <w:tcPr/>
                <w:p>
                  <w:pPr>
                    <w:pStyle w:val="Compact"/>
                    <w:jc w:val="right"/>
                    <w:jc w:val="center"/>
                  </w:pPr>
                  <w:r>
                    <w:t xml:space="preserve">0.08</w:t>
                  </w:r>
                </w:p>
              </w:tc>
              <w:tc>
                <w:tcPr/>
                <w:p>
                  <w:pPr>
                    <w:pStyle w:val="Compact"/>
                    <w:jc w:val="right"/>
                    <w:jc w:val="center"/>
                  </w:pPr>
                  <w:r>
                    <w:t xml:space="preserve">10.56</w:t>
                  </w:r>
                </w:p>
              </w:tc>
              <w:tc>
                <w:tcPr/>
                <w:p>
                  <w:pPr>
                    <w:pStyle w:val="Compact"/>
                    <w:jc w:val="right"/>
                    <w:jc w:val="center"/>
                  </w:pPr>
                  <w:r>
                    <w:t xml:space="preserve">5.97</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left"/>
                    <w:jc w:val="center"/>
                  </w:pPr>
                  <w:r>
                    <w:t xml:space="preserve">Area wSL, prescreen in-fold (OOF)</w:t>
                  </w:r>
                </w:p>
              </w:tc>
              <w:tc>
                <w:tcPr/>
                <w:p>
                  <w:pPr>
                    <w:pStyle w:val="Compact"/>
                    <w:jc w:val="right"/>
                    <w:jc w:val="center"/>
                  </w:pPr>
                  <w:r>
                    <w:t xml:space="preserve">0.12</w:t>
                  </w:r>
                </w:p>
              </w:tc>
              <w:tc>
                <w:tcPr/>
                <w:p>
                  <w:pPr>
                    <w:pStyle w:val="Compact"/>
                    <w:jc w:val="right"/>
                    <w:jc w:val="center"/>
                  </w:pPr>
                  <w:r>
                    <w:t xml:space="preserve">10.08</w:t>
                  </w:r>
                </w:p>
              </w:tc>
              <w:tc>
                <w:tcPr/>
                <w:p>
                  <w:pPr>
                    <w:pStyle w:val="Compact"/>
                    <w:jc w:val="right"/>
                    <w:jc w:val="center"/>
                  </w:pPr>
                  <w:r>
                    <w:t xml:space="preserve">5.09</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left"/>
                    <w:jc w:val="center"/>
                  </w:pPr>
                  <w:r>
                    <w:t xml:space="preserve">Area wSL, prescreen on ALL data (OPTIMISTIC)</w:t>
                  </w:r>
                </w:p>
              </w:tc>
              <w:tc>
                <w:tcPr/>
                <w:p>
                  <w:pPr>
                    <w:pStyle w:val="Compact"/>
                    <w:jc w:val="right"/>
                    <w:jc w:val="center"/>
                  </w:pPr>
                  <w:r>
                    <w:t xml:space="preserve">0.22</w:t>
                  </w:r>
                </w:p>
              </w:tc>
              <w:tc>
                <w:tcPr/>
                <w:p>
                  <w:pPr>
                    <w:pStyle w:val="Compact"/>
                    <w:jc w:val="right"/>
                    <w:jc w:val="center"/>
                  </w:pPr>
                  <w:r>
                    <w:t xml:space="preserve">9.84</w:t>
                  </w:r>
                </w:p>
              </w:tc>
              <w:tc>
                <w:tcPr/>
                <w:p>
                  <w:pPr>
                    <w:pStyle w:val="Compact"/>
                    <w:jc w:val="right"/>
                    <w:jc w:val="center"/>
                  </w:pPr>
                  <w:r>
                    <w:t xml:space="preserve">5.10</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left"/>
                    <w:jc w:val="center"/>
                  </w:pPr>
                  <w:r>
                    <w:t xml:space="preserve">Area wSL, unweighted (OOF)</w:t>
                  </w:r>
                </w:p>
              </w:tc>
              <w:tc>
                <w:tcPr/>
                <w:p>
                  <w:pPr>
                    <w:pStyle w:val="Compact"/>
                    <w:jc w:val="right"/>
                    <w:jc w:val="center"/>
                  </w:pPr>
                  <w:r>
                    <w:t xml:space="preserve">0.13</w:t>
                  </w:r>
                </w:p>
              </w:tc>
              <w:tc>
                <w:tcPr/>
                <w:p>
                  <w:pPr>
                    <w:pStyle w:val="Compact"/>
                    <w:jc w:val="right"/>
                    <w:jc w:val="center"/>
                  </w:pPr>
                  <w:r>
                    <w:t xml:space="preserve">8.22</w:t>
                  </w:r>
                </w:p>
              </w:tc>
              <w:tc>
                <w:tcPr/>
                <w:p>
                  <w:pPr>
                    <w:pStyle w:val="Compact"/>
                    <w:jc w:val="right"/>
                    <w:jc w:val="center"/>
                  </w:pPr>
                  <w:r>
                    <w:t xml:space="preserve">-4.81</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left"/>
                    <w:jc w:val="center"/>
                  </w:pPr>
                  <w:r>
                    <w:t xml:space="preserve">Individual SL</w:t>
                  </w:r>
                </w:p>
              </w:tc>
              <w:tc>
                <w:tcPr/>
                <w:p>
                  <w:pPr>
                    <w:pStyle w:val="Compact"/>
                    <w:jc w:val="right"/>
                    <w:jc w:val="center"/>
                  </w:pPr>
                  <w:r>
                    <w:t xml:space="preserve">0.28</w:t>
                  </w:r>
                </w:p>
              </w:tc>
              <w:tc>
                <w:tcPr/>
                <w:p>
                  <w:pPr>
                    <w:pStyle w:val="Compact"/>
                    <w:jc w:val="right"/>
                    <w:jc w:val="center"/>
                  </w:pPr>
                  <w:r>
                    <w:t xml:space="preserve">8.02</w:t>
                  </w:r>
                </w:p>
              </w:tc>
              <w:tc>
                <w:tcPr/>
                <w:p>
                  <w:pPr>
                    <w:pStyle w:val="Compact"/>
                    <w:jc w:val="right"/>
                    <w:jc w:val="center"/>
                  </w:pPr>
                  <w:r>
                    <w:t xml:space="preserve">0.89</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8.47</w:t>
                  </w:r>
                </w:p>
              </w:tc>
              <w:tc>
                <w:tcPr/>
                <w:p>
                  <w:pPr>
                    <w:pStyle w:val="Compact"/>
                    <w:jc w:val="right"/>
                    <w:jc w:val="center"/>
                  </w:pPr>
                  <w:r>
                    <w:t xml:space="preserve">0.50</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left"/>
                    <w:jc w:val="center"/>
                  </w:pPr>
                  <w:r>
                    <w:t xml:space="preserve">Spatial only (no covariates)</w:t>
                  </w:r>
                </w:p>
              </w:tc>
              <w:tc>
                <w:tcPr/>
                <w:p>
                  <w:pPr>
                    <w:pStyle w:val="Compact"/>
                    <w:jc w:val="right"/>
                    <w:jc w:val="center"/>
                  </w:pPr>
                  <w:r>
                    <w:t xml:space="preserve">0.16</w:t>
                  </w:r>
                </w:p>
              </w:tc>
              <w:tc>
                <w:tcPr/>
                <w:p>
                  <w:pPr>
                    <w:pStyle w:val="Compact"/>
                    <w:jc w:val="right"/>
                    <w:jc w:val="center"/>
                  </w:pPr>
                  <w:r>
                    <w:t xml:space="preserve">7.93</w:t>
                  </w:r>
                </w:p>
              </w:tc>
              <w:tc>
                <w:tcPr/>
                <w:p>
                  <w:pPr>
                    <w:pStyle w:val="Compact"/>
                    <w:jc w:val="right"/>
                    <w:jc w:val="center"/>
                  </w:pPr>
                  <w:r>
                    <w:t xml:space="preserve">-4.02</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left"/>
                    <w:jc w:val="center"/>
                  </w:pPr>
                  <w:r>
                    <w:t xml:space="preserve">Area SL (MSE)</w:t>
                  </w:r>
                </w:p>
              </w:tc>
              <w:tc>
                <w:tcPr/>
                <w:p>
                  <w:pPr>
                    <w:pStyle w:val="Compact"/>
                    <w:jc w:val="right"/>
                    <w:jc w:val="center"/>
                  </w:pPr>
                  <w:r>
                    <w:t xml:space="preserve">0.01</w:t>
                  </w:r>
                </w:p>
              </w:tc>
              <w:tc>
                <w:tcPr/>
                <w:p>
                  <w:pPr>
                    <w:pStyle w:val="Compact"/>
                    <w:jc w:val="right"/>
                    <w:jc w:val="center"/>
                  </w:pPr>
                  <w:r>
                    <w:t xml:space="preserve">20.55</w:t>
                  </w:r>
                </w:p>
              </w:tc>
              <w:tc>
                <w:tcPr/>
                <w:p>
                  <w:pPr>
                    <w:pStyle w:val="Compact"/>
                    <w:jc w:val="right"/>
                    <w:jc w:val="center"/>
                  </w:pPr>
                  <w:r>
                    <w:t xml:space="preserve">-0.32</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left"/>
                    <w:jc w:val="center"/>
                  </w:pPr>
                  <w:r>
                    <w:t xml:space="preserve">Area SL (NLL)</w:t>
                  </w:r>
                </w:p>
              </w:tc>
              <w:tc>
                <w:tcPr/>
                <w:p>
                  <w:pPr>
                    <w:pStyle w:val="Compact"/>
                    <w:jc w:val="right"/>
                    <w:jc w:val="center"/>
                  </w:pPr>
                  <w:r>
                    <w:t xml:space="preserve">-0.02</w:t>
                  </w:r>
                </w:p>
              </w:tc>
              <w:tc>
                <w:tcPr/>
                <w:p>
                  <w:pPr>
                    <w:pStyle w:val="Compact"/>
                    <w:jc w:val="right"/>
                    <w:jc w:val="center"/>
                  </w:pPr>
                  <w:r>
                    <w:t xml:space="preserve">21.00</w:t>
                  </w:r>
                </w:p>
              </w:tc>
              <w:tc>
                <w:tcPr/>
                <w:p>
                  <w:pPr>
                    <w:pStyle w:val="Compact"/>
                    <w:jc w:val="right"/>
                    <w:jc w:val="center"/>
                  </w:pPr>
                  <w:r>
                    <w:t xml:space="preserve">1.61</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left"/>
                    <w:jc w:val="center"/>
                  </w:pPr>
                  <w:r>
                    <w:t xml:space="preserve">Area wSL, literature covariates (OOF)</w:t>
                  </w:r>
                </w:p>
              </w:tc>
              <w:tc>
                <w:tcPr/>
                <w:p>
                  <w:pPr>
                    <w:pStyle w:val="Compact"/>
                    <w:jc w:val="right"/>
                    <w:jc w:val="center"/>
                  </w:pPr>
                  <w:r>
                    <w:t xml:space="preserve">-0.19</w:t>
                  </w:r>
                </w:p>
              </w:tc>
              <w:tc>
                <w:tcPr/>
                <w:p>
                  <w:pPr>
                    <w:pStyle w:val="Compact"/>
                    <w:jc w:val="right"/>
                    <w:jc w:val="center"/>
                  </w:pPr>
                  <w:r>
                    <w:t xml:space="preserve">21.13</w:t>
                  </w:r>
                </w:p>
              </w:tc>
              <w:tc>
                <w:tcPr/>
                <w:p>
                  <w:pPr>
                    <w:pStyle w:val="Compact"/>
                    <w:jc w:val="right"/>
                    <w:jc w:val="center"/>
                  </w:pPr>
                  <w:r>
                    <w:t xml:space="preserve">0.43</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left"/>
                    <w:jc w:val="center"/>
                  </w:pPr>
                  <w:r>
                    <w:t xml:space="preserve">Area wSL, precision-weighted (OOF)</w:t>
                  </w:r>
                </w:p>
              </w:tc>
              <w:tc>
                <w:tcPr/>
                <w:p>
                  <w:pPr>
                    <w:pStyle w:val="Compact"/>
                    <w:jc w:val="right"/>
                    <w:jc w:val="center"/>
                  </w:pPr>
                  <w:r>
                    <w:t xml:space="preserve">-0.17</w:t>
                  </w:r>
                </w:p>
              </w:tc>
              <w:tc>
                <w:tcPr/>
                <w:p>
                  <w:pPr>
                    <w:pStyle w:val="Compact"/>
                    <w:jc w:val="right"/>
                    <w:jc w:val="center"/>
                  </w:pPr>
                  <w:r>
                    <w:t xml:space="preserve">20.89</w:t>
                  </w:r>
                </w:p>
              </w:tc>
              <w:tc>
                <w:tcPr/>
                <w:p>
                  <w:pPr>
                    <w:pStyle w:val="Compact"/>
                    <w:jc w:val="right"/>
                    <w:jc w:val="center"/>
                  </w:pPr>
                  <w:r>
                    <w:t xml:space="preserve">0.75</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left"/>
                    <w:jc w:val="center"/>
                  </w:pPr>
                  <w:r>
                    <w:t xml:space="preserve">Area wSL, prescreen in-fold (OOF)</w:t>
                  </w:r>
                </w:p>
              </w:tc>
              <w:tc>
                <w:tcPr/>
                <w:p>
                  <w:pPr>
                    <w:pStyle w:val="Compact"/>
                    <w:jc w:val="right"/>
                    <w:jc w:val="center"/>
                  </w:pPr>
                  <w:r>
                    <w:t xml:space="preserve">0.08</w:t>
                  </w:r>
                </w:p>
              </w:tc>
              <w:tc>
                <w:tcPr/>
                <w:p>
                  <w:pPr>
                    <w:pStyle w:val="Compact"/>
                    <w:jc w:val="right"/>
                    <w:jc w:val="center"/>
                  </w:pPr>
                  <w:r>
                    <w:t xml:space="preserve">20.20</w:t>
                  </w:r>
                </w:p>
              </w:tc>
              <w:tc>
                <w:tcPr/>
                <w:p>
                  <w:pPr>
                    <w:pStyle w:val="Compact"/>
                    <w:jc w:val="right"/>
                    <w:jc w:val="center"/>
                  </w:pPr>
                  <w:r>
                    <w:t xml:space="preserve">0.42</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left"/>
                    <w:jc w:val="center"/>
                  </w:pPr>
                  <w:r>
                    <w:t xml:space="preserve">Area wSL, prescreen on ALL data (OPTIMISTIC)</w:t>
                  </w:r>
                </w:p>
              </w:tc>
              <w:tc>
                <w:tcPr/>
                <w:p>
                  <w:pPr>
                    <w:pStyle w:val="Compact"/>
                    <w:jc w:val="right"/>
                    <w:jc w:val="center"/>
                  </w:pPr>
                  <w:r>
                    <w:t xml:space="preserve">0.09</w:t>
                  </w:r>
                </w:p>
              </w:tc>
              <w:tc>
                <w:tcPr/>
                <w:p>
                  <w:pPr>
                    <w:pStyle w:val="Compact"/>
                    <w:jc w:val="right"/>
                    <w:jc w:val="center"/>
                  </w:pPr>
                  <w:r>
                    <w:t xml:space="preserve">19.75</w:t>
                  </w:r>
                </w:p>
              </w:tc>
              <w:tc>
                <w:tcPr/>
                <w:p>
                  <w:pPr>
                    <w:pStyle w:val="Compact"/>
                    <w:jc w:val="right"/>
                    <w:jc w:val="center"/>
                  </w:pPr>
                  <w:r>
                    <w:t xml:space="preserve">0.96</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left"/>
                    <w:jc w:val="center"/>
                  </w:pPr>
                  <w:r>
                    <w:t xml:space="preserve">Area wSL, unweighted (OOF)</w:t>
                  </w:r>
                </w:p>
              </w:tc>
              <w:tc>
                <w:tcPr/>
                <w:p>
                  <w:pPr>
                    <w:pStyle w:val="Compact"/>
                    <w:jc w:val="right"/>
                    <w:jc w:val="center"/>
                  </w:pPr>
                  <w:r>
                    <w:t xml:space="preserve">0.05</w:t>
                  </w:r>
                </w:p>
              </w:tc>
              <w:tc>
                <w:tcPr/>
                <w:p>
                  <w:pPr>
                    <w:pStyle w:val="Compact"/>
                    <w:jc w:val="right"/>
                    <w:jc w:val="center"/>
                  </w:pPr>
                  <w:r>
                    <w:t xml:space="preserve">20.16</w:t>
                  </w:r>
                </w:p>
              </w:tc>
              <w:tc>
                <w:tcPr/>
                <w:p>
                  <w:pPr>
                    <w:pStyle w:val="Compact"/>
                    <w:jc w:val="right"/>
                    <w:jc w:val="center"/>
                  </w:pPr>
                  <w:r>
                    <w:t xml:space="preserve">1.92</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left"/>
                    <w:jc w:val="center"/>
                  </w:pPr>
                  <w:r>
                    <w:t xml:space="preserve">Individual SL</w:t>
                  </w:r>
                </w:p>
              </w:tc>
              <w:tc>
                <w:tcPr/>
                <w:p>
                  <w:pPr>
                    <w:pStyle w:val="Compact"/>
                    <w:jc w:val="right"/>
                    <w:jc w:val="center"/>
                  </w:pPr>
                  <w:r>
                    <w:t xml:space="preserve">-0.23</w:t>
                  </w:r>
                </w:p>
              </w:tc>
              <w:tc>
                <w:tcPr/>
                <w:p>
                  <w:pPr>
                    <w:pStyle w:val="Compact"/>
                    <w:jc w:val="right"/>
                    <w:jc w:val="center"/>
                  </w:pPr>
                  <w:r>
                    <w:t xml:space="preserve">20.10</w:t>
                  </w:r>
                </w:p>
              </w:tc>
              <w:tc>
                <w:tcPr/>
                <w:p>
                  <w:pPr>
                    <w:pStyle w:val="Compact"/>
                    <w:jc w:val="right"/>
                    <w:jc w:val="center"/>
                  </w:pPr>
                  <w:r>
                    <w:t xml:space="preserve">1.29</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19.82</w:t>
                  </w:r>
                </w:p>
              </w:tc>
              <w:tc>
                <w:tcPr/>
                <w:p>
                  <w:pPr>
                    <w:pStyle w:val="Compact"/>
                    <w:jc w:val="right"/>
                    <w:jc w:val="center"/>
                  </w:pPr>
                  <w:r>
                    <w:t xml:space="preserve">1.35</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left"/>
                    <w:jc w:val="center"/>
                  </w:pPr>
                  <w:r>
                    <w:t xml:space="preserve">Spatial only (no covariates)</w:t>
                  </w:r>
                </w:p>
              </w:tc>
              <w:tc>
                <w:tcPr/>
                <w:p>
                  <w:pPr>
                    <w:pStyle w:val="Compact"/>
                    <w:jc w:val="right"/>
                    <w:jc w:val="center"/>
                  </w:pPr>
                  <w:r>
                    <w:t xml:space="preserve">-0.06</w:t>
                  </w:r>
                </w:p>
              </w:tc>
              <w:tc>
                <w:tcPr/>
                <w:p>
                  <w:pPr>
                    <w:pStyle w:val="Compact"/>
                    <w:jc w:val="right"/>
                    <w:jc w:val="center"/>
                  </w:pPr>
                  <w:r>
                    <w:t xml:space="preserve">20.54</w:t>
                  </w:r>
                </w:p>
              </w:tc>
              <w:tc>
                <w:tcPr/>
                <w:p>
                  <w:pPr>
                    <w:pStyle w:val="Compact"/>
                    <w:jc w:val="right"/>
                    <w:jc w:val="center"/>
                  </w:pPr>
                  <w:r>
                    <w:t xml:space="preserve">2.94</w:t>
                  </w:r>
                </w:p>
              </w:tc>
              <w:tc>
                <w:tcPr/>
                <w:p>
                  <w:pPr>
                    <w:pStyle w:val="Compact"/>
                    <w:jc w:val="right"/>
                    <w:jc w:val="center"/>
                  </w:pPr>
                  <w:r>
                    <w:t xml:space="preserve">0.67</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left"/>
                    <w:jc w:val="center"/>
                  </w:pPr>
                  <w:r>
                    <w:t xml:space="preserve">Area SL (MSE)</w:t>
                  </w:r>
                </w:p>
              </w:tc>
              <w:tc>
                <w:tcPr/>
                <w:p>
                  <w:pPr>
                    <w:pStyle w:val="Compact"/>
                    <w:jc w:val="right"/>
                    <w:jc w:val="center"/>
                  </w:pPr>
                  <w:r>
                    <w:t xml:space="preserve">NA</w:t>
                  </w:r>
                </w:p>
              </w:tc>
              <w:tc>
                <w:tcPr/>
                <w:p>
                  <w:pPr>
                    <w:pStyle w:val="Compact"/>
                    <w:jc w:val="right"/>
                    <w:jc w:val="center"/>
                  </w:pPr>
                  <w:r>
                    <w:t xml:space="preserve">4.49</w:t>
                  </w:r>
                </w:p>
              </w:tc>
              <w:tc>
                <w:tcPr/>
                <w:p>
                  <w:pPr>
                    <w:pStyle w:val="Compact"/>
                    <w:jc w:val="right"/>
                    <w:jc w:val="center"/>
                  </w:pPr>
                  <w:r>
                    <w:t xml:space="preserve">0.08</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left"/>
                    <w:jc w:val="center"/>
                  </w:pPr>
                  <w:r>
                    <w:t xml:space="preserve">Area SL (NLL)</w:t>
                  </w:r>
                </w:p>
              </w:tc>
              <w:tc>
                <w:tcPr/>
                <w:p>
                  <w:pPr>
                    <w:pStyle w:val="Compact"/>
                    <w:jc w:val="right"/>
                    <w:jc w:val="center"/>
                  </w:pPr>
                  <w:r>
                    <w:t xml:space="preserve">NA</w:t>
                  </w:r>
                </w:p>
              </w:tc>
              <w:tc>
                <w:tcPr/>
                <w:p>
                  <w:pPr>
                    <w:pStyle w:val="Compact"/>
                    <w:jc w:val="right"/>
                    <w:jc w:val="center"/>
                  </w:pPr>
                  <w:r>
                    <w:t xml:space="preserve">3.17</w:t>
                  </w:r>
                </w:p>
              </w:tc>
              <w:tc>
                <w:tcPr/>
                <w:p>
                  <w:pPr>
                    <w:pStyle w:val="Compact"/>
                    <w:jc w:val="right"/>
                    <w:jc w:val="center"/>
                  </w:pPr>
                  <w:r>
                    <w:t xml:space="preserve">-2.56</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left"/>
                    <w:jc w:val="center"/>
                  </w:pPr>
                  <w:r>
                    <w:t xml:space="preserve">Area wSL, literature covariates (OOF)</w:t>
                  </w:r>
                </w:p>
              </w:tc>
              <w:tc>
                <w:tcPr/>
                <w:p>
                  <w:pPr>
                    <w:pStyle w:val="Compact"/>
                    <w:jc w:val="right"/>
                    <w:jc w:val="center"/>
                  </w:pPr>
                  <w:r>
                    <w:t xml:space="preserve">NA</w:t>
                  </w:r>
                </w:p>
              </w:tc>
              <w:tc>
                <w:tcPr/>
                <w:p>
                  <w:pPr>
                    <w:pStyle w:val="Compact"/>
                    <w:jc w:val="right"/>
                    <w:jc w:val="center"/>
                  </w:pPr>
                  <w:r>
                    <w:t xml:space="preserve">7.20</w:t>
                  </w:r>
                </w:p>
              </w:tc>
              <w:tc>
                <w:tcPr/>
                <w:p>
                  <w:pPr>
                    <w:pStyle w:val="Compact"/>
                    <w:jc w:val="right"/>
                    <w:jc w:val="center"/>
                  </w:pPr>
                  <w:r>
                    <w:t xml:space="preserve">5.18</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left"/>
                    <w:jc w:val="center"/>
                  </w:pPr>
                  <w:r>
                    <w:t xml:space="preserve">Area wSL, precision-weighted (OOF)</w:t>
                  </w:r>
                </w:p>
              </w:tc>
              <w:tc>
                <w:tcPr/>
                <w:p>
                  <w:pPr>
                    <w:pStyle w:val="Compact"/>
                    <w:jc w:val="right"/>
                    <w:jc w:val="center"/>
                  </w:pPr>
                  <w:r>
                    <w:t xml:space="preserve">NA</w:t>
                  </w:r>
                </w:p>
              </w:tc>
              <w:tc>
                <w:tcPr/>
                <w:p>
                  <w:pPr>
                    <w:pStyle w:val="Compact"/>
                    <w:jc w:val="right"/>
                    <w:jc w:val="center"/>
                  </w:pPr>
                  <w:r>
                    <w:t xml:space="preserve">5.87</w:t>
                  </w:r>
                </w:p>
              </w:tc>
              <w:tc>
                <w:tcPr/>
                <w:p>
                  <w:pPr>
                    <w:pStyle w:val="Compact"/>
                    <w:jc w:val="right"/>
                    <w:jc w:val="center"/>
                  </w:pPr>
                  <w:r>
                    <w:t xml:space="preserve">3.44</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left"/>
                    <w:jc w:val="center"/>
                  </w:pPr>
                  <w:r>
                    <w:t xml:space="preserve">Area wSL, prescreen in-fold (OOF)</w:t>
                  </w:r>
                </w:p>
              </w:tc>
              <w:tc>
                <w:tcPr/>
                <w:p>
                  <w:pPr>
                    <w:pStyle w:val="Compact"/>
                    <w:jc w:val="right"/>
                    <w:jc w:val="center"/>
                  </w:pPr>
                  <w:r>
                    <w:t xml:space="preserve">NA</w:t>
                  </w:r>
                </w:p>
              </w:tc>
              <w:tc>
                <w:tcPr/>
                <w:p>
                  <w:pPr>
                    <w:pStyle w:val="Compact"/>
                    <w:jc w:val="right"/>
                    <w:jc w:val="center"/>
                  </w:pPr>
                  <w:r>
                    <w:t xml:space="preserve">6.74</w:t>
                  </w:r>
                </w:p>
              </w:tc>
              <w:tc>
                <w:tcPr/>
                <w:p>
                  <w:pPr>
                    <w:pStyle w:val="Compact"/>
                    <w:jc w:val="right"/>
                    <w:jc w:val="center"/>
                  </w:pPr>
                  <w:r>
                    <w:t xml:space="preserve">4.83</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left"/>
                    <w:jc w:val="center"/>
                  </w:pPr>
                  <w:r>
                    <w:t xml:space="preserve">Area wSL, prescreen on ALL data (OPTIMISTIC)</w:t>
                  </w:r>
                </w:p>
              </w:tc>
              <w:tc>
                <w:tcPr/>
                <w:p>
                  <w:pPr>
                    <w:pStyle w:val="Compact"/>
                    <w:jc w:val="right"/>
                    <w:jc w:val="center"/>
                  </w:pPr>
                  <w:r>
                    <w:t xml:space="preserve">NA</w:t>
                  </w:r>
                </w:p>
              </w:tc>
              <w:tc>
                <w:tcPr/>
                <w:p>
                  <w:pPr>
                    <w:pStyle w:val="Compact"/>
                    <w:jc w:val="right"/>
                    <w:jc w:val="center"/>
                  </w:pPr>
                  <w:r>
                    <w:t xml:space="preserve">6.58</w:t>
                  </w:r>
                </w:p>
              </w:tc>
              <w:tc>
                <w:tcPr/>
                <w:p>
                  <w:pPr>
                    <w:pStyle w:val="Compact"/>
                    <w:jc w:val="right"/>
                    <w:jc w:val="center"/>
                  </w:pPr>
                  <w:r>
                    <w:t xml:space="preserve">5.07</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left"/>
                    <w:jc w:val="center"/>
                  </w:pPr>
                  <w:r>
                    <w:t xml:space="preserve">Area wSL, unweighted (OOF)</w:t>
                  </w:r>
                </w:p>
              </w:tc>
              <w:tc>
                <w:tcPr/>
                <w:p>
                  <w:pPr>
                    <w:pStyle w:val="Compact"/>
                    <w:jc w:val="right"/>
                    <w:jc w:val="center"/>
                  </w:pPr>
                  <w:r>
                    <w:t xml:space="preserve">NA</w:t>
                  </w:r>
                </w:p>
              </w:tc>
              <w:tc>
                <w:tcPr/>
                <w:p>
                  <w:pPr>
                    <w:pStyle w:val="Compact"/>
                    <w:jc w:val="right"/>
                    <w:jc w:val="center"/>
                  </w:pPr>
                  <w:r>
                    <w:t xml:space="preserve">3.53</w:t>
                  </w:r>
                </w:p>
              </w:tc>
              <w:tc>
                <w:tcPr/>
                <w:p>
                  <w:pPr>
                    <w:pStyle w:val="Compact"/>
                    <w:jc w:val="right"/>
                    <w:jc w:val="center"/>
                  </w:pPr>
                  <w:r>
                    <w:t xml:space="preserve">-1.83</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left"/>
                    <w:jc w:val="center"/>
                  </w:pPr>
                  <w:r>
                    <w:t xml:space="preserve">Individual SL</w:t>
                  </w:r>
                </w:p>
              </w:tc>
              <w:tc>
                <w:tcPr/>
                <w:p>
                  <w:pPr>
                    <w:pStyle w:val="Compact"/>
                    <w:jc w:val="right"/>
                    <w:jc w:val="center"/>
                  </w:pPr>
                  <w:r>
                    <w:t xml:space="preserve">NA</w:t>
                  </w:r>
                </w:p>
              </w:tc>
              <w:tc>
                <w:tcPr/>
                <w:p>
                  <w:pPr>
                    <w:pStyle w:val="Compact"/>
                    <w:jc w:val="right"/>
                    <w:jc w:val="center"/>
                  </w:pPr>
                  <w:r>
                    <w:t xml:space="preserve">4.17</w:t>
                  </w:r>
                </w:p>
              </w:tc>
              <w:tc>
                <w:tcPr/>
                <w:p>
                  <w:pPr>
                    <w:pStyle w:val="Compact"/>
                    <w:jc w:val="right"/>
                    <w:jc w:val="center"/>
                  </w:pPr>
                  <w:r>
                    <w:t xml:space="preserve">0.27</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4.50</w:t>
                  </w:r>
                </w:p>
              </w:tc>
              <w:tc>
                <w:tcPr/>
                <w:p>
                  <w:pPr>
                    <w:pStyle w:val="Compact"/>
                    <w:jc w:val="right"/>
                    <w:jc w:val="center"/>
                  </w:pPr>
                  <w:r>
                    <w:t xml:space="preserve">-0.22</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left"/>
                    <w:jc w:val="center"/>
                  </w:pPr>
                  <w:r>
                    <w:t xml:space="preserve">Spatial only (no covariates)</w:t>
                  </w:r>
                </w:p>
              </w:tc>
              <w:tc>
                <w:tcPr/>
                <w:p>
                  <w:pPr>
                    <w:pStyle w:val="Compact"/>
                    <w:jc w:val="right"/>
                    <w:jc w:val="center"/>
                  </w:pPr>
                  <w:r>
                    <w:t xml:space="preserve">NA</w:t>
                  </w:r>
                </w:p>
              </w:tc>
              <w:tc>
                <w:tcPr/>
                <w:p>
                  <w:pPr>
                    <w:pStyle w:val="Compact"/>
                    <w:jc w:val="right"/>
                    <w:jc w:val="center"/>
                  </w:pPr>
                  <w:r>
                    <w:t xml:space="preserve">3.51</w:t>
                  </w:r>
                </w:p>
              </w:tc>
              <w:tc>
                <w:tcPr/>
                <w:p>
                  <w:pPr>
                    <w:pStyle w:val="Compact"/>
                    <w:jc w:val="right"/>
                    <w:jc w:val="center"/>
                  </w:pPr>
                  <w:r>
                    <w:t xml:space="preserve">-1.67</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left"/>
                    <w:jc w:val="center"/>
                  </w:pPr>
                  <w:r>
                    <w:t xml:space="preserve">Area SL (MSE)</w:t>
                  </w:r>
                </w:p>
              </w:tc>
              <w:tc>
                <w:tcPr/>
                <w:p>
                  <w:pPr>
                    <w:pStyle w:val="Compact"/>
                    <w:jc w:val="right"/>
                    <w:jc w:val="center"/>
                  </w:pPr>
                  <w:r>
                    <w:t xml:space="preserve">0.47</w:t>
                  </w:r>
                </w:p>
              </w:tc>
              <w:tc>
                <w:tcPr/>
                <w:p>
                  <w:pPr>
                    <w:pStyle w:val="Compact"/>
                    <w:jc w:val="right"/>
                    <w:jc w:val="center"/>
                  </w:pPr>
                  <w:r>
                    <w:t xml:space="preserve">14.42</w:t>
                  </w:r>
                </w:p>
              </w:tc>
              <w:tc>
                <w:tcPr/>
                <w:p>
                  <w:pPr>
                    <w:pStyle w:val="Compact"/>
                    <w:jc w:val="right"/>
                    <w:jc w:val="center"/>
                  </w:pPr>
                  <w:r>
                    <w:t xml:space="preserve">-0.17</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left"/>
                    <w:jc w:val="center"/>
                  </w:pPr>
                  <w:r>
                    <w:t xml:space="preserve">Area SL (NLL)</w:t>
                  </w:r>
                </w:p>
              </w:tc>
              <w:tc>
                <w:tcPr/>
                <w:p>
                  <w:pPr>
                    <w:pStyle w:val="Compact"/>
                    <w:jc w:val="right"/>
                    <w:jc w:val="center"/>
                  </w:pPr>
                  <w:r>
                    <w:t xml:space="preserve">0.27</w:t>
                  </w:r>
                </w:p>
              </w:tc>
              <w:tc>
                <w:tcPr/>
                <w:p>
                  <w:pPr>
                    <w:pStyle w:val="Compact"/>
                    <w:jc w:val="right"/>
                    <w:jc w:val="center"/>
                  </w:pPr>
                  <w:r>
                    <w:t xml:space="preserve">17.36</w:t>
                  </w:r>
                </w:p>
              </w:tc>
              <w:tc>
                <w:tcPr/>
                <w:p>
                  <w:pPr>
                    <w:pStyle w:val="Compact"/>
                    <w:jc w:val="right"/>
                    <w:jc w:val="center"/>
                  </w:pPr>
                  <w:r>
                    <w:t xml:space="preserve">-11.90</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left"/>
                    <w:jc w:val="center"/>
                  </w:pPr>
                  <w:r>
                    <w:t xml:space="preserve">Area wSL, literature covariates (OOF)</w:t>
                  </w:r>
                </w:p>
              </w:tc>
              <w:tc>
                <w:tcPr/>
                <w:p>
                  <w:pPr>
                    <w:pStyle w:val="Compact"/>
                    <w:jc w:val="right"/>
                    <w:jc w:val="center"/>
                  </w:pPr>
                  <w:r>
                    <w:t xml:space="preserve">0.40</w:t>
                  </w:r>
                </w:p>
              </w:tc>
              <w:tc>
                <w:tcPr/>
                <w:p>
                  <w:pPr>
                    <w:pStyle w:val="Compact"/>
                    <w:jc w:val="right"/>
                    <w:jc w:val="center"/>
                  </w:pPr>
                  <w:r>
                    <w:t xml:space="preserve">17.22</w:t>
                  </w:r>
                </w:p>
              </w:tc>
              <w:tc>
                <w:tcPr/>
                <w:p>
                  <w:pPr>
                    <w:pStyle w:val="Compact"/>
                    <w:jc w:val="right"/>
                    <w:jc w:val="center"/>
                  </w:pPr>
                  <w:r>
                    <w:t xml:space="preserve">8.24</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left"/>
                    <w:jc w:val="center"/>
                  </w:pPr>
                  <w:r>
                    <w:t xml:space="preserve">Area wSL, precision-weighted (OOF)</w:t>
                  </w:r>
                </w:p>
              </w:tc>
              <w:tc>
                <w:tcPr/>
                <w:p>
                  <w:pPr>
                    <w:pStyle w:val="Compact"/>
                    <w:jc w:val="right"/>
                    <w:jc w:val="center"/>
                  </w:pPr>
                  <w:r>
                    <w:t xml:space="preserve">0.41</w:t>
                  </w:r>
                </w:p>
              </w:tc>
              <w:tc>
                <w:tcPr/>
                <w:p>
                  <w:pPr>
                    <w:pStyle w:val="Compact"/>
                    <w:jc w:val="right"/>
                    <w:jc w:val="center"/>
                  </w:pPr>
                  <w:r>
                    <w:t xml:space="preserve">16.92</w:t>
                  </w:r>
                </w:p>
              </w:tc>
              <w:tc>
                <w:tcPr/>
                <w:p>
                  <w:pPr>
                    <w:pStyle w:val="Compact"/>
                    <w:jc w:val="right"/>
                    <w:jc w:val="center"/>
                  </w:pPr>
                  <w:r>
                    <w:t xml:space="preserve">7.12</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left"/>
                    <w:jc w:val="center"/>
                  </w:pPr>
                  <w:r>
                    <w:t xml:space="preserve">Area wSL, prescreen in-fold (OOF)</w:t>
                  </w:r>
                </w:p>
              </w:tc>
              <w:tc>
                <w:tcPr/>
                <w:p>
                  <w:pPr>
                    <w:pStyle w:val="Compact"/>
                    <w:jc w:val="right"/>
                    <w:jc w:val="center"/>
                  </w:pPr>
                  <w:r>
                    <w:t xml:space="preserve">0.26</w:t>
                  </w:r>
                </w:p>
              </w:tc>
              <w:tc>
                <w:tcPr/>
                <w:p>
                  <w:pPr>
                    <w:pStyle w:val="Compact"/>
                    <w:jc w:val="right"/>
                    <w:jc w:val="center"/>
                  </w:pPr>
                  <w:r>
                    <w:t xml:space="preserve">18.55</w:t>
                  </w:r>
                </w:p>
              </w:tc>
              <w:tc>
                <w:tcPr/>
                <w:p>
                  <w:pPr>
                    <w:pStyle w:val="Compact"/>
                    <w:jc w:val="right"/>
                    <w:jc w:val="center"/>
                  </w:pPr>
                  <w:r>
                    <w:t xml:space="preserve">9.28</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left"/>
                    <w:jc w:val="center"/>
                  </w:pPr>
                  <w:r>
                    <w:t xml:space="preserve">Area wSL, prescreen on ALL data (OPTIMISTIC)</w:t>
                  </w:r>
                </w:p>
              </w:tc>
              <w:tc>
                <w:tcPr/>
                <w:p>
                  <w:pPr>
                    <w:pStyle w:val="Compact"/>
                    <w:jc w:val="right"/>
                    <w:jc w:val="center"/>
                  </w:pPr>
                  <w:r>
                    <w:t xml:space="preserve">0.36</w:t>
                  </w:r>
                </w:p>
              </w:tc>
              <w:tc>
                <w:tcPr/>
                <w:p>
                  <w:pPr>
                    <w:pStyle w:val="Compact"/>
                    <w:jc w:val="right"/>
                    <w:jc w:val="center"/>
                  </w:pPr>
                  <w:r>
                    <w:t xml:space="preserve">18.25</w:t>
                  </w:r>
                </w:p>
              </w:tc>
              <w:tc>
                <w:tcPr/>
                <w:p>
                  <w:pPr>
                    <w:pStyle w:val="Compact"/>
                    <w:jc w:val="right"/>
                    <w:jc w:val="center"/>
                  </w:pPr>
                  <w:r>
                    <w:t xml:space="preserve">9.24</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left"/>
                    <w:jc w:val="center"/>
                  </w:pPr>
                  <w:r>
                    <w:t xml:space="preserve">Area wSL, unweighted (OOF)</w:t>
                  </w:r>
                </w:p>
              </w:tc>
              <w:tc>
                <w:tcPr/>
                <w:p>
                  <w:pPr>
                    <w:pStyle w:val="Compact"/>
                    <w:jc w:val="right"/>
                    <w:jc w:val="center"/>
                  </w:pPr>
                  <w:r>
                    <w:t xml:space="preserve">0.24</w:t>
                  </w:r>
                </w:p>
              </w:tc>
              <w:tc>
                <w:tcPr/>
                <w:p>
                  <w:pPr>
                    <w:pStyle w:val="Compact"/>
                    <w:jc w:val="right"/>
                    <w:jc w:val="center"/>
                  </w:pPr>
                  <w:r>
                    <w:t xml:space="preserve">16.98</w:t>
                  </w:r>
                </w:p>
              </w:tc>
              <w:tc>
                <w:tcPr/>
                <w:p>
                  <w:pPr>
                    <w:pStyle w:val="Compact"/>
                    <w:jc w:val="right"/>
                    <w:jc w:val="center"/>
                  </w:pPr>
                  <w:r>
                    <w:t xml:space="preserve">-10.70</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left"/>
                    <w:jc w:val="center"/>
                  </w:pPr>
                  <w:r>
                    <w:t xml:space="preserve">Individual SL</w:t>
                  </w:r>
                </w:p>
              </w:tc>
              <w:tc>
                <w:tcPr/>
                <w:p>
                  <w:pPr>
                    <w:pStyle w:val="Compact"/>
                    <w:jc w:val="right"/>
                    <w:jc w:val="center"/>
                  </w:pPr>
                  <w:r>
                    <w:t xml:space="preserve">0.53</w:t>
                  </w:r>
                </w:p>
              </w:tc>
              <w:tc>
                <w:tcPr/>
                <w:p>
                  <w:pPr>
                    <w:pStyle w:val="Compact"/>
                    <w:jc w:val="right"/>
                    <w:jc w:val="center"/>
                  </w:pPr>
                  <w:r>
                    <w:t xml:space="preserve">12.96</w:t>
                  </w:r>
                </w:p>
              </w:tc>
              <w:tc>
                <w:tcPr/>
                <w:p>
                  <w:pPr>
                    <w:pStyle w:val="Compact"/>
                    <w:jc w:val="right"/>
                    <w:jc w:val="center"/>
                  </w:pPr>
                  <w:r>
                    <w:t xml:space="preserve">-1.61</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17.23</w:t>
                  </w:r>
                </w:p>
              </w:tc>
              <w:tc>
                <w:tcPr/>
                <w:p>
                  <w:pPr>
                    <w:pStyle w:val="Compact"/>
                    <w:jc w:val="right"/>
                    <w:jc w:val="center"/>
                  </w:pPr>
                  <w:r>
                    <w:t xml:space="preserve">-0.27</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left"/>
                    <w:jc w:val="center"/>
                  </w:pPr>
                  <w:r>
                    <w:t xml:space="preserve">Spatial only (no covariates)</w:t>
                  </w:r>
                </w:p>
              </w:tc>
              <w:tc>
                <w:tcPr/>
                <w:p>
                  <w:pPr>
                    <w:pStyle w:val="Compact"/>
                    <w:jc w:val="right"/>
                    <w:jc w:val="center"/>
                  </w:pPr>
                  <w:r>
                    <w:t xml:space="preserve">0.30</w:t>
                  </w:r>
                </w:p>
              </w:tc>
              <w:tc>
                <w:tcPr/>
                <w:p>
                  <w:pPr>
                    <w:pStyle w:val="Compact"/>
                    <w:jc w:val="right"/>
                    <w:jc w:val="center"/>
                  </w:pPr>
                  <w:r>
                    <w:t xml:space="preserve">16.05</w:t>
                  </w:r>
                </w:p>
              </w:tc>
              <w:tc>
                <w:tcPr/>
                <w:p>
                  <w:pPr>
                    <w:pStyle w:val="Compact"/>
                    <w:jc w:val="right"/>
                    <w:jc w:val="center"/>
                  </w:pPr>
                  <w:r>
                    <w:t xml:space="preserve">-8.47</w:t>
                  </w:r>
                </w:p>
              </w:tc>
              <w:tc>
                <w:tcPr/>
                <w:p>
                  <w:pPr>
                    <w:pStyle w:val="Compact"/>
                    <w:jc w:val="right"/>
                    <w:jc w:val="center"/>
                  </w:pPr>
                  <w:r>
                    <w:t xml:space="preserve">0.56</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left"/>
                    <w:jc w:val="center"/>
                  </w:pPr>
                  <w:r>
                    <w:t xml:space="preserve">Area SL (MSE)</w:t>
                  </w:r>
                </w:p>
              </w:tc>
              <w:tc>
                <w:tcPr/>
                <w:p>
                  <w:pPr>
                    <w:pStyle w:val="Compact"/>
                    <w:jc w:val="right"/>
                    <w:jc w:val="center"/>
                  </w:pPr>
                  <w:r>
                    <w:t xml:space="preserve">0.01</w:t>
                  </w:r>
                </w:p>
              </w:tc>
              <w:tc>
                <w:tcPr/>
                <w:p>
                  <w:pPr>
                    <w:pStyle w:val="Compact"/>
                    <w:jc w:val="right"/>
                    <w:jc w:val="center"/>
                  </w:pPr>
                  <w:r>
                    <w:t xml:space="preserve">14.11</w:t>
                  </w:r>
                </w:p>
              </w:tc>
              <w:tc>
                <w:tcPr/>
                <w:p>
                  <w:pPr>
                    <w:pStyle w:val="Compact"/>
                    <w:jc w:val="right"/>
                    <w:jc w:val="center"/>
                  </w:pPr>
                  <w:r>
                    <w:t xml:space="preserve">0.43</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left"/>
                    <w:jc w:val="center"/>
                  </w:pPr>
                  <w:r>
                    <w:t xml:space="preserve">Area SL (NLL)</w:t>
                  </w:r>
                </w:p>
              </w:tc>
              <w:tc>
                <w:tcPr/>
                <w:p>
                  <w:pPr>
                    <w:pStyle w:val="Compact"/>
                    <w:jc w:val="right"/>
                    <w:jc w:val="center"/>
                  </w:pPr>
                  <w:r>
                    <w:t xml:space="preserve">-0.05</w:t>
                  </w:r>
                </w:p>
              </w:tc>
              <w:tc>
                <w:tcPr/>
                <w:p>
                  <w:pPr>
                    <w:pStyle w:val="Compact"/>
                    <w:jc w:val="right"/>
                    <w:jc w:val="center"/>
                  </w:pPr>
                  <w:r>
                    <w:t xml:space="preserve">15.69</w:t>
                  </w:r>
                </w:p>
              </w:tc>
              <w:tc>
                <w:tcPr/>
                <w:p>
                  <w:pPr>
                    <w:pStyle w:val="Compact"/>
                    <w:jc w:val="right"/>
                    <w:jc w:val="center"/>
                  </w:pPr>
                  <w:r>
                    <w:t xml:space="preserve">-12.24</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left"/>
                    <w:jc w:val="center"/>
                  </w:pPr>
                  <w:r>
                    <w:t xml:space="preserve">Area wSL, literature covariates (OOF)</w:t>
                  </w:r>
                </w:p>
              </w:tc>
              <w:tc>
                <w:tcPr/>
                <w:p>
                  <w:pPr>
                    <w:pStyle w:val="Compact"/>
                    <w:jc w:val="right"/>
                    <w:jc w:val="center"/>
                  </w:pPr>
                  <w:r>
                    <w:t xml:space="preserve">-0.03</w:t>
                  </w:r>
                </w:p>
              </w:tc>
              <w:tc>
                <w:tcPr/>
                <w:p>
                  <w:pPr>
                    <w:pStyle w:val="Compact"/>
                    <w:jc w:val="right"/>
                    <w:jc w:val="center"/>
                  </w:pPr>
                  <w:r>
                    <w:t xml:space="preserve">15.50</w:t>
                  </w:r>
                </w:p>
              </w:tc>
              <w:tc>
                <w:tcPr/>
                <w:p>
                  <w:pPr>
                    <w:pStyle w:val="Compact"/>
                    <w:jc w:val="right"/>
                    <w:jc w:val="center"/>
                  </w:pPr>
                  <w:r>
                    <w:t xml:space="preserve">7.15</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left"/>
                    <w:jc w:val="center"/>
                  </w:pPr>
                  <w:r>
                    <w:t xml:space="preserve">Area wSL, precision-weighted (OOF)</w:t>
                  </w:r>
                </w:p>
              </w:tc>
              <w:tc>
                <w:tcPr/>
                <w:p>
                  <w:pPr>
                    <w:pStyle w:val="Compact"/>
                    <w:jc w:val="right"/>
                    <w:jc w:val="center"/>
                  </w:pPr>
                  <w:r>
                    <w:t xml:space="preserve">0.03</w:t>
                  </w:r>
                </w:p>
              </w:tc>
              <w:tc>
                <w:tcPr/>
                <w:p>
                  <w:pPr>
                    <w:pStyle w:val="Compact"/>
                    <w:jc w:val="right"/>
                    <w:jc w:val="center"/>
                  </w:pPr>
                  <w:r>
                    <w:t xml:space="preserve">15.10</w:t>
                  </w:r>
                </w:p>
              </w:tc>
              <w:tc>
                <w:tcPr/>
                <w:p>
                  <w:pPr>
                    <w:pStyle w:val="Compact"/>
                    <w:jc w:val="right"/>
                    <w:jc w:val="center"/>
                  </w:pPr>
                  <w:r>
                    <w:t xml:space="preserve">6.36</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left"/>
                    <w:jc w:val="center"/>
                  </w:pPr>
                  <w:r>
                    <w:t xml:space="preserve">Area wSL, prescreen in-fold (OOF)</w:t>
                  </w:r>
                </w:p>
              </w:tc>
              <w:tc>
                <w:tcPr/>
                <w:p>
                  <w:pPr>
                    <w:pStyle w:val="Compact"/>
                    <w:jc w:val="right"/>
                    <w:jc w:val="center"/>
                  </w:pPr>
                  <w:r>
                    <w:t xml:space="preserve">0.07</w:t>
                  </w:r>
                </w:p>
              </w:tc>
              <w:tc>
                <w:tcPr/>
                <w:p>
                  <w:pPr>
                    <w:pStyle w:val="Compact"/>
                    <w:jc w:val="right"/>
                    <w:jc w:val="center"/>
                  </w:pPr>
                  <w:r>
                    <w:t xml:space="preserve">15.22</w:t>
                  </w:r>
                </w:p>
              </w:tc>
              <w:tc>
                <w:tcPr/>
                <w:p>
                  <w:pPr>
                    <w:pStyle w:val="Compact"/>
                    <w:jc w:val="right"/>
                    <w:jc w:val="center"/>
                  </w:pPr>
                  <w:r>
                    <w:t xml:space="preserve">6.33</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left"/>
                    <w:jc w:val="center"/>
                  </w:pPr>
                  <w:r>
                    <w:t xml:space="preserve">Area wSL, prescreen on ALL data (OPTIMISTIC)</w:t>
                  </w:r>
                </w:p>
              </w:tc>
              <w:tc>
                <w:tcPr/>
                <w:p>
                  <w:pPr>
                    <w:pStyle w:val="Compact"/>
                    <w:jc w:val="right"/>
                    <w:jc w:val="center"/>
                  </w:pPr>
                  <w:r>
                    <w:t xml:space="preserve">0.19</w:t>
                  </w:r>
                </w:p>
              </w:tc>
              <w:tc>
                <w:tcPr/>
                <w:p>
                  <w:pPr>
                    <w:pStyle w:val="Compact"/>
                    <w:jc w:val="right"/>
                    <w:jc w:val="center"/>
                  </w:pPr>
                  <w:r>
                    <w:t xml:space="preserve">14.53</w:t>
                  </w:r>
                </w:p>
              </w:tc>
              <w:tc>
                <w:tcPr/>
                <w:p>
                  <w:pPr>
                    <w:pStyle w:val="Compact"/>
                    <w:jc w:val="right"/>
                    <w:jc w:val="center"/>
                  </w:pPr>
                  <w:r>
                    <w:t xml:space="preserve">5.95</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left"/>
                    <w:jc w:val="center"/>
                  </w:pPr>
                  <w:r>
                    <w:t xml:space="preserve">Area wSL, unweighted (OOF)</w:t>
                  </w:r>
                </w:p>
              </w:tc>
              <w:tc>
                <w:tcPr/>
                <w:p>
                  <w:pPr>
                    <w:pStyle w:val="Compact"/>
                    <w:jc w:val="right"/>
                    <w:jc w:val="center"/>
                  </w:pPr>
                  <w:r>
                    <w:t xml:space="preserve">-0.02</w:t>
                  </w:r>
                </w:p>
              </w:tc>
              <w:tc>
                <w:tcPr/>
                <w:p>
                  <w:pPr>
                    <w:pStyle w:val="Compact"/>
                    <w:jc w:val="right"/>
                    <w:jc w:val="center"/>
                  </w:pPr>
                  <w:r>
                    <w:t xml:space="preserve">14.39</w:t>
                  </w:r>
                </w:p>
              </w:tc>
              <w:tc>
                <w:tcPr/>
                <w:p>
                  <w:pPr>
                    <w:pStyle w:val="Compact"/>
                    <w:jc w:val="right"/>
                    <w:jc w:val="center"/>
                  </w:pPr>
                  <w:r>
                    <w:t xml:space="preserve">-9.47</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left"/>
                    <w:jc w:val="center"/>
                  </w:pPr>
                  <w:r>
                    <w:t xml:space="preserve">Individual SL</w:t>
                  </w:r>
                </w:p>
              </w:tc>
              <w:tc>
                <w:tcPr/>
                <w:p>
                  <w:pPr>
                    <w:pStyle w:val="Compact"/>
                    <w:jc w:val="right"/>
                    <w:jc w:val="center"/>
                  </w:pPr>
                  <w:r>
                    <w:t xml:space="preserve">0.25</w:t>
                  </w:r>
                </w:p>
              </w:tc>
              <w:tc>
                <w:tcPr/>
                <w:p>
                  <w:pPr>
                    <w:pStyle w:val="Compact"/>
                    <w:jc w:val="right"/>
                    <w:jc w:val="center"/>
                  </w:pPr>
                  <w:r>
                    <w:t xml:space="preserve">13.61</w:t>
                  </w:r>
                </w:p>
              </w:tc>
              <w:tc>
                <w:tcPr/>
                <w:p>
                  <w:pPr>
                    <w:pStyle w:val="Compact"/>
                    <w:jc w:val="right"/>
                    <w:jc w:val="center"/>
                  </w:pPr>
                  <w:r>
                    <w:t xml:space="preserve">-8.07</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13.47</w:t>
                  </w:r>
                </w:p>
              </w:tc>
              <w:tc>
                <w:tcPr/>
                <w:p>
                  <w:pPr>
                    <w:pStyle w:val="Compact"/>
                    <w:jc w:val="right"/>
                    <w:jc w:val="center"/>
                  </w:pPr>
                  <w:r>
                    <w:t xml:space="preserve">0.38</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left"/>
                    <w:jc w:val="center"/>
                  </w:pPr>
                  <w:r>
                    <w:t xml:space="preserve">Spatial only (no covariates)</w:t>
                  </w:r>
                </w:p>
              </w:tc>
              <w:tc>
                <w:tcPr/>
                <w:p>
                  <w:pPr>
                    <w:pStyle w:val="Compact"/>
                    <w:jc w:val="right"/>
                    <w:jc w:val="center"/>
                  </w:pPr>
                  <w:r>
                    <w:t xml:space="preserve">0.08</w:t>
                  </w:r>
                </w:p>
              </w:tc>
              <w:tc>
                <w:tcPr/>
                <w:p>
                  <w:pPr>
                    <w:pStyle w:val="Compact"/>
                    <w:jc w:val="right"/>
                    <w:jc w:val="center"/>
                  </w:pPr>
                  <w:r>
                    <w:t xml:space="preserve">13.93</w:t>
                  </w:r>
                </w:p>
              </w:tc>
              <w:tc>
                <w:tcPr/>
                <w:p>
                  <w:pPr>
                    <w:pStyle w:val="Compact"/>
                    <w:jc w:val="right"/>
                    <w:jc w:val="center"/>
                  </w:pPr>
                  <w:r>
                    <w:t xml:space="preserve">-7.38</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left"/>
                    <w:jc w:val="center"/>
                  </w:pPr>
                  <w:r>
                    <w:t xml:space="preserve">Area SL (MSE)</w:t>
                  </w:r>
                </w:p>
              </w:tc>
              <w:tc>
                <w:tcPr/>
                <w:p>
                  <w:pPr>
                    <w:pStyle w:val="Compact"/>
                    <w:jc w:val="right"/>
                    <w:jc w:val="center"/>
                  </w:pPr>
                  <w:r>
                    <w:t xml:space="preserve">NA</w:t>
                  </w:r>
                </w:p>
              </w:tc>
              <w:tc>
                <w:tcPr/>
                <w:p>
                  <w:pPr>
                    <w:pStyle w:val="Compact"/>
                    <w:jc w:val="right"/>
                    <w:jc w:val="center"/>
                  </w:pPr>
                  <w:r>
                    <w:t xml:space="preserve">3.08</w:t>
                  </w:r>
                </w:p>
              </w:tc>
              <w:tc>
                <w:tcPr/>
                <w:p>
                  <w:pPr>
                    <w:pStyle w:val="Compact"/>
                    <w:jc w:val="right"/>
                    <w:jc w:val="center"/>
                  </w:pPr>
                  <w:r>
                    <w:t xml:space="preserve">0.25</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left"/>
                    <w:jc w:val="center"/>
                  </w:pPr>
                  <w:r>
                    <w:t xml:space="preserve">Area SL (NLL)</w:t>
                  </w:r>
                </w:p>
              </w:tc>
              <w:tc>
                <w:tcPr/>
                <w:p>
                  <w:pPr>
                    <w:pStyle w:val="Compact"/>
                    <w:jc w:val="right"/>
                    <w:jc w:val="center"/>
                  </w:pPr>
                  <w:r>
                    <w:t xml:space="preserve">NA</w:t>
                  </w:r>
                </w:p>
              </w:tc>
              <w:tc>
                <w:tcPr/>
                <w:p>
                  <w:pPr>
                    <w:pStyle w:val="Compact"/>
                    <w:jc w:val="right"/>
                    <w:jc w:val="center"/>
                  </w:pPr>
                  <w:r>
                    <w:t xml:space="preserve">1.81</w:t>
                  </w:r>
                </w:p>
              </w:tc>
              <w:tc>
                <w:tcPr/>
                <w:p>
                  <w:pPr>
                    <w:pStyle w:val="Compact"/>
                    <w:jc w:val="right"/>
                    <w:jc w:val="center"/>
                  </w:pPr>
                  <w:r>
                    <w:t xml:space="preserve">-1.35</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left"/>
                    <w:jc w:val="center"/>
                  </w:pPr>
                  <w:r>
                    <w:t xml:space="preserve">Area wSL, literature covariates (OOF)</w:t>
                  </w:r>
                </w:p>
              </w:tc>
              <w:tc>
                <w:tcPr/>
                <w:p>
                  <w:pPr>
                    <w:pStyle w:val="Compact"/>
                    <w:jc w:val="right"/>
                    <w:jc w:val="center"/>
                  </w:pPr>
                  <w:r>
                    <w:t xml:space="preserve">NA</w:t>
                  </w:r>
                </w:p>
              </w:tc>
              <w:tc>
                <w:tcPr/>
                <w:p>
                  <w:pPr>
                    <w:pStyle w:val="Compact"/>
                    <w:jc w:val="right"/>
                    <w:jc w:val="center"/>
                  </w:pPr>
                  <w:r>
                    <w:t xml:space="preserve">7.80</w:t>
                  </w:r>
                </w:p>
              </w:tc>
              <w:tc>
                <w:tcPr/>
                <w:p>
                  <w:pPr>
                    <w:pStyle w:val="Compact"/>
                    <w:jc w:val="right"/>
                    <w:jc w:val="center"/>
                  </w:pPr>
                  <w:r>
                    <w:t xml:space="preserve">6.66</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left"/>
                    <w:jc w:val="center"/>
                  </w:pPr>
                  <w:r>
                    <w:t xml:space="preserve">Area wSL, precision-weighted (OOF)</w:t>
                  </w:r>
                </w:p>
              </w:tc>
              <w:tc>
                <w:tcPr/>
                <w:p>
                  <w:pPr>
                    <w:pStyle w:val="Compact"/>
                    <w:jc w:val="right"/>
                    <w:jc w:val="center"/>
                  </w:pPr>
                  <w:r>
                    <w:t xml:space="preserve">NA</w:t>
                  </w:r>
                </w:p>
              </w:tc>
              <w:tc>
                <w:tcPr/>
                <w:p>
                  <w:pPr>
                    <w:pStyle w:val="Compact"/>
                    <w:jc w:val="right"/>
                    <w:jc w:val="center"/>
                  </w:pPr>
                  <w:r>
                    <w:t xml:space="preserve">8.14</w:t>
                  </w:r>
                </w:p>
              </w:tc>
              <w:tc>
                <w:tcPr/>
                <w:p>
                  <w:pPr>
                    <w:pStyle w:val="Compact"/>
                    <w:jc w:val="right"/>
                    <w:jc w:val="center"/>
                  </w:pPr>
                  <w:r>
                    <w:t xml:space="preserve">7.18</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left"/>
                    <w:jc w:val="center"/>
                  </w:pPr>
                  <w:r>
                    <w:t xml:space="preserve">Area wSL, prescreen in-fold (OOF)</w:t>
                  </w:r>
                </w:p>
              </w:tc>
              <w:tc>
                <w:tcPr/>
                <w:p>
                  <w:pPr>
                    <w:pStyle w:val="Compact"/>
                    <w:jc w:val="right"/>
                    <w:jc w:val="center"/>
                  </w:pPr>
                  <w:r>
                    <w:t xml:space="preserve">NA</w:t>
                  </w:r>
                </w:p>
              </w:tc>
              <w:tc>
                <w:tcPr/>
                <w:p>
                  <w:pPr>
                    <w:pStyle w:val="Compact"/>
                    <w:jc w:val="right"/>
                    <w:jc w:val="center"/>
                  </w:pPr>
                  <w:r>
                    <w:t xml:space="preserve">5.93</w:t>
                  </w:r>
                </w:p>
              </w:tc>
              <w:tc>
                <w:tcPr/>
                <w:p>
                  <w:pPr>
                    <w:pStyle w:val="Compact"/>
                    <w:jc w:val="right"/>
                    <w:jc w:val="center"/>
                  </w:pPr>
                  <w:r>
                    <w:t xml:space="preserve">3.95</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left"/>
                    <w:jc w:val="center"/>
                  </w:pPr>
                  <w:r>
                    <w:t xml:space="preserve">Area wSL, prescreen on ALL data (OPTIMISTIC)</w:t>
                  </w:r>
                </w:p>
              </w:tc>
              <w:tc>
                <w:tcPr/>
                <w:p>
                  <w:pPr>
                    <w:pStyle w:val="Compact"/>
                    <w:jc w:val="right"/>
                    <w:jc w:val="center"/>
                  </w:pPr>
                  <w:r>
                    <w:t xml:space="preserve">NA</w:t>
                  </w:r>
                </w:p>
              </w:tc>
              <w:tc>
                <w:tcPr/>
                <w:p>
                  <w:pPr>
                    <w:pStyle w:val="Compact"/>
                    <w:jc w:val="right"/>
                    <w:jc w:val="center"/>
                  </w:pPr>
                  <w:r>
                    <w:t xml:space="preserve">6.19</w:t>
                  </w:r>
                </w:p>
              </w:tc>
              <w:tc>
                <w:tcPr/>
                <w:p>
                  <w:pPr>
                    <w:pStyle w:val="Compact"/>
                    <w:jc w:val="right"/>
                    <w:jc w:val="center"/>
                  </w:pPr>
                  <w:r>
                    <w:t xml:space="preserve">4.65</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left"/>
                    <w:jc w:val="center"/>
                  </w:pPr>
                  <w:r>
                    <w:t xml:space="preserve">Area wSL, unweighted (OOF)</w:t>
                  </w:r>
                </w:p>
              </w:tc>
              <w:tc>
                <w:tcPr/>
                <w:p>
                  <w:pPr>
                    <w:pStyle w:val="Compact"/>
                    <w:jc w:val="right"/>
                    <w:jc w:val="center"/>
                  </w:pPr>
                  <w:r>
                    <w:t xml:space="preserve">NA</w:t>
                  </w:r>
                </w:p>
              </w:tc>
              <w:tc>
                <w:tcPr/>
                <w:p>
                  <w:pPr>
                    <w:pStyle w:val="Compact"/>
                    <w:jc w:val="right"/>
                    <w:jc w:val="center"/>
                  </w:pPr>
                  <w:r>
                    <w:t xml:space="preserve">2.18</w:t>
                  </w:r>
                </w:p>
              </w:tc>
              <w:tc>
                <w:tcPr/>
                <w:p>
                  <w:pPr>
                    <w:pStyle w:val="Compact"/>
                    <w:jc w:val="right"/>
                    <w:jc w:val="center"/>
                  </w:pPr>
                  <w:r>
                    <w:t xml:space="preserve">-0.84</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left"/>
                    <w:jc w:val="center"/>
                  </w:pPr>
                  <w:r>
                    <w:t xml:space="preserve">Individual SL</w:t>
                  </w:r>
                </w:p>
              </w:tc>
              <w:tc>
                <w:tcPr/>
                <w:p>
                  <w:pPr>
                    <w:pStyle w:val="Compact"/>
                    <w:jc w:val="right"/>
                    <w:jc w:val="center"/>
                  </w:pPr>
                  <w:r>
                    <w:t xml:space="preserve">NA</w:t>
                  </w:r>
                </w:p>
              </w:tc>
              <w:tc>
                <w:tcPr/>
                <w:p>
                  <w:pPr>
                    <w:pStyle w:val="Compact"/>
                    <w:jc w:val="right"/>
                    <w:jc w:val="center"/>
                  </w:pPr>
                  <w:r>
                    <w:t xml:space="preserve">2.74</w:t>
                  </w:r>
                </w:p>
              </w:tc>
              <w:tc>
                <w:tcPr/>
                <w:p>
                  <w:pPr>
                    <w:pStyle w:val="Compact"/>
                    <w:jc w:val="right"/>
                    <w:jc w:val="center"/>
                  </w:pPr>
                  <w:r>
                    <w:t xml:space="preserve">0.02</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2.59</w:t>
                  </w:r>
                </w:p>
              </w:tc>
              <w:tc>
                <w:tcPr/>
                <w:p>
                  <w:pPr>
                    <w:pStyle w:val="Compact"/>
                    <w:jc w:val="right"/>
                    <w:jc w:val="center"/>
                  </w:pPr>
                  <w:r>
                    <w:t xml:space="preserve">-0.29</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left"/>
                    <w:jc w:val="center"/>
                  </w:pPr>
                  <w:r>
                    <w:t xml:space="preserve">Spatial only (no covariates)</w:t>
                  </w:r>
                </w:p>
              </w:tc>
              <w:tc>
                <w:tcPr/>
                <w:p>
                  <w:pPr>
                    <w:pStyle w:val="Compact"/>
                    <w:jc w:val="right"/>
                    <w:jc w:val="center"/>
                  </w:pPr>
                  <w:r>
                    <w:t xml:space="preserve">NA</w:t>
                  </w:r>
                </w:p>
              </w:tc>
              <w:tc>
                <w:tcPr/>
                <w:p>
                  <w:pPr>
                    <w:pStyle w:val="Compact"/>
                    <w:jc w:val="right"/>
                    <w:jc w:val="center"/>
                  </w:pPr>
                  <w:r>
                    <w:t xml:space="preserve">2.16</w:t>
                  </w:r>
                </w:p>
              </w:tc>
              <w:tc>
                <w:tcPr/>
                <w:p>
                  <w:pPr>
                    <w:pStyle w:val="Compact"/>
                    <w:jc w:val="right"/>
                    <w:jc w:val="center"/>
                  </w:pPr>
                  <w:r>
                    <w:t xml:space="preserve">-0.83</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left"/>
                    <w:jc w:val="center"/>
                  </w:pPr>
                  <w:r>
                    <w:t xml:space="preserve">Area SL (MSE)</w:t>
                  </w:r>
                </w:p>
              </w:tc>
              <w:tc>
                <w:tcPr/>
                <w:p>
                  <w:pPr>
                    <w:pStyle w:val="Compact"/>
                    <w:jc w:val="right"/>
                    <w:jc w:val="center"/>
                  </w:pPr>
                  <w:r>
                    <w:t xml:space="preserve">-0.24</w:t>
                  </w:r>
                </w:p>
              </w:tc>
              <w:tc>
                <w:tcPr/>
                <w:p>
                  <w:pPr>
                    <w:pStyle w:val="Compact"/>
                    <w:jc w:val="right"/>
                    <w:jc w:val="center"/>
                  </w:pPr>
                  <w:r>
                    <w:t xml:space="preserve">24.01</w:t>
                  </w:r>
                </w:p>
              </w:tc>
              <w:tc>
                <w:tcPr/>
                <w:p>
                  <w:pPr>
                    <w:pStyle w:val="Compact"/>
                    <w:jc w:val="right"/>
                    <w:jc w:val="center"/>
                  </w:pPr>
                  <w:r>
                    <w:t xml:space="preserve">-0.51</w:t>
                  </w:r>
                </w:p>
              </w:tc>
              <w:tc>
                <w:tcPr/>
                <w:p>
                  <w:pPr>
                    <w:pStyle w:val="Compact"/>
                    <w:jc w:val="right"/>
                    <w:jc w:val="center"/>
                  </w:pPr>
                  <w:r>
                    <w:t xml:space="preserve">0.72</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left"/>
                    <w:jc w:val="center"/>
                  </w:pPr>
                  <w:r>
                    <w:t xml:space="preserve">Area SL (NLL)</w:t>
                  </w:r>
                </w:p>
              </w:tc>
              <w:tc>
                <w:tcPr/>
                <w:p>
                  <w:pPr>
                    <w:pStyle w:val="Compact"/>
                    <w:jc w:val="right"/>
                    <w:jc w:val="center"/>
                  </w:pPr>
                  <w:r>
                    <w:t xml:space="preserve">-0.14</w:t>
                  </w:r>
                </w:p>
              </w:tc>
              <w:tc>
                <w:tcPr/>
                <w:p>
                  <w:pPr>
                    <w:pStyle w:val="Compact"/>
                    <w:jc w:val="right"/>
                    <w:jc w:val="center"/>
                  </w:pPr>
                  <w:r>
                    <w:t xml:space="preserve">26.19</w:t>
                  </w:r>
                </w:p>
              </w:tc>
              <w:tc>
                <w:tcPr/>
                <w:p>
                  <w:pPr>
                    <w:pStyle w:val="Compact"/>
                    <w:jc w:val="right"/>
                    <w:jc w:val="center"/>
                  </w:pPr>
                  <w:r>
                    <w:t xml:space="preserve">16.94</w:t>
                  </w:r>
                </w:p>
              </w:tc>
              <w:tc>
                <w:tcPr/>
                <w:p>
                  <w:pPr>
                    <w:pStyle w:val="Compact"/>
                    <w:jc w:val="right"/>
                    <w:jc w:val="center"/>
                  </w:pPr>
                  <w:r>
                    <w:t xml:space="preserve">0.72</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left"/>
                    <w:jc w:val="center"/>
                  </w:pPr>
                  <w:r>
                    <w:t xml:space="preserve">Area wSL, literature covariates (OOF)</w:t>
                  </w:r>
                </w:p>
              </w:tc>
              <w:tc>
                <w:tcPr/>
                <w:p>
                  <w:pPr>
                    <w:pStyle w:val="Compact"/>
                    <w:jc w:val="right"/>
                    <w:jc w:val="center"/>
                  </w:pPr>
                  <w:r>
                    <w:t xml:space="preserve">-0.16</w:t>
                  </w:r>
                </w:p>
              </w:tc>
              <w:tc>
                <w:tcPr/>
                <w:p>
                  <w:pPr>
                    <w:pStyle w:val="Compact"/>
                    <w:jc w:val="right"/>
                    <w:jc w:val="center"/>
                  </w:pPr>
                  <w:r>
                    <w:t xml:space="preserve">23.61</w:t>
                  </w:r>
                </w:p>
              </w:tc>
              <w:tc>
                <w:tcPr/>
                <w:p>
                  <w:pPr>
                    <w:pStyle w:val="Compact"/>
                    <w:jc w:val="right"/>
                    <w:jc w:val="center"/>
                  </w:pPr>
                  <w:r>
                    <w:t xml:space="preserve">-7.97</w:t>
                  </w:r>
                </w:p>
              </w:tc>
              <w:tc>
                <w:tcPr/>
                <w:p>
                  <w:pPr>
                    <w:pStyle w:val="Compact"/>
                    <w:jc w:val="right"/>
                    <w:jc w:val="center"/>
                  </w:pPr>
                  <w:r>
                    <w:t xml:space="preserve">0.72</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left"/>
                    <w:jc w:val="center"/>
                  </w:pPr>
                  <w:r>
                    <w:t xml:space="preserve">Area wSL, precision-weighted (OOF)</w:t>
                  </w:r>
                </w:p>
              </w:tc>
              <w:tc>
                <w:tcPr/>
                <w:p>
                  <w:pPr>
                    <w:pStyle w:val="Compact"/>
                    <w:jc w:val="right"/>
                    <w:jc w:val="center"/>
                  </w:pPr>
                  <w:r>
                    <w:t xml:space="preserve">-0.27</w:t>
                  </w:r>
                </w:p>
              </w:tc>
              <w:tc>
                <w:tcPr/>
                <w:p>
                  <w:pPr>
                    <w:pStyle w:val="Compact"/>
                    <w:jc w:val="right"/>
                    <w:jc w:val="center"/>
                  </w:pPr>
                  <w:r>
                    <w:t xml:space="preserve">23.91</w:t>
                  </w:r>
                </w:p>
              </w:tc>
              <w:tc>
                <w:tcPr/>
                <w:p>
                  <w:pPr>
                    <w:pStyle w:val="Compact"/>
                    <w:jc w:val="right"/>
                    <w:jc w:val="center"/>
                  </w:pPr>
                  <w:r>
                    <w:t xml:space="preserve">-8.04</w:t>
                  </w:r>
                </w:p>
              </w:tc>
              <w:tc>
                <w:tcPr/>
                <w:p>
                  <w:pPr>
                    <w:pStyle w:val="Compact"/>
                    <w:jc w:val="right"/>
                    <w:jc w:val="center"/>
                  </w:pPr>
                  <w:r>
                    <w:t xml:space="preserve">0.72</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left"/>
                    <w:jc w:val="center"/>
                  </w:pPr>
                  <w:r>
                    <w:t xml:space="preserve">Area wSL, prescreen in-fold (OOF)</w:t>
                  </w:r>
                </w:p>
              </w:tc>
              <w:tc>
                <w:tcPr/>
                <w:p>
                  <w:pPr>
                    <w:pStyle w:val="Compact"/>
                    <w:jc w:val="right"/>
                    <w:jc w:val="center"/>
                  </w:pPr>
                  <w:r>
                    <w:t xml:space="preserve">-0.34</w:t>
                  </w:r>
                </w:p>
              </w:tc>
              <w:tc>
                <w:tcPr/>
                <w:p>
                  <w:pPr>
                    <w:pStyle w:val="Compact"/>
                    <w:jc w:val="right"/>
                    <w:jc w:val="center"/>
                  </w:pPr>
                  <w:r>
                    <w:t xml:space="preserve">24.50</w:t>
                  </w:r>
                </w:p>
              </w:tc>
              <w:tc>
                <w:tcPr/>
                <w:p>
                  <w:pPr>
                    <w:pStyle w:val="Compact"/>
                    <w:jc w:val="right"/>
                    <w:jc w:val="center"/>
                  </w:pPr>
                  <w:r>
                    <w:t xml:space="preserve">-7.98</w:t>
                  </w:r>
                </w:p>
              </w:tc>
              <w:tc>
                <w:tcPr/>
                <w:p>
                  <w:pPr>
                    <w:pStyle w:val="Compact"/>
                    <w:jc w:val="right"/>
                    <w:jc w:val="center"/>
                  </w:pPr>
                  <w:r>
                    <w:t xml:space="preserve">0.72</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left"/>
                    <w:jc w:val="center"/>
                  </w:pPr>
                  <w:r>
                    <w:t xml:space="preserve">Area wSL, prescreen on ALL data (OPTIMISTIC)</w:t>
                  </w:r>
                </w:p>
              </w:tc>
              <w:tc>
                <w:tcPr/>
                <w:p>
                  <w:pPr>
                    <w:pStyle w:val="Compact"/>
                    <w:jc w:val="right"/>
                    <w:jc w:val="center"/>
                  </w:pPr>
                  <w:r>
                    <w:t xml:space="preserve">-0.01</w:t>
                  </w:r>
                </w:p>
              </w:tc>
              <w:tc>
                <w:tcPr/>
                <w:p>
                  <w:pPr>
                    <w:pStyle w:val="Compact"/>
                    <w:jc w:val="right"/>
                    <w:jc w:val="center"/>
                  </w:pPr>
                  <w:r>
                    <w:t xml:space="preserve">23.81</w:t>
                  </w:r>
                </w:p>
              </w:tc>
              <w:tc>
                <w:tcPr/>
                <w:p>
                  <w:pPr>
                    <w:pStyle w:val="Compact"/>
                    <w:jc w:val="right"/>
                    <w:jc w:val="center"/>
                  </w:pPr>
                  <w:r>
                    <w:t xml:space="preserve">-7.64</w:t>
                  </w:r>
                </w:p>
              </w:tc>
              <w:tc>
                <w:tcPr/>
                <w:p>
                  <w:pPr>
                    <w:pStyle w:val="Compact"/>
                    <w:jc w:val="right"/>
                    <w:jc w:val="center"/>
                  </w:pPr>
                  <w:r>
                    <w:t xml:space="preserve">0.72</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left"/>
                    <w:jc w:val="center"/>
                  </w:pPr>
                  <w:r>
                    <w:t xml:space="preserve">Area wSL, unweighted (OOF)</w:t>
                  </w:r>
                </w:p>
              </w:tc>
              <w:tc>
                <w:tcPr/>
                <w:p>
                  <w:pPr>
                    <w:pStyle w:val="Compact"/>
                    <w:jc w:val="right"/>
                    <w:jc w:val="center"/>
                  </w:pPr>
                  <w:r>
                    <w:t xml:space="preserve">-0.48</w:t>
                  </w:r>
                </w:p>
              </w:tc>
              <w:tc>
                <w:tcPr/>
                <w:p>
                  <w:pPr>
                    <w:pStyle w:val="Compact"/>
                    <w:jc w:val="right"/>
                    <w:jc w:val="center"/>
                  </w:pPr>
                  <w:r>
                    <w:t xml:space="preserve">24.46</w:t>
                  </w:r>
                </w:p>
              </w:tc>
              <w:tc>
                <w:tcPr/>
                <w:p>
                  <w:pPr>
                    <w:pStyle w:val="Compact"/>
                    <w:jc w:val="right"/>
                    <w:jc w:val="center"/>
                  </w:pPr>
                  <w:r>
                    <w:t xml:space="preserve">12.78</w:t>
                  </w:r>
                </w:p>
              </w:tc>
              <w:tc>
                <w:tcPr/>
                <w:p>
                  <w:pPr>
                    <w:pStyle w:val="Compact"/>
                    <w:jc w:val="right"/>
                    <w:jc w:val="center"/>
                  </w:pPr>
                  <w:r>
                    <w:t xml:space="preserve">0.72</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left"/>
                    <w:jc w:val="center"/>
                  </w:pPr>
                  <w:r>
                    <w:t xml:space="preserve">Individual SL</w:t>
                  </w:r>
                </w:p>
              </w:tc>
              <w:tc>
                <w:tcPr/>
                <w:p>
                  <w:pPr>
                    <w:pStyle w:val="Compact"/>
                    <w:jc w:val="right"/>
                    <w:jc w:val="center"/>
                  </w:pPr>
                  <w:r>
                    <w:t xml:space="preserve">-0.25</w:t>
                  </w:r>
                </w:p>
              </w:tc>
              <w:tc>
                <w:tcPr/>
                <w:p>
                  <w:pPr>
                    <w:pStyle w:val="Compact"/>
                    <w:jc w:val="right"/>
                    <w:jc w:val="center"/>
                  </w:pPr>
                  <w:r>
                    <w:t xml:space="preserve">23.00</w:t>
                  </w:r>
                </w:p>
              </w:tc>
              <w:tc>
                <w:tcPr/>
                <w:p>
                  <w:pPr>
                    <w:pStyle w:val="Compact"/>
                    <w:jc w:val="right"/>
                    <w:jc w:val="center"/>
                  </w:pPr>
                  <w:r>
                    <w:t xml:space="preserve">-2.13</w:t>
                  </w:r>
                </w:p>
              </w:tc>
              <w:tc>
                <w:tcPr/>
                <w:p>
                  <w:pPr>
                    <w:pStyle w:val="Compact"/>
                    <w:jc w:val="right"/>
                    <w:jc w:val="center"/>
                  </w:pPr>
                  <w:r>
                    <w:t xml:space="preserve">0.72</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22.69</w:t>
                  </w:r>
                </w:p>
              </w:tc>
              <w:tc>
                <w:tcPr/>
                <w:p>
                  <w:pPr>
                    <w:pStyle w:val="Compact"/>
                    <w:jc w:val="right"/>
                    <w:jc w:val="center"/>
                  </w:pPr>
                  <w:r>
                    <w:t xml:space="preserve">-1.98</w:t>
                  </w:r>
                </w:p>
              </w:tc>
              <w:tc>
                <w:tcPr/>
                <w:p>
                  <w:pPr>
                    <w:pStyle w:val="Compact"/>
                    <w:jc w:val="right"/>
                    <w:jc w:val="center"/>
                  </w:pPr>
                  <w:r>
                    <w:t xml:space="preserve">0.72</w:t>
                  </w:r>
                </w:p>
              </w:tc>
              <w:tc>
                <w:tcPr/>
                <w:p>
                  <w:pPr>
                    <w:pStyle w:val="Compact"/>
                    <w:jc w:val="left"/>
                    <w:jc w:val="center"/>
                  </w:pPr>
                  <w:r>
                    <w:t xml:space="preserve">TRUE</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left"/>
                    <w:jc w:val="center"/>
                  </w:pPr>
                  <w:r>
                    <w:t xml:space="preserve">Spatial only (no covariates)</w:t>
                  </w:r>
                </w:p>
              </w:tc>
              <w:tc>
                <w:tcPr/>
                <w:p>
                  <w:pPr>
                    <w:pStyle w:val="Compact"/>
                    <w:jc w:val="right"/>
                    <w:jc w:val="center"/>
                  </w:pPr>
                  <w:r>
                    <w:t xml:space="preserve">-0.35</w:t>
                  </w:r>
                </w:p>
              </w:tc>
              <w:tc>
                <w:tcPr/>
                <w:p>
                  <w:pPr>
                    <w:pStyle w:val="Compact"/>
                    <w:jc w:val="right"/>
                    <w:jc w:val="center"/>
                  </w:pPr>
                  <w:r>
                    <w:t xml:space="preserve">23.91</w:t>
                  </w:r>
                </w:p>
              </w:tc>
              <w:tc>
                <w:tcPr/>
                <w:p>
                  <w:pPr>
                    <w:pStyle w:val="Compact"/>
                    <w:jc w:val="right"/>
                    <w:jc w:val="center"/>
                  </w:pPr>
                  <w:r>
                    <w:t xml:space="preserve">6.81</w:t>
                  </w:r>
                </w:p>
              </w:tc>
              <w:tc>
                <w:tcPr/>
                <w:p>
                  <w:pPr>
                    <w:pStyle w:val="Compact"/>
                    <w:jc w:val="right"/>
                    <w:jc w:val="center"/>
                  </w:pPr>
                  <w:r>
                    <w:t xml:space="preserve">0.72</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left"/>
                    <w:jc w:val="center"/>
                  </w:pPr>
                  <w:r>
                    <w:t xml:space="preserve">Area SL (MSE)</w:t>
                  </w:r>
                </w:p>
              </w:tc>
              <w:tc>
                <w:tcPr/>
                <w:p>
                  <w:pPr>
                    <w:pStyle w:val="Compact"/>
                    <w:jc w:val="right"/>
                    <w:jc w:val="center"/>
                  </w:pPr>
                  <w:r>
                    <w:t xml:space="preserve">-0.44</w:t>
                  </w:r>
                </w:p>
              </w:tc>
              <w:tc>
                <w:tcPr/>
                <w:p>
                  <w:pPr>
                    <w:pStyle w:val="Compact"/>
                    <w:jc w:val="right"/>
                    <w:jc w:val="center"/>
                  </w:pPr>
                  <w:r>
                    <w:t xml:space="preserve">4.74</w:t>
                  </w:r>
                </w:p>
              </w:tc>
              <w:tc>
                <w:tcPr/>
                <w:p>
                  <w:pPr>
                    <w:pStyle w:val="Compact"/>
                    <w:jc w:val="right"/>
                    <w:jc w:val="center"/>
                  </w:pPr>
                  <w:r>
                    <w:t xml:space="preserve">0.41</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left"/>
                    <w:jc w:val="center"/>
                  </w:pPr>
                  <w:r>
                    <w:t xml:space="preserve">Area SL (NLL)</w:t>
                  </w:r>
                </w:p>
              </w:tc>
              <w:tc>
                <w:tcPr/>
                <w:p>
                  <w:pPr>
                    <w:pStyle w:val="Compact"/>
                    <w:jc w:val="right"/>
                    <w:jc w:val="center"/>
                  </w:pPr>
                  <w:r>
                    <w:t xml:space="preserve">-0.34</w:t>
                  </w:r>
                </w:p>
              </w:tc>
              <w:tc>
                <w:tcPr/>
                <w:p>
                  <w:pPr>
                    <w:pStyle w:val="Compact"/>
                    <w:jc w:val="right"/>
                    <w:jc w:val="center"/>
                  </w:pPr>
                  <w:r>
                    <w:t xml:space="preserve">4.51</w:t>
                  </w:r>
                </w:p>
              </w:tc>
              <w:tc>
                <w:tcPr/>
                <w:p>
                  <w:pPr>
                    <w:pStyle w:val="Compact"/>
                    <w:jc w:val="right"/>
                    <w:jc w:val="center"/>
                  </w:pPr>
                  <w:r>
                    <w:t xml:space="preserve">-1.56</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left"/>
                    <w:jc w:val="center"/>
                  </w:pPr>
                  <w:r>
                    <w:t xml:space="preserve">Area wSL, literature covariates (OOF)</w:t>
                  </w:r>
                </w:p>
              </w:tc>
              <w:tc>
                <w:tcPr/>
                <w:p>
                  <w:pPr>
                    <w:pStyle w:val="Compact"/>
                    <w:jc w:val="right"/>
                    <w:jc w:val="center"/>
                  </w:pPr>
                  <w:r>
                    <w:t xml:space="preserve">0.18</w:t>
                  </w:r>
                </w:p>
              </w:tc>
              <w:tc>
                <w:tcPr/>
                <w:p>
                  <w:pPr>
                    <w:pStyle w:val="Compact"/>
                    <w:jc w:val="right"/>
                    <w:jc w:val="center"/>
                  </w:pPr>
                  <w:r>
                    <w:t xml:space="preserve">4.20</w:t>
                  </w:r>
                </w:p>
              </w:tc>
              <w:tc>
                <w:tcPr/>
                <w:p>
                  <w:pPr>
                    <w:pStyle w:val="Compact"/>
                    <w:jc w:val="right"/>
                    <w:jc w:val="center"/>
                  </w:pPr>
                  <w:r>
                    <w:t xml:space="preserve">0.64</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left"/>
                    <w:jc w:val="center"/>
                  </w:pPr>
                  <w:r>
                    <w:t xml:space="preserve">Area wSL, precision-weighted (OOF)</w:t>
                  </w:r>
                </w:p>
              </w:tc>
              <w:tc>
                <w:tcPr/>
                <w:p>
                  <w:pPr>
                    <w:pStyle w:val="Compact"/>
                    <w:jc w:val="right"/>
                    <w:jc w:val="center"/>
                  </w:pPr>
                  <w:r>
                    <w:t xml:space="preserve">0.02</w:t>
                  </w:r>
                </w:p>
              </w:tc>
              <w:tc>
                <w:tcPr/>
                <w:p>
                  <w:pPr>
                    <w:pStyle w:val="Compact"/>
                    <w:jc w:val="right"/>
                    <w:jc w:val="center"/>
                  </w:pPr>
                  <w:r>
                    <w:t xml:space="preserve">4.58</w:t>
                  </w:r>
                </w:p>
              </w:tc>
              <w:tc>
                <w:tcPr/>
                <w:p>
                  <w:pPr>
                    <w:pStyle w:val="Compact"/>
                    <w:jc w:val="right"/>
                    <w:jc w:val="center"/>
                  </w:pPr>
                  <w:r>
                    <w:t xml:space="preserve">0.26</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left"/>
                    <w:jc w:val="center"/>
                  </w:pPr>
                  <w:r>
                    <w:t xml:space="preserve">Area wSL, prescreen in-fold (OOF)</w:t>
                  </w:r>
                </w:p>
              </w:tc>
              <w:tc>
                <w:tcPr/>
                <w:p>
                  <w:pPr>
                    <w:pStyle w:val="Compact"/>
                    <w:jc w:val="right"/>
                    <w:jc w:val="center"/>
                  </w:pPr>
                  <w:r>
                    <w:t xml:space="preserve">0.12</w:t>
                  </w:r>
                </w:p>
              </w:tc>
              <w:tc>
                <w:tcPr/>
                <w:p>
                  <w:pPr>
                    <w:pStyle w:val="Compact"/>
                    <w:jc w:val="right"/>
                    <w:jc w:val="center"/>
                  </w:pPr>
                  <w:r>
                    <w:t xml:space="preserve">5.46</w:t>
                  </w:r>
                </w:p>
              </w:tc>
              <w:tc>
                <w:tcPr/>
                <w:p>
                  <w:pPr>
                    <w:pStyle w:val="Compact"/>
                    <w:jc w:val="right"/>
                    <w:jc w:val="center"/>
                  </w:pPr>
                  <w:r>
                    <w:t xml:space="preserve">1.40</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left"/>
                    <w:jc w:val="center"/>
                  </w:pPr>
                  <w:r>
                    <w:t xml:space="preserve">Area wSL, prescreen on ALL data (OPTIMISTIC)</w:t>
                  </w:r>
                </w:p>
              </w:tc>
              <w:tc>
                <w:tcPr/>
                <w:p>
                  <w:pPr>
                    <w:pStyle w:val="Compact"/>
                    <w:jc w:val="right"/>
                    <w:jc w:val="center"/>
                  </w:pPr>
                  <w:r>
                    <w:t xml:space="preserve">0.50</w:t>
                  </w:r>
                </w:p>
              </w:tc>
              <w:tc>
                <w:tcPr/>
                <w:p>
                  <w:pPr>
                    <w:pStyle w:val="Compact"/>
                    <w:jc w:val="right"/>
                    <w:jc w:val="center"/>
                  </w:pPr>
                  <w:r>
                    <w:t xml:space="preserve">3.68</w:t>
                  </w:r>
                </w:p>
              </w:tc>
              <w:tc>
                <w:tcPr/>
                <w:p>
                  <w:pPr>
                    <w:pStyle w:val="Compact"/>
                    <w:jc w:val="right"/>
                    <w:jc w:val="center"/>
                  </w:pPr>
                  <w:r>
                    <w:t xml:space="preserve">0.83</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left"/>
                    <w:jc w:val="center"/>
                  </w:pPr>
                  <w:r>
                    <w:t xml:space="preserve">Area wSL, unweighted (OOF)</w:t>
                  </w:r>
                </w:p>
              </w:tc>
              <w:tc>
                <w:tcPr/>
                <w:p>
                  <w:pPr>
                    <w:pStyle w:val="Compact"/>
                    <w:jc w:val="right"/>
                    <w:jc w:val="center"/>
                  </w:pPr>
                  <w:r>
                    <w:t xml:space="preserve">-0.32</w:t>
                  </w:r>
                </w:p>
              </w:tc>
              <w:tc>
                <w:tcPr/>
                <w:p>
                  <w:pPr>
                    <w:pStyle w:val="Compact"/>
                    <w:jc w:val="right"/>
                    <w:jc w:val="center"/>
                  </w:pPr>
                  <w:r>
                    <w:t xml:space="preserve">4.46</w:t>
                  </w:r>
                </w:p>
              </w:tc>
              <w:tc>
                <w:tcPr/>
                <w:p>
                  <w:pPr>
                    <w:pStyle w:val="Compact"/>
                    <w:jc w:val="right"/>
                    <w:jc w:val="center"/>
                  </w:pPr>
                  <w:r>
                    <w:t xml:space="preserve">-1.38</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left"/>
                    <w:jc w:val="center"/>
                  </w:pPr>
                  <w:r>
                    <w:t xml:space="preserve">Individual SL</w:t>
                  </w:r>
                </w:p>
              </w:tc>
              <w:tc>
                <w:tcPr/>
                <w:p>
                  <w:pPr>
                    <w:pStyle w:val="Compact"/>
                    <w:jc w:val="right"/>
                    <w:jc w:val="center"/>
                  </w:pPr>
                  <w:r>
                    <w:t xml:space="preserve">0.63</w:t>
                  </w:r>
                </w:p>
              </w:tc>
              <w:tc>
                <w:tcPr/>
                <w:p>
                  <w:pPr>
                    <w:pStyle w:val="Compact"/>
                    <w:jc w:val="right"/>
                    <w:jc w:val="center"/>
                  </w:pPr>
                  <w:r>
                    <w:t xml:space="preserve">2.83</w:t>
                  </w:r>
                </w:p>
              </w:tc>
              <w:tc>
                <w:tcPr/>
                <w:p>
                  <w:pPr>
                    <w:pStyle w:val="Compact"/>
                    <w:jc w:val="right"/>
                    <w:jc w:val="center"/>
                  </w:pPr>
                  <w:r>
                    <w:t xml:space="preserve">-0.78</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left"/>
                    <w:jc w:val="center"/>
                  </w:pPr>
                  <w:r>
                    <w:t xml:space="preserve">MRP</w:t>
                  </w:r>
                </w:p>
              </w:tc>
              <w:tc>
                <w:tcPr/>
                <w:p>
                  <w:pPr>
                    <w:pStyle w:val="Compact"/>
                    <w:jc w:val="right"/>
                    <w:jc w:val="center"/>
                  </w:pPr>
                  <w:r>
                    <w:t xml:space="preserve">0.77</w:t>
                  </w:r>
                </w:p>
              </w:tc>
              <w:tc>
                <w:tcPr/>
                <w:p>
                  <w:pPr>
                    <w:pStyle w:val="Compact"/>
                    <w:jc w:val="right"/>
                    <w:jc w:val="center"/>
                  </w:pPr>
                  <w:r>
                    <w:t xml:space="preserve">2.37</w:t>
                  </w:r>
                </w:p>
              </w:tc>
              <w:tc>
                <w:tcPr/>
                <w:p>
                  <w:pPr>
                    <w:pStyle w:val="Compact"/>
                    <w:jc w:val="right"/>
                    <w:jc w:val="center"/>
                  </w:pPr>
                  <w:r>
                    <w:t xml:space="preserve">-0.14</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3.80</w:t>
                  </w:r>
                </w:p>
              </w:tc>
              <w:tc>
                <w:tcPr/>
                <w:p>
                  <w:pPr>
                    <w:pStyle w:val="Compact"/>
                    <w:jc w:val="right"/>
                    <w:jc w:val="center"/>
                  </w:pPr>
                  <w:r>
                    <w:t xml:space="preserve">-0.69</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left"/>
                    <w:jc w:val="center"/>
                  </w:pPr>
                  <w:r>
                    <w:t xml:space="preserve">Area SL (MSE)</w:t>
                  </w:r>
                </w:p>
              </w:tc>
              <w:tc>
                <w:tcPr/>
                <w:p>
                  <w:pPr>
                    <w:pStyle w:val="Compact"/>
                    <w:jc w:val="right"/>
                    <w:jc w:val="center"/>
                  </w:pPr>
                  <w:r>
                    <w:t xml:space="preserve">-0.48</w:t>
                  </w:r>
                </w:p>
              </w:tc>
              <w:tc>
                <w:tcPr/>
                <w:p>
                  <w:pPr>
                    <w:pStyle w:val="Compact"/>
                    <w:jc w:val="right"/>
                    <w:jc w:val="center"/>
                  </w:pPr>
                  <w:r>
                    <w:t xml:space="preserve">5.74</w:t>
                  </w:r>
                </w:p>
              </w:tc>
              <w:tc>
                <w:tcPr/>
                <w:p>
                  <w:pPr>
                    <w:pStyle w:val="Compact"/>
                    <w:jc w:val="right"/>
                    <w:jc w:val="center"/>
                  </w:pPr>
                  <w:r>
                    <w:t xml:space="preserve">-0.02</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left"/>
                    <w:jc w:val="center"/>
                  </w:pPr>
                  <w:r>
                    <w:t xml:space="preserve">Area SL (NLL)</w:t>
                  </w:r>
                </w:p>
              </w:tc>
              <w:tc>
                <w:tcPr/>
                <w:p>
                  <w:pPr>
                    <w:pStyle w:val="Compact"/>
                    <w:jc w:val="right"/>
                    <w:jc w:val="center"/>
                  </w:pPr>
                  <w:r>
                    <w:t xml:space="preserve">-0.37</w:t>
                  </w:r>
                </w:p>
              </w:tc>
              <w:tc>
                <w:tcPr/>
                <w:p>
                  <w:pPr>
                    <w:pStyle w:val="Compact"/>
                    <w:jc w:val="right"/>
                    <w:jc w:val="center"/>
                  </w:pPr>
                  <w:r>
                    <w:t xml:space="preserve">5.82</w:t>
                  </w:r>
                </w:p>
              </w:tc>
              <w:tc>
                <w:tcPr/>
                <w:p>
                  <w:pPr>
                    <w:pStyle w:val="Compact"/>
                    <w:jc w:val="right"/>
                    <w:jc w:val="center"/>
                  </w:pPr>
                  <w:r>
                    <w:t xml:space="preserve">-1.64</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left"/>
                    <w:jc w:val="center"/>
                  </w:pPr>
                  <w:r>
                    <w:t xml:space="preserve">Area wSL, literature covariates (OOF)</w:t>
                  </w:r>
                </w:p>
              </w:tc>
              <w:tc>
                <w:tcPr/>
                <w:p>
                  <w:pPr>
                    <w:pStyle w:val="Compact"/>
                    <w:jc w:val="right"/>
                    <w:jc w:val="center"/>
                  </w:pPr>
                  <w:r>
                    <w:t xml:space="preserve">-0.09</w:t>
                  </w:r>
                </w:p>
              </w:tc>
              <w:tc>
                <w:tcPr/>
                <w:p>
                  <w:pPr>
                    <w:pStyle w:val="Compact"/>
                    <w:jc w:val="right"/>
                    <w:jc w:val="center"/>
                  </w:pPr>
                  <w:r>
                    <w:t xml:space="preserve">4.89</w:t>
                  </w:r>
                </w:p>
              </w:tc>
              <w:tc>
                <w:tcPr/>
                <w:p>
                  <w:pPr>
                    <w:pStyle w:val="Compact"/>
                    <w:jc w:val="right"/>
                    <w:jc w:val="center"/>
                  </w:pPr>
                  <w:r>
                    <w:t xml:space="preserve">1.85</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left"/>
                    <w:jc w:val="center"/>
                  </w:pPr>
                  <w:r>
                    <w:t xml:space="preserve">Area wSL, precision-weighted (OOF)</w:t>
                  </w:r>
                </w:p>
              </w:tc>
              <w:tc>
                <w:tcPr/>
                <w:p>
                  <w:pPr>
                    <w:pStyle w:val="Compact"/>
                    <w:jc w:val="right"/>
                    <w:jc w:val="center"/>
                  </w:pPr>
                  <w:r>
                    <w:t xml:space="preserve">-0.08</w:t>
                  </w:r>
                </w:p>
              </w:tc>
              <w:tc>
                <w:tcPr/>
                <w:p>
                  <w:pPr>
                    <w:pStyle w:val="Compact"/>
                    <w:jc w:val="right"/>
                    <w:jc w:val="center"/>
                  </w:pPr>
                  <w:r>
                    <w:t xml:space="preserve">5.02</w:t>
                  </w:r>
                </w:p>
              </w:tc>
              <w:tc>
                <w:tcPr/>
                <w:p>
                  <w:pPr>
                    <w:pStyle w:val="Compact"/>
                    <w:jc w:val="right"/>
                    <w:jc w:val="center"/>
                  </w:pPr>
                  <w:r>
                    <w:t xml:space="preserve">2.22</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left"/>
                    <w:jc w:val="center"/>
                  </w:pPr>
                  <w:r>
                    <w:t xml:space="preserve">Area wSL, prescreen in-fold (OOF)</w:t>
                  </w:r>
                </w:p>
              </w:tc>
              <w:tc>
                <w:tcPr/>
                <w:p>
                  <w:pPr>
                    <w:pStyle w:val="Compact"/>
                    <w:jc w:val="right"/>
                    <w:jc w:val="center"/>
                  </w:pPr>
                  <w:r>
                    <w:t xml:space="preserve">0.10</w:t>
                  </w:r>
                </w:p>
              </w:tc>
              <w:tc>
                <w:tcPr/>
                <w:p>
                  <w:pPr>
                    <w:pStyle w:val="Compact"/>
                    <w:jc w:val="right"/>
                    <w:jc w:val="center"/>
                  </w:pPr>
                  <w:r>
                    <w:t xml:space="preserve">8.10</w:t>
                  </w:r>
                </w:p>
              </w:tc>
              <w:tc>
                <w:tcPr/>
                <w:p>
                  <w:pPr>
                    <w:pStyle w:val="Compact"/>
                    <w:jc w:val="right"/>
                    <w:jc w:val="center"/>
                  </w:pPr>
                  <w:r>
                    <w:t xml:space="preserve">5.20</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left"/>
                    <w:jc w:val="center"/>
                  </w:pPr>
                  <w:r>
                    <w:t xml:space="preserve">Area wSL, prescreen on ALL data (OPTIMISTIC)</w:t>
                  </w:r>
                </w:p>
              </w:tc>
              <w:tc>
                <w:tcPr/>
                <w:p>
                  <w:pPr>
                    <w:pStyle w:val="Compact"/>
                    <w:jc w:val="right"/>
                    <w:jc w:val="center"/>
                  </w:pPr>
                  <w:r>
                    <w:t xml:space="preserve">0.22</w:t>
                  </w:r>
                </w:p>
              </w:tc>
              <w:tc>
                <w:tcPr/>
                <w:p>
                  <w:pPr>
                    <w:pStyle w:val="Compact"/>
                    <w:jc w:val="right"/>
                    <w:jc w:val="center"/>
                  </w:pPr>
                  <w:r>
                    <w:t xml:space="preserve">7.39</w:t>
                  </w:r>
                </w:p>
              </w:tc>
              <w:tc>
                <w:tcPr/>
                <w:p>
                  <w:pPr>
                    <w:pStyle w:val="Compact"/>
                    <w:jc w:val="right"/>
                    <w:jc w:val="center"/>
                  </w:pPr>
                  <w:r>
                    <w:t xml:space="preserve">4.96</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left"/>
                    <w:jc w:val="center"/>
                  </w:pPr>
                  <w:r>
                    <w:t xml:space="preserve">Area wSL, unweighted (OOF)</w:t>
                  </w:r>
                </w:p>
              </w:tc>
              <w:tc>
                <w:tcPr/>
                <w:p>
                  <w:pPr>
                    <w:pStyle w:val="Compact"/>
                    <w:jc w:val="right"/>
                    <w:jc w:val="center"/>
                  </w:pPr>
                  <w:r>
                    <w:t xml:space="preserve">0.02</w:t>
                  </w:r>
                </w:p>
              </w:tc>
              <w:tc>
                <w:tcPr/>
                <w:p>
                  <w:pPr>
                    <w:pStyle w:val="Compact"/>
                    <w:jc w:val="right"/>
                    <w:jc w:val="center"/>
                  </w:pPr>
                  <w:r>
                    <w:t xml:space="preserve">4.85</w:t>
                  </w:r>
                </w:p>
              </w:tc>
              <w:tc>
                <w:tcPr/>
                <w:p>
                  <w:pPr>
                    <w:pStyle w:val="Compact"/>
                    <w:jc w:val="right"/>
                    <w:jc w:val="center"/>
                  </w:pPr>
                  <w:r>
                    <w:t xml:space="preserve">-1.51</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left"/>
                    <w:jc w:val="center"/>
                  </w:pPr>
                  <w:r>
                    <w:t xml:space="preserve">Individual SL</w:t>
                  </w:r>
                </w:p>
              </w:tc>
              <w:tc>
                <w:tcPr/>
                <w:p>
                  <w:pPr>
                    <w:pStyle w:val="Compact"/>
                    <w:jc w:val="right"/>
                    <w:jc w:val="center"/>
                  </w:pPr>
                  <w:r>
                    <w:t xml:space="preserve">0.62</w:t>
                  </w:r>
                </w:p>
              </w:tc>
              <w:tc>
                <w:tcPr/>
                <w:p>
                  <w:pPr>
                    <w:pStyle w:val="Compact"/>
                    <w:jc w:val="right"/>
                    <w:jc w:val="center"/>
                  </w:pPr>
                  <w:r>
                    <w:t xml:space="preserve">4.19</w:t>
                  </w:r>
                </w:p>
              </w:tc>
              <w:tc>
                <w:tcPr/>
                <w:p>
                  <w:pPr>
                    <w:pStyle w:val="Compact"/>
                    <w:jc w:val="right"/>
                    <w:jc w:val="center"/>
                  </w:pPr>
                  <w:r>
                    <w:t xml:space="preserve">2.28</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left"/>
                    <w:jc w:val="center"/>
                  </w:pPr>
                  <w:r>
                    <w:t xml:space="preserve">MRP</w:t>
                  </w:r>
                </w:p>
              </w:tc>
              <w:tc>
                <w:tcPr/>
                <w:p>
                  <w:pPr>
                    <w:pStyle w:val="Compact"/>
                    <w:jc w:val="right"/>
                    <w:jc w:val="center"/>
                  </w:pPr>
                  <w:r>
                    <w:t xml:space="preserve">0.64</w:t>
                  </w:r>
                </w:p>
              </w:tc>
              <w:tc>
                <w:tcPr/>
                <w:p>
                  <w:pPr>
                    <w:pStyle w:val="Compact"/>
                    <w:jc w:val="right"/>
                    <w:jc w:val="center"/>
                  </w:pPr>
                  <w:r>
                    <w:t xml:space="preserve">3.76</w:t>
                  </w:r>
                </w:p>
              </w:tc>
              <w:tc>
                <w:tcPr/>
                <w:p>
                  <w:pPr>
                    <w:pStyle w:val="Compact"/>
                    <w:jc w:val="right"/>
                    <w:jc w:val="center"/>
                  </w:pPr>
                  <w:r>
                    <w:t xml:space="preserve">1.09</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4.63</w:t>
                  </w:r>
                </w:p>
              </w:tc>
              <w:tc>
                <w:tcPr/>
                <w:p>
                  <w:pPr>
                    <w:pStyle w:val="Compact"/>
                    <w:jc w:val="right"/>
                    <w:jc w:val="center"/>
                  </w:pPr>
                  <w:r>
                    <w:t xml:space="preserve">0.97</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left"/>
                    <w:jc w:val="center"/>
                  </w:pPr>
                  <w:r>
                    <w:t xml:space="preserve">Area SL (MSE)</w:t>
                  </w:r>
                </w:p>
              </w:tc>
              <w:tc>
                <w:tcPr/>
                <w:p>
                  <w:pPr>
                    <w:pStyle w:val="Compact"/>
                    <w:jc w:val="right"/>
                    <w:jc w:val="center"/>
                  </w:pPr>
                  <w:r>
                    <w:t xml:space="preserve">NA</w:t>
                  </w:r>
                </w:p>
              </w:tc>
              <w:tc>
                <w:tcPr/>
                <w:p>
                  <w:pPr>
                    <w:pStyle w:val="Compact"/>
                    <w:jc w:val="right"/>
                    <w:jc w:val="center"/>
                  </w:pPr>
                  <w:r>
                    <w:t xml:space="preserve">0.74</w:t>
                  </w:r>
                </w:p>
              </w:tc>
              <w:tc>
                <w:tcPr/>
                <w:p>
                  <w:pPr>
                    <w:pStyle w:val="Compact"/>
                    <w:jc w:val="right"/>
                    <w:jc w:val="center"/>
                  </w:pPr>
                  <w:r>
                    <w:t xml:space="preserve">0.10</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left"/>
                    <w:jc w:val="center"/>
                  </w:pPr>
                  <w:r>
                    <w:t xml:space="preserve">Area SL (NLL)</w:t>
                  </w:r>
                </w:p>
              </w:tc>
              <w:tc>
                <w:tcPr/>
                <w:p>
                  <w:pPr>
                    <w:pStyle w:val="Compact"/>
                    <w:jc w:val="right"/>
                    <w:jc w:val="center"/>
                  </w:pPr>
                  <w:r>
                    <w:t xml:space="preserve">NA</w:t>
                  </w:r>
                </w:p>
              </w:tc>
              <w:tc>
                <w:tcPr/>
                <w:p>
                  <w:pPr>
                    <w:pStyle w:val="Compact"/>
                    <w:jc w:val="right"/>
                    <w:jc w:val="center"/>
                  </w:pPr>
                  <w:r>
                    <w:t xml:space="preserve">0.54</w:t>
                  </w:r>
                </w:p>
              </w:tc>
              <w:tc>
                <w:tcPr/>
                <w:p>
                  <w:pPr>
                    <w:pStyle w:val="Compact"/>
                    <w:jc w:val="right"/>
                    <w:jc w:val="center"/>
                  </w:pPr>
                  <w:r>
                    <w:t xml:space="preserve">-0.16</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left"/>
                    <w:jc w:val="center"/>
                  </w:pPr>
                  <w:r>
                    <w:t xml:space="preserve">Area wSL, literature covariates (OOF)</w:t>
                  </w:r>
                </w:p>
              </w:tc>
              <w:tc>
                <w:tcPr/>
                <w:p>
                  <w:pPr>
                    <w:pStyle w:val="Compact"/>
                    <w:jc w:val="right"/>
                    <w:jc w:val="center"/>
                  </w:pPr>
                  <w:r>
                    <w:t xml:space="preserve">NA</w:t>
                  </w:r>
                </w:p>
              </w:tc>
              <w:tc>
                <w:tcPr/>
                <w:p>
                  <w:pPr>
                    <w:pStyle w:val="Compact"/>
                    <w:jc w:val="right"/>
                    <w:jc w:val="center"/>
                  </w:pPr>
                  <w:r>
                    <w:t xml:space="preserve">3.48</w:t>
                  </w:r>
                </w:p>
              </w:tc>
              <w:tc>
                <w:tcPr/>
                <w:p>
                  <w:pPr>
                    <w:pStyle w:val="Compact"/>
                    <w:jc w:val="right"/>
                    <w:jc w:val="center"/>
                  </w:pPr>
                  <w:r>
                    <w:t xml:space="preserve">3.22</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left"/>
                    <w:jc w:val="center"/>
                  </w:pPr>
                  <w:r>
                    <w:t xml:space="preserve">Area wSL, precision-weighted (OOF)</w:t>
                  </w:r>
                </w:p>
              </w:tc>
              <w:tc>
                <w:tcPr/>
                <w:p>
                  <w:pPr>
                    <w:pStyle w:val="Compact"/>
                    <w:jc w:val="right"/>
                    <w:jc w:val="center"/>
                  </w:pPr>
                  <w:r>
                    <w:t xml:space="preserve">NA</w:t>
                  </w:r>
                </w:p>
              </w:tc>
              <w:tc>
                <w:tcPr/>
                <w:p>
                  <w:pPr>
                    <w:pStyle w:val="Compact"/>
                    <w:jc w:val="right"/>
                    <w:jc w:val="center"/>
                  </w:pPr>
                  <w:r>
                    <w:t xml:space="preserve">0.96</w:t>
                  </w:r>
                </w:p>
              </w:tc>
              <w:tc>
                <w:tcPr/>
                <w:p>
                  <w:pPr>
                    <w:pStyle w:val="Compact"/>
                    <w:jc w:val="right"/>
                    <w:jc w:val="center"/>
                  </w:pPr>
                  <w:r>
                    <w:t xml:space="preserve">0.73</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left"/>
                    <w:jc w:val="center"/>
                  </w:pPr>
                  <w:r>
                    <w:t xml:space="preserve">Area wSL, prescreen in-fold (OOF)</w:t>
                  </w:r>
                </w:p>
              </w:tc>
              <w:tc>
                <w:tcPr/>
                <w:p>
                  <w:pPr>
                    <w:pStyle w:val="Compact"/>
                    <w:jc w:val="right"/>
                    <w:jc w:val="center"/>
                  </w:pPr>
                  <w:r>
                    <w:t xml:space="preserve">NA</w:t>
                  </w:r>
                </w:p>
              </w:tc>
              <w:tc>
                <w:tcPr/>
                <w:p>
                  <w:pPr>
                    <w:pStyle w:val="Compact"/>
                    <w:jc w:val="right"/>
                    <w:jc w:val="center"/>
                  </w:pPr>
                  <w:r>
                    <w:t xml:space="preserve">5.83</w:t>
                  </w:r>
                </w:p>
              </w:tc>
              <w:tc>
                <w:tcPr/>
                <w:p>
                  <w:pPr>
                    <w:pStyle w:val="Compact"/>
                    <w:jc w:val="right"/>
                    <w:jc w:val="center"/>
                  </w:pPr>
                  <w:r>
                    <w:t xml:space="preserve">5.56</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left"/>
                    <w:jc w:val="center"/>
                  </w:pPr>
                  <w:r>
                    <w:t xml:space="preserve">Area wSL, prescreen on ALL data (OPTIMISTIC)</w:t>
                  </w:r>
                </w:p>
              </w:tc>
              <w:tc>
                <w:tcPr/>
                <w:p>
                  <w:pPr>
                    <w:pStyle w:val="Compact"/>
                    <w:jc w:val="right"/>
                    <w:jc w:val="center"/>
                  </w:pPr>
                  <w:r>
                    <w:t xml:space="preserve">NA</w:t>
                  </w:r>
                </w:p>
              </w:tc>
              <w:tc>
                <w:tcPr/>
                <w:p>
                  <w:pPr>
                    <w:pStyle w:val="Compact"/>
                    <w:jc w:val="right"/>
                    <w:jc w:val="center"/>
                  </w:pPr>
                  <w:r>
                    <w:t xml:space="preserve">1.08</w:t>
                  </w:r>
                </w:p>
              </w:tc>
              <w:tc>
                <w:tcPr/>
                <w:p>
                  <w:pPr>
                    <w:pStyle w:val="Compact"/>
                    <w:jc w:val="right"/>
                    <w:jc w:val="center"/>
                  </w:pPr>
                  <w:r>
                    <w:t xml:space="preserve">0.82</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left"/>
                    <w:jc w:val="center"/>
                  </w:pPr>
                  <w:r>
                    <w:t xml:space="preserve">Area wSL, unweighted (OOF)</w:t>
                  </w:r>
                </w:p>
              </w:tc>
              <w:tc>
                <w:tcPr/>
                <w:p>
                  <w:pPr>
                    <w:pStyle w:val="Compact"/>
                    <w:jc w:val="right"/>
                    <w:jc w:val="center"/>
                  </w:pPr>
                  <w:r>
                    <w:t xml:space="preserve">NA</w:t>
                  </w:r>
                </w:p>
              </w:tc>
              <w:tc>
                <w:tcPr/>
                <w:p>
                  <w:pPr>
                    <w:pStyle w:val="Compact"/>
                    <w:jc w:val="right"/>
                    <w:jc w:val="center"/>
                  </w:pPr>
                  <w:r>
                    <w:t xml:space="preserve">1.62</w:t>
                  </w:r>
                </w:p>
              </w:tc>
              <w:tc>
                <w:tcPr/>
                <w:p>
                  <w:pPr>
                    <w:pStyle w:val="Compact"/>
                    <w:jc w:val="right"/>
                    <w:jc w:val="center"/>
                  </w:pPr>
                  <w:r>
                    <w:t xml:space="preserve">1.33</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left"/>
                    <w:jc w:val="center"/>
                  </w:pPr>
                  <w:r>
                    <w:t xml:space="preserve">Individual SL</w:t>
                  </w:r>
                </w:p>
              </w:tc>
              <w:tc>
                <w:tcPr/>
                <w:p>
                  <w:pPr>
                    <w:pStyle w:val="Compact"/>
                    <w:jc w:val="right"/>
                    <w:jc w:val="center"/>
                  </w:pPr>
                  <w:r>
                    <w:t xml:space="preserve">NA</w:t>
                  </w:r>
                </w:p>
              </w:tc>
              <w:tc>
                <w:tcPr/>
                <w:p>
                  <w:pPr>
                    <w:pStyle w:val="Compact"/>
                    <w:jc w:val="right"/>
                    <w:jc w:val="center"/>
                  </w:pPr>
                  <w:r>
                    <w:t xml:space="preserve">0.67</w:t>
                  </w:r>
                </w:p>
              </w:tc>
              <w:tc>
                <w:tcPr/>
                <w:p>
                  <w:pPr>
                    <w:pStyle w:val="Compact"/>
                    <w:jc w:val="right"/>
                    <w:jc w:val="center"/>
                  </w:pPr>
                  <w:r>
                    <w:t xml:space="preserve">0.10</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left"/>
                    <w:jc w:val="center"/>
                  </w:pPr>
                  <w:r>
                    <w:t xml:space="preserve">MRP</w:t>
                  </w:r>
                </w:p>
              </w:tc>
              <w:tc>
                <w:tcPr/>
                <w:p>
                  <w:pPr>
                    <w:pStyle w:val="Compact"/>
                    <w:jc w:val="right"/>
                    <w:jc w:val="center"/>
                  </w:pPr>
                  <w:r>
                    <w:t xml:space="preserve">NA</w:t>
                  </w:r>
                </w:p>
              </w:tc>
              <w:tc>
                <w:tcPr/>
                <w:p>
                  <w:pPr>
                    <w:pStyle w:val="Compact"/>
                    <w:jc w:val="right"/>
                    <w:jc w:val="center"/>
                  </w:pPr>
                  <w:r>
                    <w:t xml:space="preserve">0.26</w:t>
                  </w:r>
                </w:p>
              </w:tc>
              <w:tc>
                <w:tcPr/>
                <w:p>
                  <w:pPr>
                    <w:pStyle w:val="Compact"/>
                    <w:jc w:val="right"/>
                    <w:jc w:val="center"/>
                  </w:pPr>
                  <w:r>
                    <w:t xml:space="preserve">0.00</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0.68</w:t>
                  </w:r>
                </w:p>
              </w:tc>
              <w:tc>
                <w:tcPr/>
                <w:p>
                  <w:pPr>
                    <w:pStyle w:val="Compact"/>
                    <w:jc w:val="right"/>
                    <w:jc w:val="center"/>
                  </w:pPr>
                  <w:r>
                    <w:t xml:space="preserve">0.19</w:t>
                  </w:r>
                </w:p>
              </w:tc>
              <w:tc>
                <w:tcPr/>
                <w:p>
                  <w:pPr>
                    <w:pStyle w:val="Compact"/>
                    <w:jc w:val="right"/>
                    <w:jc w:val="center"/>
                  </w:pPr>
                  <w:r>
                    <w:t xml:space="preserve">0.00</w:t>
                  </w:r>
                </w:p>
              </w:tc>
              <w:tc>
                <w:tcPr/>
                <w:p>
                  <w:pPr>
                    <w:pStyle w:val="Compact"/>
                    <w:jc w:val="left"/>
                    <w:jc w:val="center"/>
                  </w:pPr>
                  <w:r>
                    <w:t xml:space="preserve">FALSE</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left"/>
                    <w:jc w:val="center"/>
                  </w:pPr>
                  <w:r>
                    <w:t xml:space="preserve">Area SL (MSE)</w:t>
                  </w:r>
                </w:p>
              </w:tc>
              <w:tc>
                <w:tcPr/>
                <w:p>
                  <w:pPr>
                    <w:pStyle w:val="Compact"/>
                    <w:jc w:val="right"/>
                    <w:jc w:val="center"/>
                  </w:pPr>
                  <w:r>
                    <w:t xml:space="preserve">-0.18</w:t>
                  </w:r>
                </w:p>
              </w:tc>
              <w:tc>
                <w:tcPr/>
                <w:p>
                  <w:pPr>
                    <w:pStyle w:val="Compact"/>
                    <w:jc w:val="right"/>
                    <w:jc w:val="center"/>
                  </w:pPr>
                  <w:r>
                    <w:t xml:space="preserve">9.47</w:t>
                  </w:r>
                </w:p>
              </w:tc>
              <w:tc>
                <w:tcPr/>
                <w:p>
                  <w:pPr>
                    <w:pStyle w:val="Compact"/>
                    <w:jc w:val="right"/>
                    <w:jc w:val="center"/>
                  </w:pPr>
                  <w:r>
                    <w:t xml:space="preserve">-0.85</w:t>
                  </w:r>
                </w:p>
              </w:tc>
              <w:tc>
                <w:tcPr/>
                <w:p>
                  <w:pPr>
                    <w:pStyle w:val="Compact"/>
                    <w:jc w:val="right"/>
                    <w:jc w:val="center"/>
                  </w:pPr>
                  <w:r>
                    <w:t xml:space="preserve">0.77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left"/>
                    <w:jc w:val="center"/>
                  </w:pPr>
                  <w:r>
                    <w:t xml:space="preserve">Area SL (NLL)</w:t>
                  </w:r>
                </w:p>
              </w:tc>
              <w:tc>
                <w:tcPr/>
                <w:p>
                  <w:pPr>
                    <w:pStyle w:val="Compact"/>
                    <w:jc w:val="right"/>
                    <w:jc w:val="center"/>
                  </w:pPr>
                  <w:r>
                    <w:t xml:space="preserve">0.15</w:t>
                  </w:r>
                </w:p>
              </w:tc>
              <w:tc>
                <w:tcPr/>
                <w:p>
                  <w:pPr>
                    <w:pStyle w:val="Compact"/>
                    <w:jc w:val="right"/>
                    <w:jc w:val="center"/>
                  </w:pPr>
                  <w:r>
                    <w:t xml:space="preserve">9.75</w:t>
                  </w:r>
                </w:p>
              </w:tc>
              <w:tc>
                <w:tcPr/>
                <w:p>
                  <w:pPr>
                    <w:pStyle w:val="Compact"/>
                    <w:jc w:val="right"/>
                    <w:jc w:val="center"/>
                  </w:pPr>
                  <w:r>
                    <w:t xml:space="preserve">-0.79</w:t>
                  </w:r>
                </w:p>
              </w:tc>
              <w:tc>
                <w:tcPr/>
                <w:p>
                  <w:pPr>
                    <w:pStyle w:val="Compact"/>
                    <w:jc w:val="right"/>
                    <w:jc w:val="center"/>
                  </w:pPr>
                  <w:r>
                    <w:t xml:space="preserve">0.77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left"/>
                    <w:jc w:val="center"/>
                  </w:pPr>
                  <w:r>
                    <w:t xml:space="preserve">Area wSL, literature covariates (OOF)</w:t>
                  </w:r>
                </w:p>
              </w:tc>
              <w:tc>
                <w:tcPr/>
                <w:p>
                  <w:pPr>
                    <w:pStyle w:val="Compact"/>
                    <w:jc w:val="right"/>
                    <w:jc w:val="center"/>
                  </w:pPr>
                  <w:r>
                    <w:t xml:space="preserve">-0.39</w:t>
                  </w:r>
                </w:p>
              </w:tc>
              <w:tc>
                <w:tcPr/>
                <w:p>
                  <w:pPr>
                    <w:pStyle w:val="Compact"/>
                    <w:jc w:val="right"/>
                    <w:jc w:val="center"/>
                  </w:pPr>
                  <w:r>
                    <w:t xml:space="preserve">11.55</w:t>
                  </w:r>
                </w:p>
              </w:tc>
              <w:tc>
                <w:tcPr/>
                <w:p>
                  <w:pPr>
                    <w:pStyle w:val="Compact"/>
                    <w:jc w:val="right"/>
                    <w:jc w:val="center"/>
                  </w:pPr>
                  <w:r>
                    <w:t xml:space="preserve">-3.15</w:t>
                  </w:r>
                </w:p>
              </w:tc>
              <w:tc>
                <w:tcPr/>
                <w:p>
                  <w:pPr>
                    <w:pStyle w:val="Compact"/>
                    <w:jc w:val="right"/>
                    <w:jc w:val="center"/>
                  </w:pPr>
                  <w:r>
                    <w:t xml:space="preserve">0.77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left"/>
                    <w:jc w:val="center"/>
                  </w:pPr>
                  <w:r>
                    <w:t xml:space="preserve">Area wSL, precision-weighted (OOF)</w:t>
                  </w:r>
                </w:p>
              </w:tc>
              <w:tc>
                <w:tcPr/>
                <w:p>
                  <w:pPr>
                    <w:pStyle w:val="Compact"/>
                    <w:jc w:val="right"/>
                    <w:jc w:val="center"/>
                  </w:pPr>
                  <w:r>
                    <w:t xml:space="preserve">-0.52</w:t>
                  </w:r>
                </w:p>
              </w:tc>
              <w:tc>
                <w:tcPr/>
                <w:p>
                  <w:pPr>
                    <w:pStyle w:val="Compact"/>
                    <w:jc w:val="right"/>
                    <w:jc w:val="center"/>
                  </w:pPr>
                  <w:r>
                    <w:t xml:space="preserve">11.33</w:t>
                  </w:r>
                </w:p>
              </w:tc>
              <w:tc>
                <w:tcPr/>
                <w:p>
                  <w:pPr>
                    <w:pStyle w:val="Compact"/>
                    <w:jc w:val="right"/>
                    <w:jc w:val="center"/>
                  </w:pPr>
                  <w:r>
                    <w:t xml:space="preserve">-3.09</w:t>
                  </w:r>
                </w:p>
              </w:tc>
              <w:tc>
                <w:tcPr/>
                <w:p>
                  <w:pPr>
                    <w:pStyle w:val="Compact"/>
                    <w:jc w:val="right"/>
                    <w:jc w:val="center"/>
                  </w:pPr>
                  <w:r>
                    <w:t xml:space="preserve">0.77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left"/>
                    <w:jc w:val="center"/>
                  </w:pPr>
                  <w:r>
                    <w:t xml:space="preserve">Area wSL, prescreen in-fold (OOF)</w:t>
                  </w:r>
                </w:p>
              </w:tc>
              <w:tc>
                <w:tcPr/>
                <w:p>
                  <w:pPr>
                    <w:pStyle w:val="Compact"/>
                    <w:jc w:val="right"/>
                    <w:jc w:val="center"/>
                  </w:pPr>
                  <w:r>
                    <w:t xml:space="preserve">-0.47</w:t>
                  </w:r>
                </w:p>
              </w:tc>
              <w:tc>
                <w:tcPr/>
                <w:p>
                  <w:pPr>
                    <w:pStyle w:val="Compact"/>
                    <w:jc w:val="right"/>
                    <w:jc w:val="center"/>
                  </w:pPr>
                  <w:r>
                    <w:t xml:space="preserve">12.01</w:t>
                  </w:r>
                </w:p>
              </w:tc>
              <w:tc>
                <w:tcPr/>
                <w:p>
                  <w:pPr>
                    <w:pStyle w:val="Compact"/>
                    <w:jc w:val="right"/>
                    <w:jc w:val="center"/>
                  </w:pPr>
                  <w:r>
                    <w:t xml:space="preserve">1.19</w:t>
                  </w:r>
                </w:p>
              </w:tc>
              <w:tc>
                <w:tcPr/>
                <w:p>
                  <w:pPr>
                    <w:pStyle w:val="Compact"/>
                    <w:jc w:val="right"/>
                    <w:jc w:val="center"/>
                  </w:pPr>
                  <w:r>
                    <w:t xml:space="preserve">0.77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left"/>
                    <w:jc w:val="center"/>
                  </w:pPr>
                  <w:r>
                    <w:t xml:space="preserve">Area wSL, prescreen on ALL data (OPTIMISTIC)</w:t>
                  </w:r>
                </w:p>
              </w:tc>
              <w:tc>
                <w:tcPr/>
                <w:p>
                  <w:pPr>
                    <w:pStyle w:val="Compact"/>
                    <w:jc w:val="right"/>
                    <w:jc w:val="center"/>
                  </w:pPr>
                  <w:r>
                    <w:t xml:space="preserve">-0.06</w:t>
                  </w:r>
                </w:p>
              </w:tc>
              <w:tc>
                <w:tcPr/>
                <w:p>
                  <w:pPr>
                    <w:pStyle w:val="Compact"/>
                    <w:jc w:val="right"/>
                    <w:jc w:val="center"/>
                  </w:pPr>
                  <w:r>
                    <w:t xml:space="preserve">9.58</w:t>
                  </w:r>
                </w:p>
              </w:tc>
              <w:tc>
                <w:tcPr/>
                <w:p>
                  <w:pPr>
                    <w:pStyle w:val="Compact"/>
                    <w:jc w:val="right"/>
                    <w:jc w:val="center"/>
                  </w:pPr>
                  <w:r>
                    <w:t xml:space="preserve">-4.25</w:t>
                  </w:r>
                </w:p>
              </w:tc>
              <w:tc>
                <w:tcPr/>
                <w:p>
                  <w:pPr>
                    <w:pStyle w:val="Compact"/>
                    <w:jc w:val="right"/>
                    <w:jc w:val="center"/>
                  </w:pPr>
                  <w:r>
                    <w:t xml:space="preserve">0.77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left"/>
                    <w:jc w:val="center"/>
                  </w:pPr>
                  <w:r>
                    <w:t xml:space="preserve">Area wSL, unweighted (OOF)</w:t>
                  </w:r>
                </w:p>
              </w:tc>
              <w:tc>
                <w:tcPr/>
                <w:p>
                  <w:pPr>
                    <w:pStyle w:val="Compact"/>
                    <w:jc w:val="right"/>
                    <w:jc w:val="center"/>
                  </w:pPr>
                  <w:r>
                    <w:t xml:space="preserve">-0.47</w:t>
                  </w:r>
                </w:p>
              </w:tc>
              <w:tc>
                <w:tcPr/>
                <w:p>
                  <w:pPr>
                    <w:pStyle w:val="Compact"/>
                    <w:jc w:val="right"/>
                    <w:jc w:val="center"/>
                  </w:pPr>
                  <w:r>
                    <w:t xml:space="preserve">13.45</w:t>
                  </w:r>
                </w:p>
              </w:tc>
              <w:tc>
                <w:tcPr/>
                <w:p>
                  <w:pPr>
                    <w:pStyle w:val="Compact"/>
                    <w:jc w:val="right"/>
                    <w:jc w:val="center"/>
                  </w:pPr>
                  <w:r>
                    <w:t xml:space="preserve">1.82</w:t>
                  </w:r>
                </w:p>
              </w:tc>
              <w:tc>
                <w:tcPr/>
                <w:p>
                  <w:pPr>
                    <w:pStyle w:val="Compact"/>
                    <w:jc w:val="right"/>
                    <w:jc w:val="center"/>
                  </w:pPr>
                  <w:r>
                    <w:t xml:space="preserve">0.77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left"/>
                    <w:jc w:val="center"/>
                  </w:pPr>
                  <w:r>
                    <w:t xml:space="preserve">Individual SL</w:t>
                  </w:r>
                </w:p>
              </w:tc>
              <w:tc>
                <w:tcPr/>
                <w:p>
                  <w:pPr>
                    <w:pStyle w:val="Compact"/>
                    <w:jc w:val="right"/>
                    <w:jc w:val="center"/>
                  </w:pPr>
                  <w:r>
                    <w:t xml:space="preserve">0.90</w:t>
                  </w:r>
                </w:p>
              </w:tc>
              <w:tc>
                <w:tcPr/>
                <w:p>
                  <w:pPr>
                    <w:pStyle w:val="Compact"/>
                    <w:jc w:val="right"/>
                    <w:jc w:val="center"/>
                  </w:pPr>
                  <w:r>
                    <w:t xml:space="preserve">4.36</w:t>
                  </w:r>
                </w:p>
              </w:tc>
              <w:tc>
                <w:tcPr/>
                <w:p>
                  <w:pPr>
                    <w:pStyle w:val="Compact"/>
                    <w:jc w:val="right"/>
                    <w:jc w:val="center"/>
                  </w:pPr>
                  <w:r>
                    <w:t xml:space="preserve">-2.85</w:t>
                  </w:r>
                </w:p>
              </w:tc>
              <w:tc>
                <w:tcPr/>
                <w:p>
                  <w:pPr>
                    <w:pStyle w:val="Compact"/>
                    <w:jc w:val="right"/>
                    <w:jc w:val="center"/>
                  </w:pPr>
                  <w:r>
                    <w:t xml:space="preserve">0.77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left"/>
                    <w:jc w:val="center"/>
                  </w:pPr>
                  <w:r>
                    <w:t xml:space="preserve">MRP</w:t>
                  </w:r>
                </w:p>
              </w:tc>
              <w:tc>
                <w:tcPr/>
                <w:p>
                  <w:pPr>
                    <w:pStyle w:val="Compact"/>
                    <w:jc w:val="right"/>
                    <w:jc w:val="center"/>
                  </w:pPr>
                  <w:r>
                    <w:t xml:space="preserve">0.94</w:t>
                  </w:r>
                </w:p>
              </w:tc>
              <w:tc>
                <w:tcPr/>
                <w:p>
                  <w:pPr>
                    <w:pStyle w:val="Compact"/>
                    <w:jc w:val="right"/>
                    <w:jc w:val="center"/>
                  </w:pPr>
                  <w:r>
                    <w:t xml:space="preserve">2.85</w:t>
                  </w:r>
                </w:p>
              </w:tc>
              <w:tc>
                <w:tcPr/>
                <w:p>
                  <w:pPr>
                    <w:pStyle w:val="Compact"/>
                    <w:jc w:val="right"/>
                    <w:jc w:val="center"/>
                  </w:pPr>
                  <w:r>
                    <w:t xml:space="preserve">-0.62</w:t>
                  </w:r>
                </w:p>
              </w:tc>
              <w:tc>
                <w:tcPr/>
                <w:p>
                  <w:pPr>
                    <w:pStyle w:val="Compact"/>
                    <w:jc w:val="right"/>
                    <w:jc w:val="center"/>
                  </w:pPr>
                  <w:r>
                    <w:t xml:space="preserve">0.77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8.85</w:t>
                  </w:r>
                </w:p>
              </w:tc>
              <w:tc>
                <w:tcPr/>
                <w:p>
                  <w:pPr>
                    <w:pStyle w:val="Compact"/>
                    <w:jc w:val="right"/>
                    <w:jc w:val="center"/>
                  </w:pPr>
                  <w:r>
                    <w:t xml:space="preserve">-1.53</w:t>
                  </w:r>
                </w:p>
              </w:tc>
              <w:tc>
                <w:tcPr/>
                <w:p>
                  <w:pPr>
                    <w:pStyle w:val="Compact"/>
                    <w:jc w:val="right"/>
                    <w:jc w:val="center"/>
                  </w:pPr>
                  <w:r>
                    <w:t xml:space="preserve">0.77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left"/>
                    <w:jc w:val="center"/>
                  </w:pPr>
                  <w:r>
                    <w:t xml:space="preserve">Area SL (MSE)</w:t>
                  </w:r>
                </w:p>
              </w:tc>
              <w:tc>
                <w:tcPr/>
                <w:p>
                  <w:pPr>
                    <w:pStyle w:val="Compact"/>
                    <w:jc w:val="right"/>
                    <w:jc w:val="center"/>
                  </w:pPr>
                  <w:r>
                    <w:t xml:space="preserve">-0.38</w:t>
                  </w:r>
                </w:p>
              </w:tc>
              <w:tc>
                <w:tcPr/>
                <w:p>
                  <w:pPr>
                    <w:pStyle w:val="Compact"/>
                    <w:jc w:val="right"/>
                    <w:jc w:val="center"/>
                  </w:pPr>
                  <w:r>
                    <w:t xml:space="preserve">6.69</w:t>
                  </w:r>
                </w:p>
              </w:tc>
              <w:tc>
                <w:tcPr/>
                <w:p>
                  <w:pPr>
                    <w:pStyle w:val="Compact"/>
                    <w:jc w:val="right"/>
                    <w:jc w:val="center"/>
                  </w:pPr>
                  <w:r>
                    <w:t xml:space="preserve">-0.43</w:t>
                  </w:r>
                </w:p>
              </w:tc>
              <w:tc>
                <w:tcPr/>
                <w:p>
                  <w:pPr>
                    <w:pStyle w:val="Compact"/>
                    <w:jc w:val="right"/>
                    <w:jc w:val="center"/>
                  </w:pPr>
                  <w:r>
                    <w:t xml:space="preserve">0.17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left"/>
                    <w:jc w:val="center"/>
                  </w:pPr>
                  <w:r>
                    <w:t xml:space="preserve">Area SL (NLL)</w:t>
                  </w:r>
                </w:p>
              </w:tc>
              <w:tc>
                <w:tcPr/>
                <w:p>
                  <w:pPr>
                    <w:pStyle w:val="Compact"/>
                    <w:jc w:val="right"/>
                    <w:jc w:val="center"/>
                  </w:pPr>
                  <w:r>
                    <w:t xml:space="preserve">-0.35</w:t>
                  </w:r>
                </w:p>
              </w:tc>
              <w:tc>
                <w:tcPr/>
                <w:p>
                  <w:pPr>
                    <w:pStyle w:val="Compact"/>
                    <w:jc w:val="right"/>
                    <w:jc w:val="center"/>
                  </w:pPr>
                  <w:r>
                    <w:t xml:space="preserve">6.66</w:t>
                  </w:r>
                </w:p>
              </w:tc>
              <w:tc>
                <w:tcPr/>
                <w:p>
                  <w:pPr>
                    <w:pStyle w:val="Compact"/>
                    <w:jc w:val="right"/>
                    <w:jc w:val="center"/>
                  </w:pPr>
                  <w:r>
                    <w:t xml:space="preserve">-2.04</w:t>
                  </w:r>
                </w:p>
              </w:tc>
              <w:tc>
                <w:tcPr/>
                <w:p>
                  <w:pPr>
                    <w:pStyle w:val="Compact"/>
                    <w:jc w:val="right"/>
                    <w:jc w:val="center"/>
                  </w:pPr>
                  <w:r>
                    <w:t xml:space="preserve">0.17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left"/>
                    <w:jc w:val="center"/>
                  </w:pPr>
                  <w:r>
                    <w:t xml:space="preserve">Area wSL, literature covariates (OOF)</w:t>
                  </w:r>
                </w:p>
              </w:tc>
              <w:tc>
                <w:tcPr/>
                <w:p>
                  <w:pPr>
                    <w:pStyle w:val="Compact"/>
                    <w:jc w:val="right"/>
                    <w:jc w:val="center"/>
                  </w:pPr>
                  <w:r>
                    <w:t xml:space="preserve">0.06</w:t>
                  </w:r>
                </w:p>
              </w:tc>
              <w:tc>
                <w:tcPr/>
                <w:p>
                  <w:pPr>
                    <w:pStyle w:val="Compact"/>
                    <w:jc w:val="right"/>
                    <w:jc w:val="center"/>
                  </w:pPr>
                  <w:r>
                    <w:t xml:space="preserve">5.70</w:t>
                  </w:r>
                </w:p>
              </w:tc>
              <w:tc>
                <w:tcPr/>
                <w:p>
                  <w:pPr>
                    <w:pStyle w:val="Compact"/>
                    <w:jc w:val="right"/>
                    <w:jc w:val="center"/>
                  </w:pPr>
                  <w:r>
                    <w:t xml:space="preserve">0.52</w:t>
                  </w:r>
                </w:p>
              </w:tc>
              <w:tc>
                <w:tcPr/>
                <w:p>
                  <w:pPr>
                    <w:pStyle w:val="Compact"/>
                    <w:jc w:val="right"/>
                    <w:jc w:val="center"/>
                  </w:pPr>
                  <w:r>
                    <w:t xml:space="preserve">0.17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left"/>
                    <w:jc w:val="center"/>
                  </w:pPr>
                  <w:r>
                    <w:t xml:space="preserve">Area wSL, precision-weighted (OOF)</w:t>
                  </w:r>
                </w:p>
              </w:tc>
              <w:tc>
                <w:tcPr/>
                <w:p>
                  <w:pPr>
                    <w:pStyle w:val="Compact"/>
                    <w:jc w:val="right"/>
                    <w:jc w:val="center"/>
                  </w:pPr>
                  <w:r>
                    <w:t xml:space="preserve">-0.03</w:t>
                  </w:r>
                </w:p>
              </w:tc>
              <w:tc>
                <w:tcPr/>
                <w:p>
                  <w:pPr>
                    <w:pStyle w:val="Compact"/>
                    <w:jc w:val="right"/>
                    <w:jc w:val="center"/>
                  </w:pPr>
                  <w:r>
                    <w:t xml:space="preserve">5.46</w:t>
                  </w:r>
                </w:p>
              </w:tc>
              <w:tc>
                <w:tcPr/>
                <w:p>
                  <w:pPr>
                    <w:pStyle w:val="Compact"/>
                    <w:jc w:val="right"/>
                    <w:jc w:val="center"/>
                  </w:pPr>
                  <w:r>
                    <w:t xml:space="preserve">1.09</w:t>
                  </w:r>
                </w:p>
              </w:tc>
              <w:tc>
                <w:tcPr/>
                <w:p>
                  <w:pPr>
                    <w:pStyle w:val="Compact"/>
                    <w:jc w:val="right"/>
                    <w:jc w:val="center"/>
                  </w:pPr>
                  <w:r>
                    <w:t xml:space="preserve">0.17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left"/>
                    <w:jc w:val="center"/>
                  </w:pPr>
                  <w:r>
                    <w:t xml:space="preserve">Area wSL, prescreen in-fold (OOF)</w:t>
                  </w:r>
                </w:p>
              </w:tc>
              <w:tc>
                <w:tcPr/>
                <w:p>
                  <w:pPr>
                    <w:pStyle w:val="Compact"/>
                    <w:jc w:val="right"/>
                    <w:jc w:val="center"/>
                  </w:pPr>
                  <w:r>
                    <w:t xml:space="preserve">0.34</w:t>
                  </w:r>
                </w:p>
              </w:tc>
              <w:tc>
                <w:tcPr/>
                <w:p>
                  <w:pPr>
                    <w:pStyle w:val="Compact"/>
                    <w:jc w:val="right"/>
                    <w:jc w:val="center"/>
                  </w:pPr>
                  <w:r>
                    <w:t xml:space="preserve">5.52</w:t>
                  </w:r>
                </w:p>
              </w:tc>
              <w:tc>
                <w:tcPr/>
                <w:p>
                  <w:pPr>
                    <w:pStyle w:val="Compact"/>
                    <w:jc w:val="right"/>
                    <w:jc w:val="center"/>
                  </w:pPr>
                  <w:r>
                    <w:t xml:space="preserve">1.79</w:t>
                  </w:r>
                </w:p>
              </w:tc>
              <w:tc>
                <w:tcPr/>
                <w:p>
                  <w:pPr>
                    <w:pStyle w:val="Compact"/>
                    <w:jc w:val="right"/>
                    <w:jc w:val="center"/>
                  </w:pPr>
                  <w:r>
                    <w:t xml:space="preserve">0.17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left"/>
                    <w:jc w:val="center"/>
                  </w:pPr>
                  <w:r>
                    <w:t xml:space="preserve">Area wSL, prescreen on ALL data (OPTIMISTIC)</w:t>
                  </w:r>
                </w:p>
              </w:tc>
              <w:tc>
                <w:tcPr/>
                <w:p>
                  <w:pPr>
                    <w:pStyle w:val="Compact"/>
                    <w:jc w:val="right"/>
                    <w:jc w:val="center"/>
                  </w:pPr>
                  <w:r>
                    <w:t xml:space="preserve">0.65</w:t>
                  </w:r>
                </w:p>
              </w:tc>
              <w:tc>
                <w:tcPr/>
                <w:p>
                  <w:pPr>
                    <w:pStyle w:val="Compact"/>
                    <w:jc w:val="right"/>
                    <w:jc w:val="center"/>
                  </w:pPr>
                  <w:r>
                    <w:t xml:space="preserve">4.50</w:t>
                  </w:r>
                </w:p>
              </w:tc>
              <w:tc>
                <w:tcPr/>
                <w:p>
                  <w:pPr>
                    <w:pStyle w:val="Compact"/>
                    <w:jc w:val="right"/>
                    <w:jc w:val="center"/>
                  </w:pPr>
                  <w:r>
                    <w:t xml:space="preserve">0.66</w:t>
                  </w:r>
                </w:p>
              </w:tc>
              <w:tc>
                <w:tcPr/>
                <w:p>
                  <w:pPr>
                    <w:pStyle w:val="Compact"/>
                    <w:jc w:val="right"/>
                    <w:jc w:val="center"/>
                  </w:pPr>
                  <w:r>
                    <w:t xml:space="preserve">0.17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left"/>
                    <w:jc w:val="center"/>
                  </w:pPr>
                  <w:r>
                    <w:t xml:space="preserve">Area wSL, unweighted (OOF)</w:t>
                  </w:r>
                </w:p>
              </w:tc>
              <w:tc>
                <w:tcPr/>
                <w:p>
                  <w:pPr>
                    <w:pStyle w:val="Compact"/>
                    <w:jc w:val="right"/>
                    <w:jc w:val="center"/>
                  </w:pPr>
                  <w:r>
                    <w:t xml:space="preserve">0.02</w:t>
                  </w:r>
                </w:p>
              </w:tc>
              <w:tc>
                <w:tcPr/>
                <w:p>
                  <w:pPr>
                    <w:pStyle w:val="Compact"/>
                    <w:jc w:val="right"/>
                    <w:jc w:val="center"/>
                  </w:pPr>
                  <w:r>
                    <w:t xml:space="preserve">5.75</w:t>
                  </w:r>
                </w:p>
              </w:tc>
              <w:tc>
                <w:tcPr/>
                <w:p>
                  <w:pPr>
                    <w:pStyle w:val="Compact"/>
                    <w:jc w:val="right"/>
                    <w:jc w:val="center"/>
                  </w:pPr>
                  <w:r>
                    <w:t xml:space="preserve">-0.57</w:t>
                  </w:r>
                </w:p>
              </w:tc>
              <w:tc>
                <w:tcPr/>
                <w:p>
                  <w:pPr>
                    <w:pStyle w:val="Compact"/>
                    <w:jc w:val="right"/>
                    <w:jc w:val="center"/>
                  </w:pPr>
                  <w:r>
                    <w:t xml:space="preserve">0.17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left"/>
                    <w:jc w:val="center"/>
                  </w:pPr>
                  <w:r>
                    <w:t xml:space="preserve">Individual SL</w:t>
                  </w:r>
                </w:p>
              </w:tc>
              <w:tc>
                <w:tcPr/>
                <w:p>
                  <w:pPr>
                    <w:pStyle w:val="Compact"/>
                    <w:jc w:val="right"/>
                    <w:jc w:val="center"/>
                  </w:pPr>
                  <w:r>
                    <w:t xml:space="preserve">0.55</w:t>
                  </w:r>
                </w:p>
              </w:tc>
              <w:tc>
                <w:tcPr/>
                <w:p>
                  <w:pPr>
                    <w:pStyle w:val="Compact"/>
                    <w:jc w:val="right"/>
                    <w:jc w:val="center"/>
                  </w:pPr>
                  <w:r>
                    <w:t xml:space="preserve">8.47</w:t>
                  </w:r>
                </w:p>
              </w:tc>
              <w:tc>
                <w:tcPr/>
                <w:p>
                  <w:pPr>
                    <w:pStyle w:val="Compact"/>
                    <w:jc w:val="right"/>
                    <w:jc w:val="center"/>
                  </w:pPr>
                  <w:r>
                    <w:t xml:space="preserve">-8.18</w:t>
                  </w:r>
                </w:p>
              </w:tc>
              <w:tc>
                <w:tcPr/>
                <w:p>
                  <w:pPr>
                    <w:pStyle w:val="Compact"/>
                    <w:jc w:val="right"/>
                    <w:jc w:val="center"/>
                  </w:pPr>
                  <w:r>
                    <w:t xml:space="preserve">0.17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left"/>
                    <w:jc w:val="center"/>
                  </w:pPr>
                  <w:r>
                    <w:t xml:space="preserve">MRP</w:t>
                  </w:r>
                </w:p>
              </w:tc>
              <w:tc>
                <w:tcPr/>
                <w:p>
                  <w:pPr>
                    <w:pStyle w:val="Compact"/>
                    <w:jc w:val="right"/>
                    <w:jc w:val="center"/>
                  </w:pPr>
                  <w:r>
                    <w:t xml:space="preserve">0.77</w:t>
                  </w:r>
                </w:p>
              </w:tc>
              <w:tc>
                <w:tcPr/>
                <w:p>
                  <w:pPr>
                    <w:pStyle w:val="Compact"/>
                    <w:jc w:val="right"/>
                    <w:jc w:val="center"/>
                  </w:pPr>
                  <w:r>
                    <w:t xml:space="preserve">3.63</w:t>
                  </w:r>
                </w:p>
              </w:tc>
              <w:tc>
                <w:tcPr/>
                <w:p>
                  <w:pPr>
                    <w:pStyle w:val="Compact"/>
                    <w:jc w:val="right"/>
                    <w:jc w:val="center"/>
                  </w:pPr>
                  <w:r>
                    <w:t xml:space="preserve">0.28</w:t>
                  </w:r>
                </w:p>
              </w:tc>
              <w:tc>
                <w:tcPr/>
                <w:p>
                  <w:pPr>
                    <w:pStyle w:val="Compact"/>
                    <w:jc w:val="right"/>
                    <w:jc w:val="center"/>
                  </w:pPr>
                  <w:r>
                    <w:t xml:space="preserve">0.17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5.08</w:t>
                  </w:r>
                </w:p>
              </w:tc>
              <w:tc>
                <w:tcPr/>
                <w:p>
                  <w:pPr>
                    <w:pStyle w:val="Compact"/>
                    <w:jc w:val="right"/>
                    <w:jc w:val="center"/>
                  </w:pPr>
                  <w:r>
                    <w:t xml:space="preserve">0.47</w:t>
                  </w:r>
                </w:p>
              </w:tc>
              <w:tc>
                <w:tcPr/>
                <w:p>
                  <w:pPr>
                    <w:pStyle w:val="Compact"/>
                    <w:jc w:val="right"/>
                    <w:jc w:val="center"/>
                  </w:pPr>
                  <w:r>
                    <w:t xml:space="preserve">0.17</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left"/>
                    <w:jc w:val="center"/>
                  </w:pPr>
                  <w:r>
                    <w:t xml:space="preserve">Area SL (MSE)</w:t>
                  </w:r>
                </w:p>
              </w:tc>
              <w:tc>
                <w:tcPr/>
                <w:p>
                  <w:pPr>
                    <w:pStyle w:val="Compact"/>
                    <w:jc w:val="right"/>
                    <w:jc w:val="center"/>
                  </w:pPr>
                  <w:r>
                    <w:t xml:space="preserve">-0.43</w:t>
                  </w:r>
                </w:p>
              </w:tc>
              <w:tc>
                <w:tcPr/>
                <w:p>
                  <w:pPr>
                    <w:pStyle w:val="Compact"/>
                    <w:jc w:val="right"/>
                    <w:jc w:val="center"/>
                  </w:pPr>
                  <w:r>
                    <w:t xml:space="preserve">1.27</w:t>
                  </w:r>
                </w:p>
              </w:tc>
              <w:tc>
                <w:tcPr/>
                <w:p>
                  <w:pPr>
                    <w:pStyle w:val="Compact"/>
                    <w:jc w:val="right"/>
                    <w:jc w:val="center"/>
                  </w:pPr>
                  <w:r>
                    <w:t xml:space="preserve">0.05</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left"/>
                    <w:jc w:val="center"/>
                  </w:pPr>
                  <w:r>
                    <w:t xml:space="preserve">Area SL (NLL)</w:t>
                  </w:r>
                </w:p>
              </w:tc>
              <w:tc>
                <w:tcPr/>
                <w:p>
                  <w:pPr>
                    <w:pStyle w:val="Compact"/>
                    <w:jc w:val="right"/>
                    <w:jc w:val="center"/>
                  </w:pPr>
                  <w:r>
                    <w:t xml:space="preserve">-0.31</w:t>
                  </w:r>
                </w:p>
              </w:tc>
              <w:tc>
                <w:tcPr/>
                <w:p>
                  <w:pPr>
                    <w:pStyle w:val="Compact"/>
                    <w:jc w:val="right"/>
                    <w:jc w:val="center"/>
                  </w:pPr>
                  <w:r>
                    <w:t xml:space="preserve">1.32</w:t>
                  </w:r>
                </w:p>
              </w:tc>
              <w:tc>
                <w:tcPr/>
                <w:p>
                  <w:pPr>
                    <w:pStyle w:val="Compact"/>
                    <w:jc w:val="right"/>
                    <w:jc w:val="center"/>
                  </w:pPr>
                  <w:r>
                    <w:t xml:space="preserve">-0.65</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left"/>
                    <w:jc w:val="center"/>
                  </w:pPr>
                  <w:r>
                    <w:t xml:space="preserve">Area wSL, literature covariates (OOF)</w:t>
                  </w:r>
                </w:p>
              </w:tc>
              <w:tc>
                <w:tcPr/>
                <w:p>
                  <w:pPr>
                    <w:pStyle w:val="Compact"/>
                    <w:jc w:val="right"/>
                    <w:jc w:val="center"/>
                  </w:pPr>
                  <w:r>
                    <w:t xml:space="preserve">0.00</w:t>
                  </w:r>
                </w:p>
              </w:tc>
              <w:tc>
                <w:tcPr/>
                <w:p>
                  <w:pPr>
                    <w:pStyle w:val="Compact"/>
                    <w:jc w:val="right"/>
                    <w:jc w:val="center"/>
                  </w:pPr>
                  <w:r>
                    <w:t xml:space="preserve">1.77</w:t>
                  </w:r>
                </w:p>
              </w:tc>
              <w:tc>
                <w:tcPr/>
                <w:p>
                  <w:pPr>
                    <w:pStyle w:val="Compact"/>
                    <w:jc w:val="right"/>
                    <w:jc w:val="center"/>
                  </w:pPr>
                  <w:r>
                    <w:t xml:space="preserve">1.07</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left"/>
                    <w:jc w:val="center"/>
                  </w:pPr>
                  <w:r>
                    <w:t xml:space="preserve">Area wSL, precision-weighted (OOF)</w:t>
                  </w:r>
                </w:p>
              </w:tc>
              <w:tc>
                <w:tcPr/>
                <w:p>
                  <w:pPr>
                    <w:pStyle w:val="Compact"/>
                    <w:jc w:val="right"/>
                    <w:jc w:val="center"/>
                  </w:pPr>
                  <w:r>
                    <w:t xml:space="preserve">-0.26</w:t>
                  </w:r>
                </w:p>
              </w:tc>
              <w:tc>
                <w:tcPr/>
                <w:p>
                  <w:pPr>
                    <w:pStyle w:val="Compact"/>
                    <w:jc w:val="right"/>
                    <w:jc w:val="center"/>
                  </w:pPr>
                  <w:r>
                    <w:t xml:space="preserve">1.58</w:t>
                  </w:r>
                </w:p>
              </w:tc>
              <w:tc>
                <w:tcPr/>
                <w:p>
                  <w:pPr>
                    <w:pStyle w:val="Compact"/>
                    <w:jc w:val="right"/>
                    <w:jc w:val="center"/>
                  </w:pPr>
                  <w:r>
                    <w:t xml:space="preserve">0.80</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left"/>
                    <w:jc w:val="center"/>
                  </w:pPr>
                  <w:r>
                    <w:t xml:space="preserve">Area wSL, prescreen in-fold (OOF)</w:t>
                  </w:r>
                </w:p>
              </w:tc>
              <w:tc>
                <w:tcPr/>
                <w:p>
                  <w:pPr>
                    <w:pStyle w:val="Compact"/>
                    <w:jc w:val="right"/>
                    <w:jc w:val="center"/>
                  </w:pPr>
                  <w:r>
                    <w:t xml:space="preserve">0.00</w:t>
                  </w:r>
                </w:p>
              </w:tc>
              <w:tc>
                <w:tcPr/>
                <w:p>
                  <w:pPr>
                    <w:pStyle w:val="Compact"/>
                    <w:jc w:val="right"/>
                    <w:jc w:val="center"/>
                  </w:pPr>
                  <w:r>
                    <w:t xml:space="preserve">1.43</w:t>
                  </w:r>
                </w:p>
              </w:tc>
              <w:tc>
                <w:tcPr/>
                <w:p>
                  <w:pPr>
                    <w:pStyle w:val="Compact"/>
                    <w:jc w:val="right"/>
                    <w:jc w:val="center"/>
                  </w:pPr>
                  <w:r>
                    <w:t xml:space="preserve">0.38</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left"/>
                    <w:jc w:val="center"/>
                  </w:pPr>
                  <w:r>
                    <w:t xml:space="preserve">Area wSL, prescreen on ALL data (OPTIMISTIC)</w:t>
                  </w:r>
                </w:p>
              </w:tc>
              <w:tc>
                <w:tcPr/>
                <w:p>
                  <w:pPr>
                    <w:pStyle w:val="Compact"/>
                    <w:jc w:val="right"/>
                    <w:jc w:val="center"/>
                  </w:pPr>
                  <w:r>
                    <w:t xml:space="preserve">0.51</w:t>
                  </w:r>
                </w:p>
              </w:tc>
              <w:tc>
                <w:tcPr/>
                <w:p>
                  <w:pPr>
                    <w:pStyle w:val="Compact"/>
                    <w:jc w:val="right"/>
                    <w:jc w:val="center"/>
                  </w:pPr>
                  <w:r>
                    <w:t xml:space="preserve">1.32</w:t>
                  </w:r>
                </w:p>
              </w:tc>
              <w:tc>
                <w:tcPr/>
                <w:p>
                  <w:pPr>
                    <w:pStyle w:val="Compact"/>
                    <w:jc w:val="right"/>
                    <w:jc w:val="center"/>
                  </w:pPr>
                  <w:r>
                    <w:t xml:space="preserve">0.70</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left"/>
                    <w:jc w:val="center"/>
                  </w:pPr>
                  <w:r>
                    <w:t xml:space="preserve">Area wSL, unweighted (OOF)</w:t>
                  </w:r>
                </w:p>
              </w:tc>
              <w:tc>
                <w:tcPr/>
                <w:p>
                  <w:pPr>
                    <w:pStyle w:val="Compact"/>
                    <w:jc w:val="right"/>
                    <w:jc w:val="center"/>
                  </w:pPr>
                  <w:r>
                    <w:t xml:space="preserve">0.03</w:t>
                  </w:r>
                </w:p>
              </w:tc>
              <w:tc>
                <w:tcPr/>
                <w:p>
                  <w:pPr>
                    <w:pStyle w:val="Compact"/>
                    <w:jc w:val="right"/>
                    <w:jc w:val="center"/>
                  </w:pPr>
                  <w:r>
                    <w:t xml:space="preserve">1.21</w:t>
                  </w:r>
                </w:p>
              </w:tc>
              <w:tc>
                <w:tcPr/>
                <w:p>
                  <w:pPr>
                    <w:pStyle w:val="Compact"/>
                    <w:jc w:val="right"/>
                    <w:jc w:val="center"/>
                  </w:pPr>
                  <w:r>
                    <w:t xml:space="preserve">-0.23</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left"/>
                    <w:jc w:val="center"/>
                  </w:pPr>
                  <w:r>
                    <w:t xml:space="preserve">Individual SL</w:t>
                  </w:r>
                </w:p>
              </w:tc>
              <w:tc>
                <w:tcPr/>
                <w:p>
                  <w:pPr>
                    <w:pStyle w:val="Compact"/>
                    <w:jc w:val="right"/>
                    <w:jc w:val="center"/>
                  </w:pPr>
                  <w:r>
                    <w:t xml:space="preserve">0.68</w:t>
                  </w:r>
                </w:p>
              </w:tc>
              <w:tc>
                <w:tcPr/>
                <w:p>
                  <w:pPr>
                    <w:pStyle w:val="Compact"/>
                    <w:jc w:val="right"/>
                    <w:jc w:val="center"/>
                  </w:pPr>
                  <w:r>
                    <w:t xml:space="preserve">1.23</w:t>
                  </w:r>
                </w:p>
              </w:tc>
              <w:tc>
                <w:tcPr/>
                <w:p>
                  <w:pPr>
                    <w:pStyle w:val="Compact"/>
                    <w:jc w:val="right"/>
                    <w:jc w:val="center"/>
                  </w:pPr>
                  <w:r>
                    <w:t xml:space="preserve">0.52</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left"/>
                    <w:jc w:val="center"/>
                  </w:pPr>
                  <w:r>
                    <w:t xml:space="preserve">MRP</w:t>
                  </w:r>
                </w:p>
              </w:tc>
              <w:tc>
                <w:tcPr/>
                <w:p>
                  <w:pPr>
                    <w:pStyle w:val="Compact"/>
                    <w:jc w:val="right"/>
                    <w:jc w:val="center"/>
                  </w:pPr>
                  <w:r>
                    <w:t xml:space="preserve">0.93</w:t>
                  </w:r>
                </w:p>
              </w:tc>
              <w:tc>
                <w:tcPr/>
                <w:p>
                  <w:pPr>
                    <w:pStyle w:val="Compact"/>
                    <w:jc w:val="right"/>
                    <w:jc w:val="center"/>
                  </w:pPr>
                  <w:r>
                    <w:t xml:space="preserve">0.54</w:t>
                  </w:r>
                </w:p>
              </w:tc>
              <w:tc>
                <w:tcPr/>
                <w:p>
                  <w:pPr>
                    <w:pStyle w:val="Compact"/>
                    <w:jc w:val="right"/>
                    <w:jc w:val="center"/>
                  </w:pPr>
                  <w:r>
                    <w:t xml:space="preserve">0.37</w:t>
                  </w:r>
                </w:p>
              </w:tc>
              <w:tc>
                <w:tcPr/>
                <w:p>
                  <w:pPr>
                    <w:pStyle w:val="Compact"/>
                    <w:jc w:val="right"/>
                    <w:jc w:val="center"/>
                  </w:pPr>
                  <w:r>
                    <w:t xml:space="preserve">0.00</w:t>
                  </w:r>
                </w:p>
              </w:tc>
              <w:tc>
                <w:tcPr/>
                <w:p>
                  <w:pPr>
                    <w:pStyle w:val="Compact"/>
                    <w:jc w:val="left"/>
                    <w:jc w:val="center"/>
                  </w:pPr>
                  <w:r>
                    <w:t xml:space="preserve">TRUE</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left"/>
                    <w:jc w:val="center"/>
                  </w:pPr>
                  <w:r>
                    <w:t xml:space="preserve">National mean (null)</w:t>
                  </w:r>
                </w:p>
              </w:tc>
              <w:tc>
                <w:tcPr/>
                <w:p>
                  <w:pPr>
                    <w:pStyle w:val="Compact"/>
                    <w:jc w:val="right"/>
                    <w:jc w:val="center"/>
                  </w:pPr>
                  <w:r>
                    <w:t xml:space="preserve">NA</w:t>
                  </w:r>
                </w:p>
              </w:tc>
              <w:tc>
                <w:tcPr/>
                <w:p>
                  <w:pPr>
                    <w:pStyle w:val="Compact"/>
                    <w:jc w:val="right"/>
                    <w:jc w:val="center"/>
                  </w:pPr>
                  <w:r>
                    <w:t xml:space="preserve">1.26</w:t>
                  </w:r>
                </w:p>
              </w:tc>
              <w:tc>
                <w:tcPr/>
                <w:p>
                  <w:pPr>
                    <w:pStyle w:val="Compact"/>
                    <w:jc w:val="right"/>
                    <w:jc w:val="center"/>
                  </w:pPr>
                  <w:r>
                    <w:t xml:space="preserve">0.19</w:t>
                  </w:r>
                </w:p>
              </w:tc>
              <w:tc>
                <w:tcPr/>
                <w:p>
                  <w:pPr>
                    <w:pStyle w:val="Compact"/>
                    <w:jc w:val="right"/>
                    <w:jc w:val="center"/>
                  </w:pPr>
                  <w:r>
                    <w:t xml:space="preserve">0.00</w:t>
                  </w:r>
                </w:p>
              </w:tc>
              <w:tc>
                <w:tcPr/>
                <w:p>
                  <w:pPr>
                    <w:pStyle w:val="Compact"/>
                    <w:jc w:val="left"/>
                    <w:jc w:val="center"/>
                  </w:pPr>
                  <w:r>
                    <w:t xml:space="preserve">TRUE</w:t>
                  </w:r>
                </w:p>
              </w:tc>
            </w:tr>
          </w:tbl>
          <w:bookmarkEnd w:id="29"/>
          <w:p/>
        </w:tc>
      </w:tr>
    </w:tbl>
    <w:p>
      <w:pPr>
        <w:pStyle w:val="BodyText"/>
      </w:pPr>
      <w:r>
        <w:t xml:space="preserve">The aggregated individual-level SuperLearner nonetheless exhibited a</w:t>
      </w:r>
      <w:r>
        <w:t xml:space="preserve"> </w:t>
      </w:r>
      <w:r>
        <w:t xml:space="preserve">characteristic compression pattern: predictions correlated moderately with</w:t>
      </w:r>
      <w:r>
        <w:t xml:space="preserve"> </w:t>
      </w:r>
      <w:r>
        <w:t xml:space="preserve">admin-2 prevalence but were systematically pulled toward the country mean.</w:t>
      </w:r>
      <w:r>
        <w:t xml:space="preserve"> </w:t>
      </w:r>
      <w:r>
        <w:t xml:space="preserve">For high-prevalence outcomes this produced large negative biases (e.g.,</w:t>
      </w:r>
      <w:r>
        <w:t xml:space="preserve"> </w:t>
      </w:r>
      <w:r>
        <w:t xml:space="preserve">Gambia child-iron; women-iron). The mechanism is straightforward and</w:t>
      </w:r>
      <w:r>
        <w:t xml:space="preserve"> </w:t>
      </w:r>
      <w:r>
        <w:t xml:space="preserve">consistent with the small-area-estimation literature</w:t>
      </w:r>
      <w:r>
        <w:t xml:space="preserve"> </w:t>
      </w:r>
      <w:r>
        <w:t xml:space="preserve">(Mercer et al. 2015; Wakefield, Okonek, and Pedersen 2020)</w:t>
      </w:r>
      <w:r>
        <w:t xml:space="preserve">: a probabilistic individual-level classifier under</w:t>
      </w:r>
      <w:r>
        <w:t xml:space="preserve"> </w:t>
      </w:r>
      <w:r>
        <w:t xml:space="preserve">uncertainty shrinks toward the marginal class probability, and naive</w:t>
      </w:r>
      <w:r>
        <w:t xml:space="preserve"> </w:t>
      </w:r>
      <w:r>
        <w:t xml:space="preserve">aggregation propagates this shrinkage to area-level means.</w:t>
      </w:r>
    </w:p>
    <w:bookmarkEnd w:id="30"/>
    <w:bookmarkStart w:id="31" w:name="sec-ceiling"/>
    <w:p>
      <w:pPr>
        <w:pStyle w:val="Heading2"/>
      </w:pPr>
      <w:r>
        <w:t xml:space="preserve">3.3 A reliability ceiling for admin-2 prediction</w:t>
      </w:r>
    </w:p>
    <w:p>
      <w:pPr>
        <w:pStyle w:val="FirstParagraph"/>
      </w:pPr>
      <w:r>
        <w:t xml:space="preserve">The comparison above is bounded by how much of the observed between-district</w:t>
      </w:r>
      <w:r>
        <w:t xml:space="preserve"> </w:t>
      </w:r>
      <w:r>
        <w:t xml:space="preserve">variance is real signal rather than survey sampling noise. Estimating this</w:t>
      </w:r>
      <w:r>
        <w:t xml:space="preserve"> </w:t>
      </w:r>
      <w:r>
        <w:t xml:space="preserve">ceiling directly (Methods) gives a median</w:t>
      </w:r>
      <w:r>
        <w:t xml:space="preserve"> </w:t>
      </w:r>
      <m:oMath>
        <m:sSub>
          <m:e>
            <m:r>
              <m:t>r</m:t>
            </m:r>
          </m:e>
          <m:sub>
            <m:r>
              <m:rPr>
                <m:sty m:val="p"/>
              </m:rPr>
              <m:t>max</m:t>
            </m:r>
          </m:sub>
        </m:sSub>
      </m:oMath>
      <w:r>
        <w:t xml:space="preserve"> </w:t>
      </w:r>
      <w:r>
        <w:t xml:space="preserve">of</w:t>
      </w:r>
      <w:r>
        <w:t xml:space="preserve"> </w:t>
      </w:r>
      <w:r>
        <w:rPr>
          <w:b/>
          <w:bCs/>
        </w:rPr>
        <w:t xml:space="preserve">0.098</w:t>
      </w:r>
      <w:r>
        <w:t xml:space="preserve"> </w:t>
      </w:r>
      <w:r>
        <w:t xml:space="preserve">across the</w:t>
      </w:r>
      <w:r>
        <w:t xml:space="preserve"> </w:t>
      </w:r>
      <w:r>
        <w:t xml:space="preserve">24 country–outcome cells (range 0–0.773), and</w:t>
      </w:r>
      <w:r>
        <w:t xml:space="preserve"> </w:t>
      </w:r>
      <w:r>
        <w:rPr>
          <w:b/>
          <w:bCs/>
        </w:rPr>
        <w:t xml:space="preserve">4 of 24</w:t>
      </w:r>
      <w:r>
        <w:t xml:space="preserve"> </w:t>
      </w:r>
      <w:r>
        <w:t xml:space="preserve">cells have no</w:t>
      </w:r>
      <w:r>
        <w:t xml:space="preserve"> </w:t>
      </w:r>
      <w:r>
        <w:t xml:space="preserve">detectable signal above sampling noise at all (</w:t>
      </w:r>
      <m:oMath>
        <m:r>
          <m:t>λ</m:t>
        </m:r>
        <m:r>
          <m:rPr>
            <m:sty m:val="p"/>
          </m:rPr>
          <m:t>≤</m:t>
        </m:r>
        <m:r>
          <m:t>0</m:t>
        </m:r>
      </m:oMath>
      <w:r>
        <w:t xml:space="preserve">) — these are</w:t>
      </w:r>
      <w:r>
        <w:t xml:space="preserve"> </w:t>
      </w:r>
      <w:r>
        <w:t xml:space="preserve">outcomes for which no model, however well specified, could do better than</w:t>
      </w:r>
      <w:r>
        <w:t xml:space="preserve"> </w:t>
      </w:r>
      <w:r>
        <w:t xml:space="preserve">chance at admin-2. Against this ceiling, the median per-cell ratio of</w:t>
      </w:r>
      <w:r>
        <w:t xml:space="preserve"> </w:t>
      </w:r>
      <w:r>
        <w:t xml:space="preserve">individual-level SuperLearner r to that cell’s own r_max (r_share) is</w:t>
      </w:r>
      <w:r>
        <w:t xml:space="preserve"> </w:t>
      </w:r>
      <w:r>
        <w:rPr>
          <w:b/>
          <w:bCs/>
        </w:rPr>
        <w:t xml:space="preserve">0.92</w:t>
      </w:r>
      <w:r>
        <w:t xml:space="preserve">; the gap between the median achieved correlation and a theoretical</w:t>
      </w:r>
      <w:r>
        <w:t xml:space="preserve"> </w:t>
      </w:r>
      <w:r>
        <w:t xml:space="preserve">r of 1.0 is therefore mostly sampling noise in the target, not unexploited</w:t>
      </w:r>
      <w:r>
        <w:t xml:space="preserve"> </w:t>
      </w:r>
      <w:r>
        <w:t xml:space="preserve">model headroom. Fully</w:t>
      </w:r>
      <w:r>
        <w:t xml:space="preserve"> </w:t>
      </w:r>
      <w:r>
        <w:rPr>
          <w:b/>
          <w:bCs/>
        </w:rPr>
        <w:t xml:space="preserve">12 of 24</w:t>
      </w:r>
      <w:r>
        <w:t xml:space="preserve"> </w:t>
      </w:r>
      <w:r>
        <w:t xml:space="preserve">cells show r ≥ r_max — not superhuman</w:t>
      </w:r>
      <w:r>
        <w:t xml:space="preserve"> </w:t>
      </w:r>
      <w:r>
        <w:t xml:space="preserve">performance, but a sign that r_max is itself estimated with substantial</w:t>
      </w:r>
      <w:r>
        <w:t xml:space="preserve"> </w:t>
      </w:r>
      <w:r>
        <w:t xml:space="preserve">uncertainty at this sample size (as few as 14 areal units per country) and</w:t>
      </w:r>
      <w:r>
        <w:t xml:space="preserve"> </w:t>
      </w:r>
      <w:r>
        <w:t xml:space="preserve">should be read as an interval, not a point value; we use it to flag cells</w:t>
      </w:r>
      <w:r>
        <w:t xml:space="preserve"> </w:t>
      </w:r>
      <w:r>
        <w:t xml:space="preserve">whose ceiling is poorly determined rather than to rescale reported</w:t>
      </w:r>
      <w:r>
        <w:t xml:space="preserve"> </w:t>
      </w:r>
      <w:r>
        <w:t xml:space="preserve">correlations. We report r_max alongside every</w:t>
      </w:r>
      <w:r>
        <w:t xml:space="preserve"> </w:t>
      </w:r>
      <w:r>
        <w:t xml:space="preserve">admin-2 correlation in</w:t>
      </w:r>
      <w:r>
        <w:t xml:space="preserve"> </w:t>
      </w:r>
      <w:hyperlink w:anchor="tbl-area-comparison">
        <w:r>
          <w:rPr>
            <w:rStyle w:val="Hyperlink"/>
          </w:rPr>
          <w:t xml:space="preserve">Table 2</w:t>
        </w:r>
      </w:hyperlink>
      <w:r>
        <w:t xml:space="preserve"> </w:t>
      </w:r>
      <w:r>
        <w:t xml:space="preserve">so that a cell with weak apparent</w:t>
      </w:r>
      <w:r>
        <w:t xml:space="preserve"> </w:t>
      </w:r>
      <w:r>
        <w:t xml:space="preserve">performance can be distinguished from a cell with weak</w:t>
      </w:r>
      <w:r>
        <w:t xml:space="preserve"> </w:t>
      </w:r>
      <w:r>
        <w:rPr>
          <w:i/>
          <w:iCs/>
        </w:rPr>
        <w:t xml:space="preserve">achievable</w:t>
      </w:r>
      <w:r>
        <w:t xml:space="preserve"> </w:t>
      </w:r>
      <w:r>
        <w:t xml:space="preserve">performance.</w:t>
      </w:r>
    </w:p>
    <w:bookmarkEnd w:id="31"/>
    <w:bookmarkStart w:id="33" w:name="sec-recipe-audit"/>
    <w:p>
      <w:pPr>
        <w:pStyle w:val="Heading2"/>
      </w:pPr>
      <w:r>
        <w:t xml:space="preserve">3.4 The area-level prevalence recipe</w:t>
      </w:r>
    </w:p>
    <w:p>
      <w:pPr>
        <w:pStyle w:val="FirstParagraph"/>
      </w:pPr>
      <w:r>
        <w:t xml:space="preserve">We separately explored whether modelling admin-2 prevalence directly, with an</w:t>
      </w:r>
      <w:r>
        <w:t xml:space="preserve"> </w:t>
      </w:r>
      <w:r>
        <w:t xml:space="preserve">estimator matched to the area-level p ≫ n regime, could recover a stronger</w:t>
      </w:r>
      <w:r>
        <w:t xml:space="preserve"> </w:t>
      </w:r>
      <w:r>
        <w:t xml:space="preserve">within-country estimator than the unregularised area-level SuperLearner</w:t>
      </w:r>
      <w:r>
        <w:t xml:space="preserve"> </w:t>
      </w:r>
      <w:r>
        <w:t xml:space="preserve">above. Under its own district- and region-block cross-validation</w:t>
      </w:r>
      <w:r>
        <w:t xml:space="preserve"> </w:t>
      </w:r>
      <w:r>
        <w:t xml:space="preserve">(</w:t>
      </w:r>
      <w:hyperlink w:anchor="tbl-area-recipe">
        <w:r>
          <w:rPr>
            <w:rStyle w:val="Hyperlink"/>
          </w:rPr>
          <w:t xml:space="preserve">Table 3</w:t>
        </w:r>
      </w:hyperlink>
      <w:r>
        <w:t xml:space="preserve">), the recipe reached point estimates comparable to or above</w:t>
      </w:r>
      <w:r>
        <w:t xml:space="preserve"> </w:t>
      </w:r>
      <w:r>
        <w:t xml:space="preserve">the individual-level aggregate for several cells. A subsequent audit of this</w:t>
      </w:r>
      <w:r>
        <w:t xml:space="preserve"> </w:t>
      </w:r>
      <w:r>
        <w:t xml:space="preserve">analysis, however, found that its central comparative claims do not survive</w:t>
      </w:r>
      <w:r>
        <w:t xml:space="preserve"> </w:t>
      </w:r>
      <w:r>
        <w:t xml:space="preserve">correction: the recipe’s covariate pre-filter was originally derived once on</w:t>
      </w:r>
      <w:r>
        <w:t xml:space="preserve"> </w:t>
      </w:r>
      <w:r>
        <w:t xml:space="preserve">the full dataset before cross-validation, and re-deriving it honestly inside</w:t>
      </w:r>
      <w:r>
        <w:t xml:space="preserve"> </w:t>
      </w:r>
      <w:r>
        <w:t xml:space="preserve">each resampling fold reduced its apparent Spearman correlation by 0.16</w:t>
      </w:r>
      <w:r>
        <w:t xml:space="preserve"> </w:t>
      </w:r>
      <w:r>
        <w:t xml:space="preserve">(admin-2) to 0.30 (admin-1); and its best-performing cross-country comparator</w:t>
      </w:r>
      <w:r>
        <w:t xml:space="preserve"> </w:t>
      </w:r>
      <w:r>
        <w:t xml:space="preserve">(a spatial-plus-soil model reported in</w:t>
      </w:r>
      <w:r>
        <w:t xml:space="preserve"> </w:t>
      </w:r>
      <w:hyperlink w:anchor="tbl-benchmarks">
        <w:r>
          <w:rPr>
            <w:rStyle w:val="Hyperlink"/>
          </w:rPr>
          <w:t xml:space="preserve">Table 6</w:t>
        </w:r>
      </w:hyperlink>
      <w:r>
        <w:t xml:space="preserve">) had been selected</w:t>
      </w:r>
      <w:r>
        <w:t xml:space="preserve"> </w:t>
      </w:r>
      <w:r>
        <w:t xml:space="preserve">using LOCO correlations computed on the same held-out countries it was then</w:t>
      </w:r>
      <w:r>
        <w:t xml:space="preserve"> </w:t>
      </w:r>
      <w:r>
        <w:t xml:space="preserve">evaluated against, and drops from a correlation of 0.305 to 0.117 once</w:t>
      </w:r>
      <w:r>
        <w:t xml:space="preserve"> </w:t>
      </w:r>
      <w:r>
        <w:t xml:space="preserve">selection and evaluation are separated. We report the recipe’s original</w:t>
      </w:r>
      <w:r>
        <w:t xml:space="preserve"> </w:t>
      </w:r>
      <w:r>
        <w:t xml:space="preserve">point estimates below for completeness and because several within-country</w:t>
      </w:r>
      <w:r>
        <w:t xml:space="preserve"> </w:t>
      </w:r>
      <w:r>
        <w:t xml:space="preserve">cells remain plausible even under the corrected, more conservative reading,</w:t>
      </w:r>
      <w:r>
        <w:t xml:space="preserve"> </w:t>
      </w:r>
      <w:r>
        <w:t xml:space="preserve">but we do</w:t>
      </w:r>
      <w:r>
        <w:t xml:space="preserve"> </w:t>
      </w:r>
      <w:r>
        <w:rPr>
          <w:b/>
          <w:bCs/>
        </w:rPr>
        <w:t xml:space="preserve">not</w:t>
      </w:r>
      <w:r>
        <w:t xml:space="preserve"> </w:t>
      </w:r>
      <w:r>
        <w:t xml:space="preserve">treat this recipe as the primary within-country estimator;</w:t>
      </w:r>
      <w:r>
        <w:t xml:space="preserve"> </w:t>
      </w:r>
      <w:r>
        <w:t xml:space="preserve">that role is filled by the individual-level aggregate above, benchmarked</w:t>
      </w:r>
      <w:r>
        <w:t xml:space="preserve"> </w:t>
      </w:r>
      <w:r>
        <w:t xml:space="preserve">against the national-mean null and the reliability ceiling. Under district-block</w:t>
      </w:r>
      <w:r>
        <w:t xml:space="preserve"> </w:t>
      </w:r>
      <w:r>
        <w:t xml:space="preserve">cross-validation the recipe reached Pearson r = 0.64 for child iron and 0.56 for</w:t>
      </w:r>
      <w:r>
        <w:t xml:space="preserve"> </w:t>
      </w:r>
      <w:r>
        <w:t xml:space="preserve">women’s vitamin B12 in Ghana, 0.60 for women’s iron in Gambia, with</w:t>
      </w:r>
      <w:r>
        <w:t xml:space="preserve"> </w:t>
      </w:r>
      <w:r>
        <w:t xml:space="preserve">permutation-null</w:t>
      </w:r>
      <w:r>
        <w:t xml:space="preserve"> </w:t>
      </w:r>
      <w:r>
        <w:rPr>
          <w:i/>
          <w:iCs/>
        </w:rPr>
        <w:t xml:space="preserve">p</w:t>
      </w:r>
      <w:r>
        <w:t xml:space="preserve"> </w:t>
      </w:r>
      <w:r>
        <w:t xml:space="preserve">&lt; 0.05 for iron and several women’s micronutrients in</w:t>
      </w:r>
      <w:r>
        <w:t xml:space="preserve"> </w:t>
      </w:r>
      <w:r>
        <w:t xml:space="preserve">Gambia and Ghana; under the more demanding region-block scheme the same cells</w:t>
      </w:r>
      <w:r>
        <w:t xml:space="preserve"> </w:t>
      </w:r>
      <w:r>
        <w:t xml:space="preserve">retained r = 0.20–0.55. The binomial count loss left district ranking</w:t>
      </w:r>
      <w:r>
        <w:t xml:space="preserve"> </w:t>
      </w:r>
      <w:r>
        <w:t xml:space="preserve">essentially unchanged relative to a Gaussian logit fit but markedly improved</w:t>
      </w:r>
      <w:r>
        <w:t xml:space="preserve"> </w:t>
      </w:r>
      <w:r>
        <w:t xml:space="preserve">calibration (slopes 0.5–1.1, versus systematic over-shrinkage under the Gaussian</w:t>
      </w:r>
      <w:r>
        <w:t xml:space="preserve"> </w:t>
      </w:r>
      <w:r>
        <w:t xml:space="preserve">loss). Enriching the earth-observation covariates with Malaria Atlas Project and</w:t>
      </w:r>
      <w:r>
        <w:t xml:space="preserve"> </w:t>
      </w:r>
      <w:r>
        <w:t xml:space="preserve">IHME anaemia/stunting layers recovered signal in the highest-malaria setting:</w:t>
      </w:r>
      <w:r>
        <w:t xml:space="preserve"> </w:t>
      </w:r>
      <w:r>
        <w:t xml:space="preserve">Malawi child-iron rose from null with soil/climate features alone to r = 0.20</w:t>
      </w:r>
      <w:r>
        <w:t xml:space="preserve"> </w:t>
      </w:r>
      <w:r>
        <w:t xml:space="preserve">(district,</w:t>
      </w:r>
      <w:r>
        <w:t xml:space="preserve"> </w:t>
      </w:r>
      <w:r>
        <w:rPr>
          <w:i/>
          <w:iCs/>
        </w:rPr>
        <w:t xml:space="preserve">p</w:t>
      </w:r>
      <w:r>
        <w:t xml:space="preserve"> </w:t>
      </w:r>
      <w:r>
        <w:t xml:space="preserve">= 0.03). The two opt-in variants behaved as designed — the</w:t>
      </w:r>
      <w:r>
        <w:t xml:space="preserve"> </w:t>
      </w:r>
      <w:r>
        <w:t xml:space="preserve">distributional estimator improved vitamin A (Gambia child vitamin A r 0.18 →</w:t>
      </w:r>
      <w:r>
        <w:t xml:space="preserve"> </w:t>
      </w:r>
      <w:r>
        <w:t xml:space="preserve">0.46; Gambia women vitamin A r 0.42), while domain-wise late-fusion stacking</w:t>
      </w:r>
      <w:r>
        <w:t xml:space="preserve"> </w:t>
      </w:r>
      <w:r>
        <w:t xml:space="preserve">helped distributed-signal outcomes (Gambia women iron r 0.65) but collapsed the</w:t>
      </w:r>
      <w:r>
        <w:t xml:space="preserve"> </w:t>
      </w:r>
      <w:r>
        <w:t xml:space="preserve">sparse Malawi child-iron signal (0.20 → 0.03), confirming that dimension</w:t>
      </w:r>
      <w:r>
        <w:t xml:space="preserve"> </w:t>
      </w:r>
      <w:r>
        <w:t xml:space="preserve">reduction must not be a default. Across all 18 evaluable country–outcome cells,</w:t>
      </w:r>
      <w:r>
        <w:t xml:space="preserve"> </w:t>
      </w:r>
      <w:r>
        <w:t xml:space="preserve">genuine permutation-significant within-country signal was concentrated in iron</w:t>
      </w:r>
      <w:r>
        <w:t xml:space="preserve"> </w:t>
      </w:r>
      <w:r>
        <w:t xml:space="preserve">(and several women’s micronutrients) in Gambia and Ghana, was weaker but present</w:t>
      </w:r>
      <w:r>
        <w:t xml:space="preserve"> </w:t>
      </w:r>
      <w:r>
        <w:t xml:space="preserve">for iron and folate in Malawi, and was absent for zinc.</w:t>
      </w:r>
    </w:p>
    <w:tbl>
      <w:tblPr>
        <w:tblStyle w:val="Table"/>
        <w:tblW w:type="pct" w:w="5000"/>
        <w:tblLayout w:type="fixed"/>
        <w:tblLook w:firstRow="0" w:lastRow="0" w:firstColumn="0" w:lastColumn="0" w:noHBand="0" w:noVBand="0" w:val="0000"/>
      </w:tblPr>
      <w:tblGrid>
        <w:gridCol w:w="7920"/>
      </w:tblGrid>
      <w:tr>
        <w:tc>
          <w:tcPr/>
          <w:bookmarkStart w:id="32" w:name="tbl-area-recipe"/>
          <w:p>
            <w:pPr>
              <w:jc w:val="center"/>
            </w:pPr>
            <w:pPr>
              <w:jc w:val="start"/>
              <w:spacing w:before="200"/>
              <w:pStyle w:val="ImageCaption"/>
            </w:pPr>
            <w:r>
              <w:t xml:space="preserve">Table 3: Area-level recipe within-country performance (binomial loss, enriched features), district- and region-block cross-validation. Pearson r with area-bootstrap 95% CI and permutation-null p; calibration slope. From results/tables/corrected/area_recipe_within.csv.</w:t>
            </w:r>
          </w:p>
          <w:tbl>
            <w:tblPr>
              <w:tblStyle w:val="Table"/>
              <w:tblW w:type="pct" w:w="5000"/>
              <w:tblLayout w:type="fixed"/>
              <w:tblLook w:firstRow="1" w:lastRow="0" w:firstColumn="0" w:lastColumn="0" w:noHBand="0" w:noVBand="0" w:val="0020"/>
            </w:tblPr>
            <w:tblGrid>
              <w:gridCol w:w="1430"/>
              <w:gridCol w:w="1430"/>
              <w:gridCol w:w="990"/>
              <w:gridCol w:w="330"/>
              <w:gridCol w:w="660"/>
              <w:gridCol w:w="1650"/>
              <w:gridCol w:w="770"/>
              <w:gridCol w:w="660"/>
            </w:tblGrid>
            <w:tr>
              <w:trPr>
                <w:tblHeader w:val="on"/>
              </w:trPr>
              <w:tc>
                <w:tcPr/>
                <w:p>
                  <w:pPr>
                    <w:pStyle w:val="Compact"/>
                    <w:jc w:val="left"/>
                    <w:jc w:val="center"/>
                  </w:pPr>
                  <w:r>
                    <w:t xml:space="preserve">Country</w:t>
                  </w:r>
                </w:p>
              </w:tc>
              <w:tc>
                <w:tcPr/>
                <w:p>
                  <w:pPr>
                    <w:pStyle w:val="Compact"/>
                    <w:jc w:val="left"/>
                    <w:jc w:val="center"/>
                  </w:pPr>
                  <w:r>
                    <w:t xml:space="preserve">Outcome</w:t>
                  </w:r>
                </w:p>
              </w:tc>
              <w:tc>
                <w:tcPr/>
                <w:p>
                  <w:pPr>
                    <w:pStyle w:val="Compact"/>
                    <w:jc w:val="left"/>
                    <w:jc w:val="center"/>
                  </w:pPr>
                  <w:r>
                    <w:t xml:space="preserve">Scheme</w:t>
                  </w:r>
                </w:p>
              </w:tc>
              <w:tc>
                <w:tcPr/>
                <w:p>
                  <w:pPr>
                    <w:pStyle w:val="Compact"/>
                    <w:jc w:val="right"/>
                    <w:jc w:val="center"/>
                  </w:pPr>
                  <w:r>
                    <w:t xml:space="preserve">n</w:t>
                  </w:r>
                </w:p>
              </w:tc>
              <w:tc>
                <w:tcPr/>
                <w:p>
                  <w:pPr>
                    <w:pStyle w:val="Compact"/>
                    <w:jc w:val="right"/>
                    <w:jc w:val="center"/>
                  </w:pPr>
                  <w:r>
                    <w:t xml:space="preserve">r</w:t>
                  </w:r>
                </w:p>
              </w:tc>
              <w:tc>
                <w:tcPr/>
                <w:p>
                  <w:pPr>
                    <w:pStyle w:val="Compact"/>
                    <w:jc w:val="left"/>
                    <w:jc w:val="center"/>
                  </w:pPr>
                  <w:r>
                    <w:t xml:space="preserve">95% CI</w:t>
                  </w:r>
                </w:p>
              </w:tc>
              <w:tc>
                <w:tcPr/>
                <w:p>
                  <w:pPr>
                    <w:pStyle w:val="Compact"/>
                    <w:jc w:val="right"/>
                    <w:jc w:val="center"/>
                  </w:pPr>
                  <w:r>
                    <w:t xml:space="preserve">perm p</w:t>
                  </w:r>
                </w:p>
              </w:tc>
              <w:tc>
                <w:tcPr/>
                <w:p>
                  <w:pPr>
                    <w:pStyle w:val="Compact"/>
                    <w:jc w:val="right"/>
                    <w:jc w:val="center"/>
                  </w:pPr>
                  <w:r>
                    <w:t xml:space="preserve">Slope</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left"/>
                    <w:jc w:val="center"/>
                  </w:pPr>
                  <w:r>
                    <w:t xml:space="preserve">district</w:t>
                  </w:r>
                </w:p>
              </w:tc>
              <w:tc>
                <w:tcPr/>
                <w:p>
                  <w:pPr>
                    <w:pStyle w:val="Compact"/>
                    <w:jc w:val="right"/>
                    <w:jc w:val="center"/>
                  </w:pPr>
                  <w:r>
                    <w:t xml:space="preserve">30</w:t>
                  </w:r>
                </w:p>
              </w:tc>
              <w:tc>
                <w:tcPr/>
                <w:p>
                  <w:pPr>
                    <w:pStyle w:val="Compact"/>
                    <w:jc w:val="right"/>
                    <w:jc w:val="center"/>
                  </w:pPr>
                  <w:r>
                    <w:t xml:space="preserve">0.48</w:t>
                  </w:r>
                </w:p>
              </w:tc>
              <w:tc>
                <w:tcPr/>
                <w:p>
                  <w:pPr>
                    <w:pStyle w:val="Compact"/>
                    <w:jc w:val="left"/>
                    <w:jc w:val="center"/>
                  </w:pPr>
                  <w:r>
                    <w:t xml:space="preserve">[0.23, 0.70]</w:t>
                  </w:r>
                </w:p>
              </w:tc>
              <w:tc>
                <w:tcPr/>
                <w:p>
                  <w:pPr>
                    <w:pStyle w:val="Compact"/>
                    <w:jc w:val="right"/>
                    <w:jc w:val="center"/>
                  </w:pPr>
                  <w:r>
                    <w:t xml:space="preserve">0.005</w:t>
                  </w:r>
                </w:p>
              </w:tc>
              <w:tc>
                <w:tcPr/>
                <w:p>
                  <w:pPr>
                    <w:pStyle w:val="Compact"/>
                    <w:jc w:val="right"/>
                    <w:jc w:val="center"/>
                  </w:pPr>
                  <w:r>
                    <w:t xml:space="preserve">0.94</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left"/>
                    <w:jc w:val="center"/>
                  </w:pPr>
                  <w:r>
                    <w:t xml:space="preserve">district</w:t>
                  </w:r>
                </w:p>
              </w:tc>
              <w:tc>
                <w:tcPr/>
                <w:p>
                  <w:pPr>
                    <w:pStyle w:val="Compact"/>
                    <w:jc w:val="right"/>
                    <w:jc w:val="center"/>
                  </w:pPr>
                  <w:r>
                    <w:t xml:space="preserve">30</w:t>
                  </w:r>
                </w:p>
              </w:tc>
              <w:tc>
                <w:tcPr/>
                <w:p>
                  <w:pPr>
                    <w:pStyle w:val="Compact"/>
                    <w:jc w:val="right"/>
                    <w:jc w:val="center"/>
                  </w:pPr>
                  <w:r>
                    <w:t xml:space="preserve">0.18</w:t>
                  </w:r>
                </w:p>
              </w:tc>
              <w:tc>
                <w:tcPr/>
                <w:p>
                  <w:pPr>
                    <w:pStyle w:val="Compact"/>
                    <w:jc w:val="left"/>
                    <w:jc w:val="center"/>
                  </w:pPr>
                  <w:r>
                    <w:t xml:space="preserve">[-0.13, 0.49]</w:t>
                  </w:r>
                </w:p>
              </w:tc>
              <w:tc>
                <w:tcPr/>
                <w:p>
                  <w:pPr>
                    <w:pStyle w:val="Compact"/>
                    <w:jc w:val="right"/>
                    <w:jc w:val="center"/>
                  </w:pPr>
                  <w:r>
                    <w:t xml:space="preserve">0.178</w:t>
                  </w:r>
                </w:p>
              </w:tc>
              <w:tc>
                <w:tcPr/>
                <w:p>
                  <w:pPr>
                    <w:pStyle w:val="Compact"/>
                    <w:jc w:val="right"/>
                    <w:jc w:val="center"/>
                  </w:pPr>
                  <w:r>
                    <w:t xml:space="preserve">0.27</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left"/>
                    <w:jc w:val="center"/>
                  </w:pPr>
                  <w:r>
                    <w:t xml:space="preserve">district</w:t>
                  </w:r>
                </w:p>
              </w:tc>
              <w:tc>
                <w:tcPr/>
                <w:p>
                  <w:pPr>
                    <w:pStyle w:val="Compact"/>
                    <w:jc w:val="right"/>
                    <w:jc w:val="center"/>
                  </w:pPr>
                  <w:r>
                    <w:t xml:space="preserve">30</w:t>
                  </w:r>
                </w:p>
              </w:tc>
              <w:tc>
                <w:tcPr/>
                <w:p>
                  <w:pPr>
                    <w:pStyle w:val="Compact"/>
                    <w:jc w:val="right"/>
                    <w:jc w:val="center"/>
                  </w:pPr>
                  <w:r>
                    <w:t xml:space="preserve">0.40</w:t>
                  </w:r>
                </w:p>
              </w:tc>
              <w:tc>
                <w:tcPr/>
                <w:p>
                  <w:pPr>
                    <w:pStyle w:val="Compact"/>
                    <w:jc w:val="left"/>
                    <w:jc w:val="center"/>
                  </w:pPr>
                  <w:r>
                    <w:t xml:space="preserve">[0.15, 0.66]</w:t>
                  </w:r>
                </w:p>
              </w:tc>
              <w:tc>
                <w:tcPr/>
                <w:p>
                  <w:pPr>
                    <w:pStyle w:val="Compact"/>
                    <w:jc w:val="right"/>
                    <w:jc w:val="center"/>
                  </w:pPr>
                  <w:r>
                    <w:t xml:space="preserve">0.011</w:t>
                  </w:r>
                </w:p>
              </w:tc>
              <w:tc>
                <w:tcPr/>
                <w:p>
                  <w:pPr>
                    <w:pStyle w:val="Compact"/>
                    <w:jc w:val="right"/>
                    <w:jc w:val="center"/>
                  </w:pPr>
                  <w:r>
                    <w:t xml:space="preserve">0.66</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left"/>
                    <w:jc w:val="center"/>
                  </w:pPr>
                  <w:r>
                    <w:t xml:space="preserve">district</w:t>
                  </w:r>
                </w:p>
              </w:tc>
              <w:tc>
                <w:tcPr/>
                <w:p>
                  <w:pPr>
                    <w:pStyle w:val="Compact"/>
                    <w:jc w:val="right"/>
                    <w:jc w:val="center"/>
                  </w:pPr>
                  <w:r>
                    <w:t xml:space="preserve">30</w:t>
                  </w:r>
                </w:p>
              </w:tc>
              <w:tc>
                <w:tcPr/>
                <w:p>
                  <w:pPr>
                    <w:pStyle w:val="Compact"/>
                    <w:jc w:val="right"/>
                    <w:jc w:val="center"/>
                  </w:pPr>
                  <w:r>
                    <w:t xml:space="preserve">0.32</w:t>
                  </w:r>
                </w:p>
              </w:tc>
              <w:tc>
                <w:tcPr/>
                <w:p>
                  <w:pPr>
                    <w:pStyle w:val="Compact"/>
                    <w:jc w:val="left"/>
                    <w:jc w:val="center"/>
                  </w:pPr>
                  <w:r>
                    <w:t xml:space="preserve">[0.04, 0.62]</w:t>
                  </w:r>
                </w:p>
              </w:tc>
              <w:tc>
                <w:tcPr/>
                <w:p>
                  <w:pPr>
                    <w:pStyle w:val="Compact"/>
                    <w:jc w:val="right"/>
                    <w:jc w:val="center"/>
                  </w:pPr>
                  <w:r>
                    <w:t xml:space="preserve">0.059</w:t>
                  </w:r>
                </w:p>
              </w:tc>
              <w:tc>
                <w:tcPr/>
                <w:p>
                  <w:pPr>
                    <w:pStyle w:val="Compact"/>
                    <w:jc w:val="right"/>
                    <w:jc w:val="center"/>
                  </w:pPr>
                  <w:r>
                    <w:t xml:space="preserve">0.80</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left"/>
                    <w:jc w:val="center"/>
                  </w:pPr>
                  <w:r>
                    <w:t xml:space="preserve">district</w:t>
                  </w:r>
                </w:p>
              </w:tc>
              <w:tc>
                <w:tcPr/>
                <w:p>
                  <w:pPr>
                    <w:pStyle w:val="Compact"/>
                    <w:jc w:val="right"/>
                    <w:jc w:val="center"/>
                  </w:pPr>
                  <w:r>
                    <w:t xml:space="preserve">71</w:t>
                  </w:r>
                </w:p>
              </w:tc>
              <w:tc>
                <w:tcPr/>
                <w:p>
                  <w:pPr>
                    <w:pStyle w:val="Compact"/>
                    <w:jc w:val="right"/>
                    <w:jc w:val="center"/>
                  </w:pPr>
                  <w:r>
                    <w:t xml:space="preserve">0.62</w:t>
                  </w:r>
                </w:p>
              </w:tc>
              <w:tc>
                <w:tcPr/>
                <w:p>
                  <w:pPr>
                    <w:pStyle w:val="Compact"/>
                    <w:jc w:val="left"/>
                    <w:jc w:val="center"/>
                  </w:pPr>
                  <w:r>
                    <w:t xml:space="preserve">[0.49, 0.74]</w:t>
                  </w:r>
                </w:p>
              </w:tc>
              <w:tc>
                <w:tcPr/>
                <w:p>
                  <w:pPr>
                    <w:pStyle w:val="Compact"/>
                    <w:jc w:val="right"/>
                    <w:jc w:val="center"/>
                  </w:pPr>
                  <w:r>
                    <w:t xml:space="preserve">0.001</w:t>
                  </w:r>
                </w:p>
              </w:tc>
              <w:tc>
                <w:tcPr/>
                <w:p>
                  <w:pPr>
                    <w:pStyle w:val="Compact"/>
                    <w:jc w:val="right"/>
                    <w:jc w:val="center"/>
                  </w:pPr>
                  <w:r>
                    <w:t xml:space="preserve">0.82</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left"/>
                    <w:jc w:val="center"/>
                  </w:pPr>
                  <w:r>
                    <w:t xml:space="preserve">district</w:t>
                  </w:r>
                </w:p>
              </w:tc>
              <w:tc>
                <w:tcPr/>
                <w:p>
                  <w:pPr>
                    <w:pStyle w:val="Compact"/>
                    <w:jc w:val="right"/>
                    <w:jc w:val="center"/>
                  </w:pPr>
                  <w:r>
                    <w:t xml:space="preserve">71</w:t>
                  </w:r>
                </w:p>
              </w:tc>
              <w:tc>
                <w:tcPr/>
                <w:p>
                  <w:pPr>
                    <w:pStyle w:val="Compact"/>
                    <w:jc w:val="right"/>
                    <w:jc w:val="center"/>
                  </w:pPr>
                  <w:r>
                    <w:t xml:space="preserve">0.18</w:t>
                  </w:r>
                </w:p>
              </w:tc>
              <w:tc>
                <w:tcPr/>
                <w:p>
                  <w:pPr>
                    <w:pStyle w:val="Compact"/>
                    <w:jc w:val="left"/>
                    <w:jc w:val="center"/>
                  </w:pPr>
                  <w:r>
                    <w:t xml:space="preserve">[-0.05, 0.39]</w:t>
                  </w:r>
                </w:p>
              </w:tc>
              <w:tc>
                <w:tcPr/>
                <w:p>
                  <w:pPr>
                    <w:pStyle w:val="Compact"/>
                    <w:jc w:val="right"/>
                    <w:jc w:val="center"/>
                  </w:pPr>
                  <w:r>
                    <w:t xml:space="preserve">0.066</w:t>
                  </w:r>
                </w:p>
              </w:tc>
              <w:tc>
                <w:tcPr/>
                <w:p>
                  <w:pPr>
                    <w:pStyle w:val="Compact"/>
                    <w:jc w:val="right"/>
                    <w:jc w:val="center"/>
                  </w:pPr>
                  <w:r>
                    <w:t xml:space="preserve">0.42</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left"/>
                    <w:jc w:val="center"/>
                  </w:pPr>
                  <w:r>
                    <w:t xml:space="preserve">district</w:t>
                  </w:r>
                </w:p>
              </w:tc>
              <w:tc>
                <w:tcPr/>
                <w:p>
                  <w:pPr>
                    <w:pStyle w:val="Compact"/>
                    <w:jc w:val="right"/>
                    <w:jc w:val="center"/>
                  </w:pPr>
                  <w:r>
                    <w:t xml:space="preserve">51</w:t>
                  </w:r>
                </w:p>
              </w:tc>
              <w:tc>
                <w:tcPr/>
                <w:p>
                  <w:pPr>
                    <w:pStyle w:val="Compact"/>
                    <w:jc w:val="right"/>
                    <w:jc w:val="center"/>
                  </w:pPr>
                  <w:r>
                    <w:t xml:space="preserve">0.57</w:t>
                  </w:r>
                </w:p>
              </w:tc>
              <w:tc>
                <w:tcPr/>
                <w:p>
                  <w:pPr>
                    <w:pStyle w:val="Compact"/>
                    <w:jc w:val="left"/>
                    <w:jc w:val="center"/>
                  </w:pPr>
                  <w:r>
                    <w:t xml:space="preserve">[0.21, 0.78]</w:t>
                  </w:r>
                </w:p>
              </w:tc>
              <w:tc>
                <w:tcPr/>
                <w:p>
                  <w:pPr>
                    <w:pStyle w:val="Compact"/>
                    <w:jc w:val="right"/>
                    <w:jc w:val="center"/>
                  </w:pPr>
                  <w:r>
                    <w:t xml:space="preserve">0.001</w:t>
                  </w:r>
                </w:p>
              </w:tc>
              <w:tc>
                <w:tcPr/>
                <w:p>
                  <w:pPr>
                    <w:pStyle w:val="Compact"/>
                    <w:jc w:val="right"/>
                    <w:jc w:val="center"/>
                  </w:pPr>
                  <w:r>
                    <w:t xml:space="preserve">1.07</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left"/>
                    <w:jc w:val="center"/>
                  </w:pPr>
                  <w:r>
                    <w:t xml:space="preserve">district</w:t>
                  </w:r>
                </w:p>
              </w:tc>
              <w:tc>
                <w:tcPr/>
                <w:p>
                  <w:pPr>
                    <w:pStyle w:val="Compact"/>
                    <w:jc w:val="right"/>
                    <w:jc w:val="center"/>
                  </w:pPr>
                  <w:r>
                    <w:t xml:space="preserve">52</w:t>
                  </w:r>
                </w:p>
              </w:tc>
              <w:tc>
                <w:tcPr/>
                <w:p>
                  <w:pPr>
                    <w:pStyle w:val="Compact"/>
                    <w:jc w:val="right"/>
                    <w:jc w:val="center"/>
                  </w:pPr>
                  <w:r>
                    <w:t xml:space="preserve">-0.08</w:t>
                  </w:r>
                </w:p>
              </w:tc>
              <w:tc>
                <w:tcPr/>
                <w:p>
                  <w:pPr>
                    <w:pStyle w:val="Compact"/>
                    <w:jc w:val="left"/>
                    <w:jc w:val="center"/>
                  </w:pPr>
                  <w:r>
                    <w:t xml:space="preserve">[-0.38, 0.16]</w:t>
                  </w:r>
                </w:p>
              </w:tc>
              <w:tc>
                <w:tcPr/>
                <w:p>
                  <w:pPr>
                    <w:pStyle w:val="Compact"/>
                    <w:jc w:val="right"/>
                    <w:jc w:val="center"/>
                  </w:pPr>
                  <w:r>
                    <w:t xml:space="preserve">0.711</w:t>
                  </w:r>
                </w:p>
              </w:tc>
              <w:tc>
                <w:tcPr/>
                <w:p>
                  <w:pPr>
                    <w:pStyle w:val="Compact"/>
                    <w:jc w:val="right"/>
                    <w:jc w:val="center"/>
                  </w:pPr>
                  <w:r>
                    <w:t xml:space="preserve">-0.16</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left"/>
                    <w:jc w:val="center"/>
                  </w:pPr>
                  <w:r>
                    <w:t xml:space="preserve">district</w:t>
                  </w:r>
                </w:p>
              </w:tc>
              <w:tc>
                <w:tcPr/>
                <w:p>
                  <w:pPr>
                    <w:pStyle w:val="Compact"/>
                    <w:jc w:val="right"/>
                    <w:jc w:val="center"/>
                  </w:pPr>
                  <w:r>
                    <w:t xml:space="preserve">72</w:t>
                  </w:r>
                </w:p>
              </w:tc>
              <w:tc>
                <w:tcPr/>
                <w:p>
                  <w:pPr>
                    <w:pStyle w:val="Compact"/>
                    <w:jc w:val="right"/>
                    <w:jc w:val="center"/>
                  </w:pPr>
                  <w:r>
                    <w:t xml:space="preserve">0.39</w:t>
                  </w:r>
                </w:p>
              </w:tc>
              <w:tc>
                <w:tcPr/>
                <w:p>
                  <w:pPr>
                    <w:pStyle w:val="Compact"/>
                    <w:jc w:val="left"/>
                    <w:jc w:val="center"/>
                  </w:pPr>
                  <w:r>
                    <w:t xml:space="preserve">[0.18, 0.56]</w:t>
                  </w:r>
                </w:p>
              </w:tc>
              <w:tc>
                <w:tcPr/>
                <w:p>
                  <w:pPr>
                    <w:pStyle w:val="Compact"/>
                    <w:jc w:val="right"/>
                    <w:jc w:val="center"/>
                  </w:pPr>
                  <w:r>
                    <w:t xml:space="preserve">0.001</w:t>
                  </w:r>
                </w:p>
              </w:tc>
              <w:tc>
                <w:tcPr/>
                <w:p>
                  <w:pPr>
                    <w:pStyle w:val="Compact"/>
                    <w:jc w:val="right"/>
                    <w:jc w:val="center"/>
                  </w:pPr>
                  <w:r>
                    <w:t xml:space="preserve">0.86</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left"/>
                    <w:jc w:val="center"/>
                  </w:pPr>
                  <w:r>
                    <w:t xml:space="preserve">district</w:t>
                  </w:r>
                </w:p>
              </w:tc>
              <w:tc>
                <w:tcPr/>
                <w:p>
                  <w:pPr>
                    <w:pStyle w:val="Compact"/>
                    <w:jc w:val="right"/>
                    <w:jc w:val="center"/>
                  </w:pPr>
                  <w:r>
                    <w:t xml:space="preserve">72</w:t>
                  </w:r>
                </w:p>
              </w:tc>
              <w:tc>
                <w:tcPr/>
                <w:p>
                  <w:pPr>
                    <w:pStyle w:val="Compact"/>
                    <w:jc w:val="right"/>
                    <w:jc w:val="center"/>
                  </w:pPr>
                  <w:r>
                    <w:t xml:space="preserve">-0.15</w:t>
                  </w:r>
                </w:p>
              </w:tc>
              <w:tc>
                <w:tcPr/>
                <w:p>
                  <w:pPr>
                    <w:pStyle w:val="Compact"/>
                    <w:jc w:val="left"/>
                    <w:jc w:val="center"/>
                  </w:pPr>
                  <w:r>
                    <w:t xml:space="preserve">[-0.31, -0.05]</w:t>
                  </w:r>
                </w:p>
              </w:tc>
              <w:tc>
                <w:tcPr/>
                <w:p>
                  <w:pPr>
                    <w:pStyle w:val="Compact"/>
                    <w:jc w:val="right"/>
                    <w:jc w:val="center"/>
                  </w:pPr>
                  <w:r>
                    <w:t xml:space="preserve">0.956</w:t>
                  </w:r>
                </w:p>
              </w:tc>
              <w:tc>
                <w:tcPr/>
                <w:p>
                  <w:pPr>
                    <w:pStyle w:val="Compact"/>
                    <w:jc w:val="right"/>
                    <w:jc w:val="center"/>
                  </w:pPr>
                  <w:r>
                    <w:t xml:space="preserve">-0.91</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left"/>
                    <w:jc w:val="center"/>
                  </w:pPr>
                  <w:r>
                    <w:t xml:space="preserve">district</w:t>
                  </w:r>
                </w:p>
              </w:tc>
              <w:tc>
                <w:tcPr/>
                <w:p>
                  <w:pPr>
                    <w:pStyle w:val="Compact"/>
                    <w:jc w:val="right"/>
                    <w:jc w:val="center"/>
                  </w:pPr>
                  <w:r>
                    <w:t xml:space="preserve">86</w:t>
                  </w:r>
                </w:p>
              </w:tc>
              <w:tc>
                <w:tcPr/>
                <w:p>
                  <w:pPr>
                    <w:pStyle w:val="Compact"/>
                    <w:jc w:val="right"/>
                    <w:jc w:val="center"/>
                  </w:pPr>
                  <w:r>
                    <w:t xml:space="preserve">0.28</w:t>
                  </w:r>
                </w:p>
              </w:tc>
              <w:tc>
                <w:tcPr/>
                <w:p>
                  <w:pPr>
                    <w:pStyle w:val="Compact"/>
                    <w:jc w:val="left"/>
                    <w:jc w:val="center"/>
                  </w:pPr>
                  <w:r>
                    <w:t xml:space="preserve">[0.10, 0.46]</w:t>
                  </w:r>
                </w:p>
              </w:tc>
              <w:tc>
                <w:tcPr/>
                <w:p>
                  <w:pPr>
                    <w:pStyle w:val="Compact"/>
                    <w:jc w:val="right"/>
                    <w:jc w:val="center"/>
                  </w:pPr>
                  <w:r>
                    <w:t xml:space="preserve">0.007</w:t>
                  </w:r>
                </w:p>
              </w:tc>
              <w:tc>
                <w:tcPr/>
                <w:p>
                  <w:pPr>
                    <w:pStyle w:val="Compact"/>
                    <w:jc w:val="right"/>
                    <w:jc w:val="center"/>
                  </w:pPr>
                  <w:r>
                    <w:t xml:space="preserve">0.51</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left"/>
                    <w:jc w:val="center"/>
                  </w:pPr>
                  <w:r>
                    <w:t xml:space="preserve">district</w:t>
                  </w:r>
                </w:p>
              </w:tc>
              <w:tc>
                <w:tcPr/>
                <w:p>
                  <w:pPr>
                    <w:pStyle w:val="Compact"/>
                    <w:jc w:val="right"/>
                    <w:jc w:val="center"/>
                  </w:pPr>
                  <w:r>
                    <w:t xml:space="preserve">86</w:t>
                  </w:r>
                </w:p>
              </w:tc>
              <w:tc>
                <w:tcPr/>
                <w:p>
                  <w:pPr>
                    <w:pStyle w:val="Compact"/>
                    <w:jc w:val="right"/>
                    <w:jc w:val="center"/>
                  </w:pPr>
                  <w:r>
                    <w:t xml:space="preserve">0.04</w:t>
                  </w:r>
                </w:p>
              </w:tc>
              <w:tc>
                <w:tcPr/>
                <w:p>
                  <w:pPr>
                    <w:pStyle w:val="Compact"/>
                    <w:jc w:val="left"/>
                    <w:jc w:val="center"/>
                  </w:pPr>
                  <w:r>
                    <w:t xml:space="preserve">[-0.13, 0.32]</w:t>
                  </w:r>
                </w:p>
              </w:tc>
              <w:tc>
                <w:tcPr/>
                <w:p>
                  <w:pPr>
                    <w:pStyle w:val="Compact"/>
                    <w:jc w:val="right"/>
                    <w:jc w:val="center"/>
                  </w:pPr>
                  <w:r>
                    <w:t xml:space="preserve">0.306</w:t>
                  </w:r>
                </w:p>
              </w:tc>
              <w:tc>
                <w:tcPr/>
                <w:p>
                  <w:pPr>
                    <w:pStyle w:val="Compact"/>
                    <w:jc w:val="right"/>
                    <w:jc w:val="center"/>
                  </w:pPr>
                  <w:r>
                    <w:t xml:space="preserve">0.11</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left"/>
                    <w:jc w:val="center"/>
                  </w:pPr>
                  <w:r>
                    <w:t xml:space="preserve">district</w:t>
                  </w:r>
                </w:p>
              </w:tc>
              <w:tc>
                <w:tcPr/>
                <w:p>
                  <w:pPr>
                    <w:pStyle w:val="Compact"/>
                    <w:jc w:val="right"/>
                    <w:jc w:val="center"/>
                  </w:pPr>
                  <w:r>
                    <w:t xml:space="preserve">86</w:t>
                  </w:r>
                </w:p>
              </w:tc>
              <w:tc>
                <w:tcPr/>
                <w:p>
                  <w:pPr>
                    <w:pStyle w:val="Compact"/>
                    <w:jc w:val="right"/>
                    <w:jc w:val="center"/>
                  </w:pPr>
                  <w:r>
                    <w:t xml:space="preserve">-0.25</w:t>
                  </w:r>
                </w:p>
              </w:tc>
              <w:tc>
                <w:tcPr/>
                <w:p>
                  <w:pPr>
                    <w:pStyle w:val="Compact"/>
                    <w:jc w:val="left"/>
                    <w:jc w:val="center"/>
                  </w:pPr>
                  <w:r>
                    <w:t xml:space="preserve">[-0.42, -0.05]</w:t>
                  </w:r>
                </w:p>
              </w:tc>
              <w:tc>
                <w:tcPr/>
                <w:p>
                  <w:pPr>
                    <w:pStyle w:val="Compact"/>
                    <w:jc w:val="right"/>
                    <w:jc w:val="center"/>
                  </w:pPr>
                  <w:r>
                    <w:t xml:space="preserve">0.992</w:t>
                  </w:r>
                </w:p>
              </w:tc>
              <w:tc>
                <w:tcPr/>
                <w:p>
                  <w:pPr>
                    <w:pStyle w:val="Compact"/>
                    <w:jc w:val="right"/>
                    <w:jc w:val="center"/>
                  </w:pPr>
                  <w:r>
                    <w:t xml:space="preserve">-0.80</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left"/>
                    <w:jc w:val="center"/>
                  </w:pPr>
                  <w:r>
                    <w:t xml:space="preserve">district</w:t>
                  </w:r>
                </w:p>
              </w:tc>
              <w:tc>
                <w:tcPr/>
                <w:p>
                  <w:pPr>
                    <w:pStyle w:val="Compact"/>
                    <w:jc w:val="right"/>
                    <w:jc w:val="center"/>
                  </w:pPr>
                  <w:r>
                    <w:t xml:space="preserve">83</w:t>
                  </w:r>
                </w:p>
              </w:tc>
              <w:tc>
                <w:tcPr/>
                <w:p>
                  <w:pPr>
                    <w:pStyle w:val="Compact"/>
                    <w:jc w:val="right"/>
                    <w:jc w:val="center"/>
                  </w:pPr>
                  <w:r>
                    <w:t xml:space="preserve">0.21</w:t>
                  </w:r>
                </w:p>
              </w:tc>
              <w:tc>
                <w:tcPr/>
                <w:p>
                  <w:pPr>
                    <w:pStyle w:val="Compact"/>
                    <w:jc w:val="left"/>
                    <w:jc w:val="center"/>
                  </w:pPr>
                  <w:r>
                    <w:t xml:space="preserve">[0.04, 0.43]</w:t>
                  </w:r>
                </w:p>
              </w:tc>
              <w:tc>
                <w:tcPr/>
                <w:p>
                  <w:pPr>
                    <w:pStyle w:val="Compact"/>
                    <w:jc w:val="right"/>
                    <w:jc w:val="center"/>
                  </w:pPr>
                  <w:r>
                    <w:t xml:space="preserve">0.035</w:t>
                  </w:r>
                </w:p>
              </w:tc>
              <w:tc>
                <w:tcPr/>
                <w:p>
                  <w:pPr>
                    <w:pStyle w:val="Compact"/>
                    <w:jc w:val="right"/>
                    <w:jc w:val="center"/>
                  </w:pPr>
                  <w:r>
                    <w:t xml:space="preserve">0.53</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left"/>
                    <w:jc w:val="center"/>
                  </w:pPr>
                  <w:r>
                    <w:t xml:space="preserve">district</w:t>
                  </w:r>
                </w:p>
              </w:tc>
              <w:tc>
                <w:tcPr/>
                <w:p>
                  <w:pPr>
                    <w:pStyle w:val="Compact"/>
                    <w:jc w:val="right"/>
                    <w:jc w:val="center"/>
                  </w:pPr>
                  <w:r>
                    <w:t xml:space="preserve">83</w:t>
                  </w:r>
                </w:p>
              </w:tc>
              <w:tc>
                <w:tcPr/>
                <w:p>
                  <w:pPr>
                    <w:pStyle w:val="Compact"/>
                    <w:jc w:val="right"/>
                    <w:jc w:val="center"/>
                  </w:pPr>
                  <w:r>
                    <w:t xml:space="preserve">0.37</w:t>
                  </w:r>
                </w:p>
              </w:tc>
              <w:tc>
                <w:tcPr/>
                <w:p>
                  <w:pPr>
                    <w:pStyle w:val="Compact"/>
                    <w:jc w:val="left"/>
                    <w:jc w:val="center"/>
                  </w:pPr>
                  <w:r>
                    <w:t xml:space="preserve">[0.15, 0.54]</w:t>
                  </w:r>
                </w:p>
              </w:tc>
              <w:tc>
                <w:tcPr/>
                <w:p>
                  <w:pPr>
                    <w:pStyle w:val="Compact"/>
                    <w:jc w:val="right"/>
                    <w:jc w:val="center"/>
                  </w:pPr>
                  <w:r>
                    <w:t xml:space="preserve">0.002</w:t>
                  </w:r>
                </w:p>
              </w:tc>
              <w:tc>
                <w:tcPr/>
                <w:p>
                  <w:pPr>
                    <w:pStyle w:val="Compact"/>
                    <w:jc w:val="right"/>
                    <w:jc w:val="center"/>
                  </w:pPr>
                  <w:r>
                    <w:t xml:space="preserve">0.67</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left"/>
                    <w:jc w:val="center"/>
                  </w:pPr>
                  <w:r>
                    <w:t xml:space="preserve">district</w:t>
                  </w:r>
                </w:p>
              </w:tc>
              <w:tc>
                <w:tcPr/>
                <w:p>
                  <w:pPr>
                    <w:pStyle w:val="Compact"/>
                    <w:jc w:val="right"/>
                    <w:jc w:val="center"/>
                  </w:pPr>
                  <w:r>
                    <w:t xml:space="preserve">78</w:t>
                  </w:r>
                </w:p>
              </w:tc>
              <w:tc>
                <w:tcPr/>
                <w:p>
                  <w:pPr>
                    <w:pStyle w:val="Compact"/>
                    <w:jc w:val="right"/>
                    <w:jc w:val="center"/>
                  </w:pPr>
                  <w:r>
                    <w:t xml:space="preserve">0.02</w:t>
                  </w:r>
                </w:p>
              </w:tc>
              <w:tc>
                <w:tcPr/>
                <w:p>
                  <w:pPr>
                    <w:pStyle w:val="Compact"/>
                    <w:jc w:val="left"/>
                    <w:jc w:val="center"/>
                  </w:pPr>
                  <w:r>
                    <w:t xml:space="preserve">[-0.14, 0.22]</w:t>
                  </w:r>
                </w:p>
              </w:tc>
              <w:tc>
                <w:tcPr/>
                <w:p>
                  <w:pPr>
                    <w:pStyle w:val="Compact"/>
                    <w:jc w:val="right"/>
                    <w:jc w:val="center"/>
                  </w:pPr>
                  <w:r>
                    <w:t xml:space="preserve">0.431</w:t>
                  </w:r>
                </w:p>
              </w:tc>
              <w:tc>
                <w:tcPr/>
                <w:p>
                  <w:pPr>
                    <w:pStyle w:val="Compact"/>
                    <w:jc w:val="right"/>
                    <w:jc w:val="center"/>
                  </w:pPr>
                  <w:r>
                    <w:t xml:space="preserve">0.04</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left"/>
                    <w:jc w:val="center"/>
                  </w:pPr>
                  <w:r>
                    <w:t xml:space="preserve">district</w:t>
                  </w:r>
                </w:p>
              </w:tc>
              <w:tc>
                <w:tcPr/>
                <w:p>
                  <w:pPr>
                    <w:pStyle w:val="Compact"/>
                    <w:jc w:val="right"/>
                    <w:jc w:val="center"/>
                  </w:pPr>
                  <w:r>
                    <w:t xml:space="preserve">82</w:t>
                  </w:r>
                </w:p>
              </w:tc>
              <w:tc>
                <w:tcPr/>
                <w:p>
                  <w:pPr>
                    <w:pStyle w:val="Compact"/>
                    <w:jc w:val="right"/>
                    <w:jc w:val="center"/>
                  </w:pPr>
                  <w:r>
                    <w:t xml:space="preserve">0.06</w:t>
                  </w:r>
                </w:p>
              </w:tc>
              <w:tc>
                <w:tcPr/>
                <w:p>
                  <w:pPr>
                    <w:pStyle w:val="Compact"/>
                    <w:jc w:val="left"/>
                    <w:jc w:val="center"/>
                  </w:pPr>
                  <w:r>
                    <w:t xml:space="preserve">[-0.10, 0.24]</w:t>
                  </w:r>
                </w:p>
              </w:tc>
              <w:tc>
                <w:tcPr/>
                <w:p>
                  <w:pPr>
                    <w:pStyle w:val="Compact"/>
                    <w:jc w:val="right"/>
                    <w:jc w:val="center"/>
                  </w:pPr>
                  <w:r>
                    <w:t xml:space="preserve">0.282</w:t>
                  </w:r>
                </w:p>
              </w:tc>
              <w:tc>
                <w:tcPr/>
                <w:p>
                  <w:pPr>
                    <w:pStyle w:val="Compact"/>
                    <w:jc w:val="right"/>
                    <w:jc w:val="center"/>
                  </w:pPr>
                  <w:r>
                    <w:t xml:space="preserve">0.18</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left"/>
                    <w:jc w:val="center"/>
                  </w:pPr>
                  <w:r>
                    <w:t xml:space="preserve">district</w:t>
                  </w:r>
                </w:p>
              </w:tc>
              <w:tc>
                <w:tcPr/>
                <w:p>
                  <w:pPr>
                    <w:pStyle w:val="Compact"/>
                    <w:jc w:val="right"/>
                    <w:jc w:val="center"/>
                  </w:pPr>
                  <w:r>
                    <w:t xml:space="preserve">82</w:t>
                  </w:r>
                </w:p>
              </w:tc>
              <w:tc>
                <w:tcPr/>
                <w:p>
                  <w:pPr>
                    <w:pStyle w:val="Compact"/>
                    <w:jc w:val="right"/>
                    <w:jc w:val="center"/>
                  </w:pPr>
                  <w:r>
                    <w:t xml:space="preserve">-0.18</w:t>
                  </w:r>
                </w:p>
              </w:tc>
              <w:tc>
                <w:tcPr/>
                <w:p>
                  <w:pPr>
                    <w:pStyle w:val="Compact"/>
                    <w:jc w:val="left"/>
                    <w:jc w:val="center"/>
                  </w:pPr>
                  <w:r>
                    <w:t xml:space="preserve">[-0.39, 0.02]</w:t>
                  </w:r>
                </w:p>
              </w:tc>
              <w:tc>
                <w:tcPr/>
                <w:p>
                  <w:pPr>
                    <w:pStyle w:val="Compact"/>
                    <w:jc w:val="right"/>
                    <w:jc w:val="center"/>
                  </w:pPr>
                  <w:r>
                    <w:t xml:space="preserve">0.947</w:t>
                  </w:r>
                </w:p>
              </w:tc>
              <w:tc>
                <w:tcPr/>
                <w:p>
                  <w:pPr>
                    <w:pStyle w:val="Compact"/>
                    <w:jc w:val="right"/>
                    <w:jc w:val="center"/>
                  </w:pPr>
                  <w:r>
                    <w:t xml:space="preserve">-0.56</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left"/>
                    <w:jc w:val="center"/>
                  </w:pPr>
                  <w:r>
                    <w:t xml:space="preserve">district</w:t>
                  </w:r>
                </w:p>
              </w:tc>
              <w:tc>
                <w:tcPr/>
                <w:p>
                  <w:pPr>
                    <w:pStyle w:val="Compact"/>
                    <w:jc w:val="right"/>
                    <w:jc w:val="center"/>
                  </w:pPr>
                  <w:r>
                    <w:t xml:space="preserve">14</w:t>
                  </w:r>
                </w:p>
              </w:tc>
              <w:tc>
                <w:tcPr/>
                <w:p>
                  <w:pPr>
                    <w:pStyle w:val="Compact"/>
                    <w:jc w:val="right"/>
                    <w:jc w:val="center"/>
                  </w:pPr>
                  <w:r>
                    <w:t xml:space="preserve">-0.12</w:t>
                  </w:r>
                </w:p>
              </w:tc>
              <w:tc>
                <w:tcPr/>
                <w:p>
                  <w:pPr>
                    <w:pStyle w:val="Compact"/>
                    <w:jc w:val="left"/>
                    <w:jc w:val="center"/>
                  </w:pPr>
                  <w:r>
                    <w:t xml:space="preserve">[-0.66, 0.45]</w:t>
                  </w:r>
                </w:p>
              </w:tc>
              <w:tc>
                <w:tcPr/>
                <w:p>
                  <w:pPr>
                    <w:pStyle w:val="Compact"/>
                    <w:jc w:val="right"/>
                    <w:jc w:val="center"/>
                  </w:pPr>
                  <w:r>
                    <w:t xml:space="preserve">0.658</w:t>
                  </w:r>
                </w:p>
              </w:tc>
              <w:tc>
                <w:tcPr/>
                <w:p>
                  <w:pPr>
                    <w:pStyle w:val="Compact"/>
                    <w:jc w:val="right"/>
                    <w:jc w:val="center"/>
                  </w:pPr>
                  <w:r>
                    <w:t xml:space="preserve">-0.25</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left"/>
                    <w:jc w:val="center"/>
                  </w:pPr>
                  <w:r>
                    <w:t xml:space="preserve">district</w:t>
                  </w:r>
                </w:p>
              </w:tc>
              <w:tc>
                <w:tcPr/>
                <w:p>
                  <w:pPr>
                    <w:pStyle w:val="Compact"/>
                    <w:jc w:val="right"/>
                    <w:jc w:val="center"/>
                  </w:pPr>
                  <w:r>
                    <w:t xml:space="preserve">14</w:t>
                  </w:r>
                </w:p>
              </w:tc>
              <w:tc>
                <w:tcPr/>
                <w:p>
                  <w:pPr>
                    <w:pStyle w:val="Compact"/>
                    <w:jc w:val="right"/>
                    <w:jc w:val="center"/>
                  </w:pPr>
                  <w:r>
                    <w:t xml:space="preserve">-0.22</w:t>
                  </w:r>
                </w:p>
              </w:tc>
              <w:tc>
                <w:tcPr/>
                <w:p>
                  <w:pPr>
                    <w:pStyle w:val="Compact"/>
                    <w:jc w:val="left"/>
                    <w:jc w:val="center"/>
                  </w:pPr>
                  <w:r>
                    <w:t xml:space="preserve">[-0.73, 0.01]</w:t>
                  </w:r>
                </w:p>
              </w:tc>
              <w:tc>
                <w:tcPr/>
                <w:p>
                  <w:pPr>
                    <w:pStyle w:val="Compact"/>
                    <w:jc w:val="right"/>
                    <w:jc w:val="center"/>
                  </w:pPr>
                  <w:r>
                    <w:t xml:space="preserve">0.816</w:t>
                  </w:r>
                </w:p>
              </w:tc>
              <w:tc>
                <w:tcPr/>
                <w:p>
                  <w:pPr>
                    <w:pStyle w:val="Compact"/>
                    <w:jc w:val="right"/>
                    <w:jc w:val="center"/>
                  </w:pPr>
                  <w:r>
                    <w:t xml:space="preserve">-0.64</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left"/>
                    <w:jc w:val="center"/>
                  </w:pPr>
                  <w:r>
                    <w:t xml:space="preserve">district</w:t>
                  </w:r>
                </w:p>
              </w:tc>
              <w:tc>
                <w:tcPr/>
                <w:p>
                  <w:pPr>
                    <w:pStyle w:val="Compact"/>
                    <w:jc w:val="right"/>
                    <w:jc w:val="center"/>
                  </w:pPr>
                  <w:r>
                    <w:t xml:space="preserve">14</w:t>
                  </w:r>
                </w:p>
              </w:tc>
              <w:tc>
                <w:tcPr/>
                <w:p>
                  <w:pPr>
                    <w:pStyle w:val="Compact"/>
                    <w:jc w:val="right"/>
                    <w:jc w:val="center"/>
                  </w:pPr>
                  <w:r>
                    <w:t xml:space="preserve">0.35</w:t>
                  </w:r>
                </w:p>
              </w:tc>
              <w:tc>
                <w:tcPr/>
                <w:p>
                  <w:pPr>
                    <w:pStyle w:val="Compact"/>
                    <w:jc w:val="left"/>
                    <w:jc w:val="center"/>
                  </w:pPr>
                  <w:r>
                    <w:t xml:space="preserve">[-0.48, 0.84]</w:t>
                  </w:r>
                </w:p>
              </w:tc>
              <w:tc>
                <w:tcPr/>
                <w:p>
                  <w:pPr>
                    <w:pStyle w:val="Compact"/>
                    <w:jc w:val="right"/>
                    <w:jc w:val="center"/>
                  </w:pPr>
                  <w:r>
                    <w:t xml:space="preserve">0.245</w:t>
                  </w:r>
                </w:p>
              </w:tc>
              <w:tc>
                <w:tcPr/>
                <w:p>
                  <w:pPr>
                    <w:pStyle w:val="Compact"/>
                    <w:jc w:val="right"/>
                    <w:jc w:val="center"/>
                  </w:pPr>
                  <w:r>
                    <w:t xml:space="preserve">0.01</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left"/>
                    <w:jc w:val="center"/>
                  </w:pPr>
                  <w:r>
                    <w:t xml:space="preserve">district</w:t>
                  </w:r>
                </w:p>
              </w:tc>
              <w:tc>
                <w:tcPr/>
                <w:p>
                  <w:pPr>
                    <w:pStyle w:val="Compact"/>
                    <w:jc w:val="right"/>
                    <w:jc w:val="center"/>
                  </w:pPr>
                  <w:r>
                    <w:t xml:space="preserve">14</w:t>
                  </w:r>
                </w:p>
              </w:tc>
              <w:tc>
                <w:tcPr/>
                <w:p>
                  <w:pPr>
                    <w:pStyle w:val="Compact"/>
                    <w:jc w:val="right"/>
                    <w:jc w:val="center"/>
                  </w:pPr>
                  <w:r>
                    <w:t xml:space="preserve">-0.72</w:t>
                  </w:r>
                </w:p>
              </w:tc>
              <w:tc>
                <w:tcPr/>
                <w:p>
                  <w:pPr>
                    <w:pStyle w:val="Compact"/>
                    <w:jc w:val="left"/>
                    <w:jc w:val="center"/>
                  </w:pPr>
                  <w:r>
                    <w:t xml:space="preserve">[-0.89, -0.42]</w:t>
                  </w:r>
                </w:p>
              </w:tc>
              <w:tc>
                <w:tcPr/>
                <w:p>
                  <w:pPr>
                    <w:pStyle w:val="Compact"/>
                    <w:jc w:val="right"/>
                    <w:jc w:val="center"/>
                  </w:pPr>
                  <w:r>
                    <w:t xml:space="preserve">1.000</w:t>
                  </w:r>
                </w:p>
              </w:tc>
              <w:tc>
                <w:tcPr/>
                <w:p>
                  <w:pPr>
                    <w:pStyle w:val="Compact"/>
                    <w:jc w:val="right"/>
                    <w:jc w:val="center"/>
                  </w:pPr>
                  <w:r>
                    <w:t xml:space="preserve">-2.32</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left"/>
                    <w:jc w:val="center"/>
                  </w:pPr>
                  <w:r>
                    <w:t xml:space="preserve">district</w:t>
                  </w:r>
                </w:p>
              </w:tc>
              <w:tc>
                <w:tcPr/>
                <w:p>
                  <w:pPr>
                    <w:pStyle w:val="Compact"/>
                    <w:jc w:val="right"/>
                    <w:jc w:val="center"/>
                  </w:pPr>
                  <w:r>
                    <w:t xml:space="preserve">14</w:t>
                  </w:r>
                </w:p>
              </w:tc>
              <w:tc>
                <w:tcPr/>
                <w:p>
                  <w:pPr>
                    <w:pStyle w:val="Compact"/>
                    <w:jc w:val="right"/>
                    <w:jc w:val="center"/>
                  </w:pPr>
                  <w:r>
                    <w:t xml:space="preserve">0.05</w:t>
                  </w:r>
                </w:p>
              </w:tc>
              <w:tc>
                <w:tcPr/>
                <w:p>
                  <w:pPr>
                    <w:pStyle w:val="Compact"/>
                    <w:jc w:val="left"/>
                    <w:jc w:val="center"/>
                  </w:pPr>
                  <w:r>
                    <w:t xml:space="preserve">[-0.35, 0.48]</w:t>
                  </w:r>
                </w:p>
              </w:tc>
              <w:tc>
                <w:tcPr/>
                <w:p>
                  <w:pPr>
                    <w:pStyle w:val="Compact"/>
                    <w:jc w:val="right"/>
                    <w:jc w:val="center"/>
                  </w:pPr>
                  <w:r>
                    <w:t xml:space="preserve">0.447</w:t>
                  </w:r>
                </w:p>
              </w:tc>
              <w:tc>
                <w:tcPr/>
                <w:p>
                  <w:pPr>
                    <w:pStyle w:val="Compact"/>
                    <w:jc w:val="right"/>
                    <w:jc w:val="center"/>
                  </w:pPr>
                  <w:r>
                    <w:t xml:space="preserve">0.08</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left"/>
                    <w:jc w:val="center"/>
                  </w:pPr>
                  <w:r>
                    <w:t xml:space="preserve">district</w:t>
                  </w:r>
                </w:p>
              </w:tc>
              <w:tc>
                <w:tcPr/>
                <w:p>
                  <w:pPr>
                    <w:pStyle w:val="Compact"/>
                    <w:jc w:val="right"/>
                    <w:jc w:val="center"/>
                  </w:pPr>
                  <w:r>
                    <w:t xml:space="preserve">14</w:t>
                  </w:r>
                </w:p>
              </w:tc>
              <w:tc>
                <w:tcPr/>
                <w:p>
                  <w:pPr>
                    <w:pStyle w:val="Compact"/>
                    <w:jc w:val="right"/>
                    <w:jc w:val="center"/>
                  </w:pPr>
                  <w:r>
                    <w:t xml:space="preserve">-0.26</w:t>
                  </w:r>
                </w:p>
              </w:tc>
              <w:tc>
                <w:tcPr/>
                <w:p>
                  <w:pPr>
                    <w:pStyle w:val="Compact"/>
                    <w:jc w:val="left"/>
                    <w:jc w:val="center"/>
                  </w:pPr>
                  <w:r>
                    <w:t xml:space="preserve">[-0.94, 0.30]</w:t>
                  </w:r>
                </w:p>
              </w:tc>
              <w:tc>
                <w:tcPr/>
                <w:p>
                  <w:pPr>
                    <w:pStyle w:val="Compact"/>
                    <w:jc w:val="right"/>
                    <w:jc w:val="center"/>
                  </w:pPr>
                  <w:r>
                    <w:t xml:space="preserve">0.837</w:t>
                  </w:r>
                </w:p>
              </w:tc>
              <w:tc>
                <w:tcPr/>
                <w:p>
                  <w:pPr>
                    <w:pStyle w:val="Compact"/>
                    <w:jc w:val="right"/>
                    <w:jc w:val="center"/>
                  </w:pPr>
                  <w:r>
                    <w:t xml:space="preserve">-0.63</w:t>
                  </w:r>
                </w:p>
              </w:tc>
            </w:tr>
          </w:tbl>
          <w:bookmarkEnd w:id="32"/>
          <w:p/>
        </w:tc>
      </w:tr>
    </w:tbl>
    <w:bookmarkEnd w:id="33"/>
    <w:bookmarkStart w:id="44" w:name="cross-country-transportability"/>
    <w:p>
      <w:pPr>
        <w:pStyle w:val="Heading2"/>
      </w:pPr>
      <w:r>
        <w:t xml:space="preserve">3.5 Cross-country transportability</w:t>
      </w:r>
    </w:p>
    <w:p>
      <w:pPr>
        <w:pStyle w:val="FirstParagraph"/>
      </w:pPr>
      <w:r>
        <w:t xml:space="preserve">LOCO holdout produced markedly weaker performance than within-country</w:t>
      </w:r>
      <w:r>
        <w:t xml:space="preserve"> </w:t>
      </w:r>
      <w:r>
        <w:t xml:space="preserve">cross-validation (</w:t>
      </w:r>
      <w:hyperlink w:anchor="tbl-loco">
        <w:r>
          <w:rPr>
            <w:rStyle w:val="Hyperlink"/>
          </w:rPr>
          <w:t xml:space="preserve">Table 4</w:t>
        </w:r>
      </w:hyperlink>
      <w:r>
        <w:t xml:space="preserve">;</w:t>
      </w:r>
      <w:r>
        <w:t xml:space="preserve"> </w:t>
      </w:r>
      <w:hyperlink w:anchor="fig-loco-scatter">
        <w:r>
          <w:rPr>
            <w:rStyle w:val="Hyperlink"/>
          </w:rPr>
          <w:t xml:space="preserve">Figure 1</w:t>
        </w:r>
      </w:hyperlink>
      <w:r>
        <w:t xml:space="preserve">). Across the 16</w:t>
      </w:r>
      <w:r>
        <w:t xml:space="preserve"> </w:t>
      </w:r>
      <w:r>
        <w:t xml:space="preserve">outcome–holdout combinations, Pearson r had a median of 0.29 and ranged</w:t>
      </w:r>
      <w:r>
        <w:t xml:space="preserve"> </w:t>
      </w:r>
      <w:r>
        <w:t xml:space="preserve">from −0.21 to 0.75, with iron deficiency outcomes transporting best (median r</w:t>
      </w:r>
      <w:r>
        <w:t xml:space="preserve"> </w:t>
      </w:r>
      <w:r>
        <w:t xml:space="preserve">0.35 in children, 0.22 in women) and vitamin-A outcomes weaker (median r</w:t>
      </w:r>
      <w:r>
        <w:t xml:space="preserve"> </w:t>
      </w:r>
      <w:r>
        <w:t xml:space="preserve">0.24 in children, 0.37 in women), with anti-predictive ordering in some</w:t>
      </w:r>
      <w:r>
        <w:t xml:space="preserve"> </w:t>
      </w:r>
      <w:r>
        <w:t xml:space="preserve">holdouts.</w:t>
      </w:r>
    </w:p>
    <w:p>
      <w:pPr>
        <w:pStyle w:val="BodyText"/>
      </w:pPr>
      <w:r>
        <w:t xml:space="preserve">The area-level recipe, applied with the universal (earth-observation-only)</w:t>
      </w:r>
      <w:r>
        <w:t xml:space="preserve"> </w:t>
      </w:r>
      <w:r>
        <w:t xml:space="preserve">feature set and scored by rank correlation, produced comparable point</w:t>
      </w:r>
      <w:r>
        <w:t xml:space="preserve"> </w:t>
      </w:r>
      <w:r>
        <w:t xml:space="preserve">estimates to within-country cross-validation (Spearman 0.42 and 0.49 for</w:t>
      </w:r>
      <w:r>
        <w:t xml:space="preserve"> </w:t>
      </w:r>
      <w:r>
        <w:t xml:space="preserve">child iron, 0.75 and 0.35 for women’s iron, in Gambia and Ghana respectively)</w:t>
      </w:r>
      <w:r>
        <w:t xml:space="preserve"> </w:t>
      </w:r>
      <w:r>
        <w:t xml:space="preserve">but not to Malawi (Spearman ≈ 0.03–0.05), and vitamin A did not transport</w:t>
      </w:r>
      <w:r>
        <w:t xml:space="preserve"> </w:t>
      </w:r>
      <w:r>
        <w:t xml:space="preserve">well in any country. As noted above (</w:t>
      </w:r>
      <w:hyperlink w:anchor="sec-recipe-audit">
        <w:r>
          <w:rPr>
            <w:rStyle w:val="Hyperlink"/>
          </w:rPr>
          <w:t xml:space="preserve">Section 3.4</w:t>
        </w:r>
      </w:hyperlink>
      <w:r>
        <w:t xml:space="preserve">), the recipe’s</w:t>
      </w:r>
      <w:r>
        <w:t xml:space="preserve"> </w:t>
      </w:r>
      <w:r>
        <w:t xml:space="preserve">apparent edge over simpler comparators does not survive a leakage-corrected</w:t>
      </w:r>
      <w:r>
        <w:t xml:space="preserve"> </w:t>
      </w:r>
      <w:r>
        <w:t xml:space="preserve">re-ranking, so we read these numbers as descriptive of the recipe’s own</w:t>
      </w:r>
      <w:r>
        <w:t xml:space="preserve"> </w:t>
      </w:r>
      <w:r>
        <w:t xml:space="preserve">LOCO behaviour rather than as evidence that it out-transports the benchmark</w:t>
      </w:r>
      <w:r>
        <w:t xml:space="preserve"> </w:t>
      </w:r>
      <w:r>
        <w:t xml:space="preserve">methods in</w:t>
      </w:r>
      <w:r>
        <w:t xml:space="preserve"> </w:t>
      </w:r>
      <w:hyperlink w:anchor="tbl-benchmarks">
        <w:r>
          <w:rPr>
            <w:rStyle w:val="Hyperlink"/>
          </w:rPr>
          <w:t xml:space="preserve">Table 6</w:t>
        </w:r>
      </w:hyperlink>
      <w:r>
        <w:t xml:space="preserve">. The malaria/IHME enrichment that aided</w:t>
      </w:r>
      <w:r>
        <w:t xml:space="preserve"> </w:t>
      </w:r>
      <w:r>
        <w:t xml:space="preserve">within-country prediction</w:t>
      </w:r>
      <w:r>
        <w:t xml:space="preserve"> </w:t>
      </w:r>
      <w:r>
        <w:rPr>
          <w:i/>
          <w:iCs/>
        </w:rPr>
        <w:t xml:space="preserve">degraded</w:t>
      </w:r>
      <w:r>
        <w:t xml:space="preserve"> </w:t>
      </w:r>
      <w:r>
        <w:t xml:space="preserve">transport (mean child-iron Spearman 0.30</w:t>
      </w:r>
      <w:r>
        <w:t xml:space="preserve"> </w:t>
      </w:r>
      <w:r>
        <w:t xml:space="preserve">with universal features versus 0.20 enriched), because the malaria–iron and</w:t>
      </w:r>
      <w:r>
        <w:t xml:space="preserve"> </w:t>
      </w:r>
      <w:r>
        <w:t xml:space="preserve">modelled-burden relationships are country-specific rather than universal.</w:t>
      </w:r>
      <w:r>
        <w:t xml:space="preserve"> </w:t>
      </w:r>
      <w:r>
        <w:t xml:space="preserve">Cross-country prediction is therefore, at best, a ranking-only product, valid</w:t>
      </w:r>
      <w:r>
        <w:t xml:space="preserve"> </w:t>
      </w:r>
      <w:r>
        <w:t xml:space="preserve">within an epidemiologically similar neighbourhood with adequate covariate</w:t>
      </w:r>
      <w:r>
        <w:t xml:space="preserve"> </w:t>
      </w:r>
      <w:r>
        <w:t xml:space="preserve">coverage and requiring national-anchor calibration to recover the absolute</w:t>
      </w:r>
      <w:r>
        <w:t xml:space="preserve"> </w:t>
      </w:r>
      <w:r>
        <w:t xml:space="preserve">level.</w:t>
      </w:r>
    </w:p>
    <w:tbl>
      <w:tblPr>
        <w:tblStyle w:val="Table"/>
        <w:tblW w:type="pct" w:w="5000"/>
        <w:tblLayout w:type="fixed"/>
        <w:tblLook w:firstRow="0" w:lastRow="0" w:firstColumn="0" w:lastColumn="0" w:noHBand="0" w:noVBand="0" w:val="0000"/>
      </w:tblPr>
      <w:tblGrid>
        <w:gridCol w:w="7920"/>
      </w:tblGrid>
      <w:tr>
        <w:tc>
          <w:tcPr/>
          <w:bookmarkStart w:id="34" w:name="tbl-loco"/>
          <w:p>
            <w:pPr>
              <w:jc w:val="center"/>
            </w:pPr>
            <w:pPr>
              <w:jc w:val="start"/>
              <w:spacing w:before="200"/>
              <w:pStyle w:val="ImageCaption"/>
            </w:pPr>
            <w:r>
              <w:t xml:space="preserve">Table 4: Leave-one-country-out (LOCO) transportability of the area-level SuperLearner. From results/tables/transportability_area_loco_metrics.csv.</w:t>
            </w:r>
          </w:p>
          <w:tbl>
            <w:tblPr>
              <w:tblStyle w:val="Table"/>
              <w:tblW w:type="pct" w:w="5000"/>
              <w:tblLayout w:type="fixed"/>
              <w:tblLook w:firstRow="1" w:lastRow="0" w:firstColumn="0" w:lastColumn="0" w:noHBand="0" w:noVBand="0" w:val="0020"/>
            </w:tblPr>
            <w:tblGrid>
              <w:gridCol w:w="1049"/>
              <w:gridCol w:w="1145"/>
              <w:gridCol w:w="763"/>
              <w:gridCol w:w="667"/>
              <w:gridCol w:w="667"/>
              <w:gridCol w:w="667"/>
              <w:gridCol w:w="858"/>
              <w:gridCol w:w="954"/>
              <w:gridCol w:w="1145"/>
            </w:tblGrid>
            <w:tr>
              <w:trPr>
                <w:tblHeader w:val="on"/>
              </w:trPr>
              <w:tc>
                <w:tcPr/>
                <w:p>
                  <w:pPr>
                    <w:pStyle w:val="Compact"/>
                    <w:jc w:val="left"/>
                    <w:jc w:val="center"/>
                  </w:pPr>
                  <w:r>
                    <w:t xml:space="preserve">Outcome</w:t>
                  </w:r>
                </w:p>
              </w:tc>
              <w:tc>
                <w:tcPr/>
                <w:p>
                  <w:pPr>
                    <w:pStyle w:val="Compact"/>
                    <w:jc w:val="left"/>
                    <w:jc w:val="center"/>
                  </w:pPr>
                  <w:r>
                    <w:t xml:space="preserve">Held out</w:t>
                  </w:r>
                </w:p>
              </w:tc>
              <w:tc>
                <w:tcPr/>
                <w:p>
                  <w:pPr>
                    <w:pStyle w:val="Compact"/>
                    <w:jc w:val="right"/>
                    <w:jc w:val="center"/>
                  </w:pPr>
                  <w:r>
                    <w:t xml:space="preserve">n train</w:t>
                  </w:r>
                </w:p>
              </w:tc>
              <w:tc>
                <w:tcPr/>
                <w:p>
                  <w:pPr>
                    <w:pStyle w:val="Compact"/>
                    <w:jc w:val="right"/>
                    <w:jc w:val="center"/>
                  </w:pPr>
                  <w:r>
                    <w:t xml:space="preserve">n test</w:t>
                  </w:r>
                </w:p>
              </w:tc>
              <w:tc>
                <w:tcPr/>
                <w:p>
                  <w:pPr>
                    <w:pStyle w:val="Compact"/>
                    <w:jc w:val="right"/>
                    <w:jc w:val="center"/>
                  </w:pPr>
                  <w:r>
                    <w:t xml:space="preserve">r</w:t>
                  </w:r>
                </w:p>
              </w:tc>
              <w:tc>
                <w:tcPr/>
                <w:p>
                  <w:pPr>
                    <w:pStyle w:val="Compact"/>
                    <w:jc w:val="right"/>
                    <w:jc w:val="center"/>
                  </w:pPr>
                  <w:r>
                    <w:t xml:space="preserve">ρ</w:t>
                  </w:r>
                </w:p>
              </w:tc>
              <w:tc>
                <w:tcPr/>
                <w:p>
                  <w:pPr>
                    <w:pStyle w:val="Compact"/>
                    <w:jc w:val="right"/>
                    <w:jc w:val="center"/>
                  </w:pPr>
                  <w:r>
                    <w:t xml:space="preserve">MAE (pp)</w:t>
                  </w:r>
                </w:p>
              </w:tc>
              <w:tc>
                <w:tcPr/>
                <w:p>
                  <w:pPr>
                    <w:pStyle w:val="Compact"/>
                    <w:jc w:val="right"/>
                    <w:jc w:val="center"/>
                  </w:pPr>
                  <w:r>
                    <w:t xml:space="preserve">Bias (pp)</w:t>
                  </w:r>
                </w:p>
              </w:tc>
              <w:tc>
                <w:tcPr/>
                <w:p>
                  <w:pPr>
                    <w:pStyle w:val="Compact"/>
                    <w:jc w:val="right"/>
                    <w:jc w:val="center"/>
                  </w:pPr>
                  <w:r>
                    <w:t xml:space="preserve">Calib slope</w:t>
                  </w:r>
                </w:p>
              </w:tc>
            </w:tr>
            <w:tr>
              <w:tc>
                <w:tcPr/>
                <w:p>
                  <w:pPr>
                    <w:pStyle w:val="Compact"/>
                    <w:jc w:val="left"/>
                    <w:jc w:val="center"/>
                  </w:pPr>
                  <w:r>
                    <w:t xml:space="preserve">child_vitA</w:t>
                  </w:r>
                </w:p>
              </w:tc>
              <w:tc>
                <w:tcPr/>
                <w:p>
                  <w:pPr>
                    <w:pStyle w:val="Compact"/>
                    <w:jc w:val="left"/>
                    <w:jc w:val="center"/>
                  </w:pPr>
                  <w:r>
                    <w:t xml:space="preserve">gambia</w:t>
                  </w:r>
                </w:p>
              </w:tc>
              <w:tc>
                <w:tcPr/>
                <w:p>
                  <w:pPr>
                    <w:pStyle w:val="Compact"/>
                    <w:jc w:val="right"/>
                    <w:jc w:val="center"/>
                  </w:pPr>
                  <w:r>
                    <w:t xml:space="preserve">176</w:t>
                  </w:r>
                </w:p>
              </w:tc>
              <w:tc>
                <w:tcPr/>
                <w:p>
                  <w:pPr>
                    <w:pStyle w:val="Compact"/>
                    <w:jc w:val="right"/>
                    <w:jc w:val="center"/>
                  </w:pPr>
                  <w:r>
                    <w:t xml:space="preserve">30</w:t>
                  </w:r>
                </w:p>
              </w:tc>
              <w:tc>
                <w:tcPr/>
                <w:p>
                  <w:pPr>
                    <w:pStyle w:val="Compact"/>
                    <w:jc w:val="right"/>
                    <w:jc w:val="center"/>
                  </w:pPr>
                  <w:r>
                    <w:t xml:space="preserve">0.397</w:t>
                  </w:r>
                </w:p>
              </w:tc>
              <w:tc>
                <w:tcPr/>
                <w:p>
                  <w:pPr>
                    <w:pStyle w:val="Compact"/>
                    <w:jc w:val="right"/>
                    <w:jc w:val="center"/>
                  </w:pPr>
                  <w:r>
                    <w:t xml:space="preserve">0.393</w:t>
                  </w:r>
                </w:p>
              </w:tc>
              <w:tc>
                <w:tcPr/>
                <w:p>
                  <w:pPr>
                    <w:pStyle w:val="Compact"/>
                    <w:jc w:val="right"/>
                    <w:jc w:val="center"/>
                  </w:pPr>
                  <w:r>
                    <w:t xml:space="preserve">11.60</w:t>
                  </w:r>
                </w:p>
              </w:tc>
              <w:tc>
                <w:tcPr/>
                <w:p>
                  <w:pPr>
                    <w:pStyle w:val="Compact"/>
                    <w:jc w:val="right"/>
                    <w:jc w:val="center"/>
                  </w:pPr>
                  <w:r>
                    <w:t xml:space="preserve">-8.84</w:t>
                  </w:r>
                </w:p>
              </w:tc>
              <w:tc>
                <w:tcPr/>
                <w:p>
                  <w:pPr>
                    <w:pStyle w:val="Compact"/>
                    <w:jc w:val="right"/>
                    <w:jc w:val="center"/>
                  </w:pPr>
                  <w:r>
                    <w:t xml:space="preserve">1.54</w:t>
                  </w:r>
                </w:p>
              </w:tc>
            </w:tr>
            <w:tr>
              <w:tc>
                <w:tcPr/>
                <w:p>
                  <w:pPr>
                    <w:pStyle w:val="Compact"/>
                    <w:jc w:val="left"/>
                    <w:jc w:val="center"/>
                  </w:pPr>
                  <w:r>
                    <w:t xml:space="preserve">child_vitA</w:t>
                  </w:r>
                </w:p>
              </w:tc>
              <w:tc>
                <w:tcPr/>
                <w:p>
                  <w:pPr>
                    <w:pStyle w:val="Compact"/>
                    <w:jc w:val="left"/>
                    <w:jc w:val="center"/>
                  </w:pPr>
                  <w:r>
                    <w:t xml:space="preserve">ghana</w:t>
                  </w:r>
                </w:p>
              </w:tc>
              <w:tc>
                <w:tcPr/>
                <w:p>
                  <w:pPr>
                    <w:pStyle w:val="Compact"/>
                    <w:jc w:val="right"/>
                    <w:jc w:val="center"/>
                  </w:pPr>
                  <w:r>
                    <w:t xml:space="preserve">131</w:t>
                  </w:r>
                </w:p>
              </w:tc>
              <w:tc>
                <w:tcPr/>
                <w:p>
                  <w:pPr>
                    <w:pStyle w:val="Compact"/>
                    <w:jc w:val="right"/>
                    <w:jc w:val="center"/>
                  </w:pPr>
                  <w:r>
                    <w:t xml:space="preserve">75</w:t>
                  </w:r>
                </w:p>
              </w:tc>
              <w:tc>
                <w:tcPr/>
                <w:p>
                  <w:pPr>
                    <w:pStyle w:val="Compact"/>
                    <w:jc w:val="right"/>
                    <w:jc w:val="center"/>
                  </w:pPr>
                  <w:r>
                    <w:t xml:space="preserve">0.227</w:t>
                  </w:r>
                </w:p>
              </w:tc>
              <w:tc>
                <w:tcPr/>
                <w:p>
                  <w:pPr>
                    <w:pStyle w:val="Compact"/>
                    <w:jc w:val="right"/>
                    <w:jc w:val="center"/>
                  </w:pPr>
                  <w:r>
                    <w:t xml:space="preserve">0.168</w:t>
                  </w:r>
                </w:p>
              </w:tc>
              <w:tc>
                <w:tcPr/>
                <w:p>
                  <w:pPr>
                    <w:pStyle w:val="Compact"/>
                    <w:jc w:val="right"/>
                    <w:jc w:val="center"/>
                  </w:pPr>
                  <w:r>
                    <w:t xml:space="preserve">9.38</w:t>
                  </w:r>
                </w:p>
              </w:tc>
              <w:tc>
                <w:tcPr/>
                <w:p>
                  <w:pPr>
                    <w:pStyle w:val="Compact"/>
                    <w:jc w:val="right"/>
                    <w:jc w:val="center"/>
                  </w:pPr>
                  <w:r>
                    <w:t xml:space="preserve">0.52</w:t>
                  </w:r>
                </w:p>
              </w:tc>
              <w:tc>
                <w:tcPr/>
                <w:p>
                  <w:pPr>
                    <w:pStyle w:val="Compact"/>
                    <w:jc w:val="right"/>
                    <w:jc w:val="center"/>
                  </w:pPr>
                  <w:r>
                    <w:t xml:space="preserve">0.46</w:t>
                  </w:r>
                </w:p>
              </w:tc>
            </w:tr>
            <w:tr>
              <w:tc>
                <w:tcPr/>
                <w:p>
                  <w:pPr>
                    <w:pStyle w:val="Compact"/>
                    <w:jc w:val="left"/>
                    <w:jc w:val="center"/>
                  </w:pPr>
                  <w:r>
                    <w:t xml:space="preserve">child_vitA</w:t>
                  </w:r>
                </w:p>
              </w:tc>
              <w:tc>
                <w:tcPr/>
                <w:p>
                  <w:pPr>
                    <w:pStyle w:val="Compact"/>
                    <w:jc w:val="left"/>
                    <w:jc w:val="center"/>
                  </w:pPr>
                  <w:r>
                    <w:t xml:space="preserve">sierraleone</w:t>
                  </w:r>
                </w:p>
              </w:tc>
              <w:tc>
                <w:tcPr/>
                <w:p>
                  <w:pPr>
                    <w:pStyle w:val="Compact"/>
                    <w:jc w:val="right"/>
                    <w:jc w:val="center"/>
                  </w:pPr>
                  <w:r>
                    <w:t xml:space="preserve">192</w:t>
                  </w:r>
                </w:p>
              </w:tc>
              <w:tc>
                <w:tcPr/>
                <w:p>
                  <w:pPr>
                    <w:pStyle w:val="Compact"/>
                    <w:jc w:val="right"/>
                    <w:jc w:val="center"/>
                  </w:pPr>
                  <w:r>
                    <w:t xml:space="preserve">14</w:t>
                  </w:r>
                </w:p>
              </w:tc>
              <w:tc>
                <w:tcPr/>
                <w:p>
                  <w:pPr>
                    <w:pStyle w:val="Compact"/>
                    <w:jc w:val="right"/>
                    <w:jc w:val="center"/>
                  </w:pPr>
                  <w:r>
                    <w:t xml:space="preserve">0.052</w:t>
                  </w:r>
                </w:p>
              </w:tc>
              <w:tc>
                <w:tcPr/>
                <w:p>
                  <w:pPr>
                    <w:pStyle w:val="Compact"/>
                    <w:jc w:val="right"/>
                    <w:jc w:val="center"/>
                  </w:pPr>
                  <w:r>
                    <w:t xml:space="preserve">-0.011</w:t>
                  </w:r>
                </w:p>
              </w:tc>
              <w:tc>
                <w:tcPr/>
                <w:p>
                  <w:pPr>
                    <w:pStyle w:val="Compact"/>
                    <w:jc w:val="right"/>
                    <w:jc w:val="center"/>
                  </w:pPr>
                  <w:r>
                    <w:t xml:space="preserve">6.94</w:t>
                  </w:r>
                </w:p>
              </w:tc>
              <w:tc>
                <w:tcPr/>
                <w:p>
                  <w:pPr>
                    <w:pStyle w:val="Compact"/>
                    <w:jc w:val="right"/>
                    <w:jc w:val="center"/>
                  </w:pPr>
                  <w:r>
                    <w:t xml:space="preserve">-6.55</w:t>
                  </w:r>
                </w:p>
              </w:tc>
              <w:tc>
                <w:tcPr/>
                <w:p>
                  <w:pPr>
                    <w:pStyle w:val="Compact"/>
                    <w:jc w:val="right"/>
                    <w:jc w:val="center"/>
                  </w:pPr>
                  <w:r>
                    <w:t xml:space="preserve">0.37</w:t>
                  </w:r>
                </w:p>
              </w:tc>
            </w:tr>
            <w:tr>
              <w:tc>
                <w:tcPr/>
                <w:p>
                  <w:pPr>
                    <w:pStyle w:val="Compact"/>
                    <w:jc w:val="left"/>
                    <w:jc w:val="center"/>
                  </w:pPr>
                  <w:r>
                    <w:t xml:space="preserve">child_vitA</w:t>
                  </w:r>
                </w:p>
              </w:tc>
              <w:tc>
                <w:tcPr/>
                <w:p>
                  <w:pPr>
                    <w:pStyle w:val="Compact"/>
                    <w:jc w:val="left"/>
                    <w:jc w:val="center"/>
                  </w:pPr>
                  <w:r>
                    <w:t xml:space="preserve">malawi</w:t>
                  </w:r>
                </w:p>
              </w:tc>
              <w:tc>
                <w:tcPr/>
                <w:p>
                  <w:pPr>
                    <w:pStyle w:val="Compact"/>
                    <w:jc w:val="right"/>
                    <w:jc w:val="center"/>
                  </w:pPr>
                  <w:r>
                    <w:t xml:space="preserve">119</w:t>
                  </w:r>
                </w:p>
              </w:tc>
              <w:tc>
                <w:tcPr/>
                <w:p>
                  <w:pPr>
                    <w:pStyle w:val="Compact"/>
                    <w:jc w:val="right"/>
                    <w:jc w:val="center"/>
                  </w:pPr>
                  <w:r>
                    <w:t xml:space="preserve">87</w:t>
                  </w:r>
                </w:p>
              </w:tc>
              <w:tc>
                <w:tcPr/>
                <w:p>
                  <w:pPr>
                    <w:pStyle w:val="Compact"/>
                    <w:jc w:val="right"/>
                    <w:jc w:val="center"/>
                  </w:pPr>
                  <w:r>
                    <w:t xml:space="preserve">-0.156</w:t>
                  </w:r>
                </w:p>
              </w:tc>
              <w:tc>
                <w:tcPr/>
                <w:p>
                  <w:pPr>
                    <w:pStyle w:val="Compact"/>
                    <w:jc w:val="right"/>
                    <w:jc w:val="center"/>
                  </w:pPr>
                  <w:r>
                    <w:t xml:space="preserve">-0.045</w:t>
                  </w:r>
                </w:p>
              </w:tc>
              <w:tc>
                <w:tcPr/>
                <w:p>
                  <w:pPr>
                    <w:pStyle w:val="Compact"/>
                    <w:jc w:val="right"/>
                    <w:jc w:val="center"/>
                  </w:pPr>
                  <w:r>
                    <w:t xml:space="preserve">8.46</w:t>
                  </w:r>
                </w:p>
              </w:tc>
              <w:tc>
                <w:tcPr/>
                <w:p>
                  <w:pPr>
                    <w:pStyle w:val="Compact"/>
                    <w:jc w:val="right"/>
                    <w:jc w:val="center"/>
                  </w:pPr>
                  <w:r>
                    <w:t xml:space="preserve">-6.36</w:t>
                  </w:r>
                </w:p>
              </w:tc>
              <w:tc>
                <w:tcPr/>
                <w:p>
                  <w:pPr>
                    <w:pStyle w:val="Compact"/>
                    <w:jc w:val="right"/>
                    <w:jc w:val="center"/>
                  </w:pPr>
                  <w:r>
                    <w:t xml:space="preserve">-0.82</w:t>
                  </w:r>
                </w:p>
              </w:tc>
            </w:tr>
            <w:tr>
              <w:tc>
                <w:tcPr/>
                <w:p>
                  <w:pPr>
                    <w:pStyle w:val="Compact"/>
                    <w:jc w:val="left"/>
                    <w:jc w:val="center"/>
                  </w:pPr>
                  <w:r>
                    <w:t xml:space="preserve">women_vitA</w:t>
                  </w:r>
                </w:p>
              </w:tc>
              <w:tc>
                <w:tcPr/>
                <w:p>
                  <w:pPr>
                    <w:pStyle w:val="Compact"/>
                    <w:jc w:val="left"/>
                    <w:jc w:val="center"/>
                  </w:pPr>
                  <w:r>
                    <w:t xml:space="preserve">gambia</w:t>
                  </w:r>
                </w:p>
              </w:tc>
              <w:tc>
                <w:tcPr/>
                <w:p>
                  <w:pPr>
                    <w:pStyle w:val="Compact"/>
                    <w:jc w:val="right"/>
                    <w:jc w:val="center"/>
                  </w:pPr>
                  <w:r>
                    <w:t xml:space="preserve">176</w:t>
                  </w:r>
                </w:p>
              </w:tc>
              <w:tc>
                <w:tcPr/>
                <w:p>
                  <w:pPr>
                    <w:pStyle w:val="Compact"/>
                    <w:jc w:val="right"/>
                    <w:jc w:val="center"/>
                  </w:pPr>
                  <w:r>
                    <w:t xml:space="preserve">30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3.43</w:t>
                  </w:r>
                </w:p>
              </w:tc>
              <w:tc>
                <w:tcPr/>
                <w:p>
                  <w:pPr>
                    <w:pStyle w:val="Compact"/>
                    <w:jc w:val="right"/>
                    <w:jc w:val="center"/>
                  </w:pPr>
                  <w:r>
                    <w:t xml:space="preserve">-2.61</w:t>
                  </w:r>
                </w:p>
              </w:tc>
              <w:tc>
                <w:tcPr/>
                <w:p>
                  <w:pPr>
                    <w:pStyle w:val="Compact"/>
                    <w:jc w:val="right"/>
                    <w:jc w:val="center"/>
                  </w:pPr>
                  <w:r>
                    <w:t xml:space="preserve">NA</w:t>
                  </w:r>
                </w:p>
              </w:tc>
            </w:tr>
            <w:tr>
              <w:tc>
                <w:tcPr/>
                <w:p>
                  <w:pPr>
                    <w:pStyle w:val="Compact"/>
                    <w:jc w:val="left"/>
                    <w:jc w:val="center"/>
                  </w:pPr>
                  <w:r>
                    <w:t xml:space="preserve">women_vitA</w:t>
                  </w:r>
                </w:p>
              </w:tc>
              <w:tc>
                <w:tcPr/>
                <w:p>
                  <w:pPr>
                    <w:pStyle w:val="Compact"/>
                    <w:jc w:val="left"/>
                    <w:jc w:val="center"/>
                  </w:pPr>
                  <w:r>
                    <w:t xml:space="preserve">ghana</w:t>
                  </w:r>
                </w:p>
              </w:tc>
              <w:tc>
                <w:tcPr/>
                <w:p>
                  <w:pPr>
                    <w:pStyle w:val="Compact"/>
                    <w:jc w:val="right"/>
                    <w:jc w:val="center"/>
                  </w:pPr>
                  <w:r>
                    <w:t xml:space="preserve">131</w:t>
                  </w:r>
                </w:p>
              </w:tc>
              <w:tc>
                <w:tcPr/>
                <w:p>
                  <w:pPr>
                    <w:pStyle w:val="Compact"/>
                    <w:jc w:val="right"/>
                    <w:jc w:val="center"/>
                  </w:pPr>
                  <w:r>
                    <w:t xml:space="preserve">75</w:t>
                  </w:r>
                </w:p>
              </w:tc>
              <w:tc>
                <w:tcPr/>
                <w:p>
                  <w:pPr>
                    <w:pStyle w:val="Compact"/>
                    <w:jc w:val="right"/>
                    <w:jc w:val="center"/>
                  </w:pPr>
                  <w:r>
                    <w:t xml:space="preserve">0.207</w:t>
                  </w:r>
                </w:p>
              </w:tc>
              <w:tc>
                <w:tcPr/>
                <w:p>
                  <w:pPr>
                    <w:pStyle w:val="Compact"/>
                    <w:jc w:val="right"/>
                    <w:jc w:val="center"/>
                  </w:pPr>
                  <w:r>
                    <w:t xml:space="preserve">0.219</w:t>
                  </w:r>
                </w:p>
              </w:tc>
              <w:tc>
                <w:tcPr/>
                <w:p>
                  <w:pPr>
                    <w:pStyle w:val="Compact"/>
                    <w:jc w:val="right"/>
                    <w:jc w:val="center"/>
                  </w:pPr>
                  <w:r>
                    <w:t xml:space="preserve">2.30</w:t>
                  </w:r>
                </w:p>
              </w:tc>
              <w:tc>
                <w:tcPr/>
                <w:p>
                  <w:pPr>
                    <w:pStyle w:val="Compact"/>
                    <w:jc w:val="right"/>
                    <w:jc w:val="center"/>
                  </w:pPr>
                  <w:r>
                    <w:t xml:space="preserve">-0.58</w:t>
                  </w:r>
                </w:p>
              </w:tc>
              <w:tc>
                <w:tcPr/>
                <w:p>
                  <w:pPr>
                    <w:pStyle w:val="Compact"/>
                    <w:jc w:val="right"/>
                    <w:jc w:val="center"/>
                  </w:pPr>
                  <w:r>
                    <w:t xml:space="preserve">5.82</w:t>
                  </w:r>
                </w:p>
              </w:tc>
            </w:tr>
            <w:tr>
              <w:tc>
                <w:tcPr/>
                <w:p>
                  <w:pPr>
                    <w:pStyle w:val="Compact"/>
                    <w:jc w:val="left"/>
                    <w:jc w:val="center"/>
                  </w:pPr>
                  <w:r>
                    <w:t xml:space="preserve">women_vitA</w:t>
                  </w:r>
                </w:p>
              </w:tc>
              <w:tc>
                <w:tcPr/>
                <w:p>
                  <w:pPr>
                    <w:pStyle w:val="Compact"/>
                    <w:jc w:val="left"/>
                    <w:jc w:val="center"/>
                  </w:pPr>
                  <w:r>
                    <w:t xml:space="preserve">sierraleone</w:t>
                  </w:r>
                </w:p>
              </w:tc>
              <w:tc>
                <w:tcPr/>
                <w:p>
                  <w:pPr>
                    <w:pStyle w:val="Compact"/>
                    <w:jc w:val="right"/>
                    <w:jc w:val="center"/>
                  </w:pPr>
                  <w:r>
                    <w:t xml:space="preserve">192</w:t>
                  </w:r>
                </w:p>
              </w:tc>
              <w:tc>
                <w:tcPr/>
                <w:p>
                  <w:pPr>
                    <w:pStyle w:val="Compact"/>
                    <w:jc w:val="right"/>
                    <w:jc w:val="center"/>
                  </w:pPr>
                  <w:r>
                    <w:t xml:space="preserve">14</w:t>
                  </w:r>
                </w:p>
              </w:tc>
              <w:tc>
                <w:tcPr/>
                <w:p>
                  <w:pPr>
                    <w:pStyle w:val="Compact"/>
                    <w:jc w:val="right"/>
                    <w:jc w:val="center"/>
                  </w:pPr>
                  <w:r>
                    <w:t xml:space="preserve">-0.080</w:t>
                  </w:r>
                </w:p>
              </w:tc>
              <w:tc>
                <w:tcPr/>
                <w:p>
                  <w:pPr>
                    <w:pStyle w:val="Compact"/>
                    <w:jc w:val="right"/>
                    <w:jc w:val="center"/>
                  </w:pPr>
                  <w:r>
                    <w:t xml:space="preserve">-0.069</w:t>
                  </w:r>
                </w:p>
              </w:tc>
              <w:tc>
                <w:tcPr/>
                <w:p>
                  <w:pPr>
                    <w:pStyle w:val="Compact"/>
                    <w:jc w:val="right"/>
                    <w:jc w:val="center"/>
                  </w:pPr>
                  <w:r>
                    <w:t xml:space="preserve">1.27</w:t>
                  </w:r>
                </w:p>
              </w:tc>
              <w:tc>
                <w:tcPr/>
                <w:p>
                  <w:pPr>
                    <w:pStyle w:val="Compact"/>
                    <w:jc w:val="right"/>
                    <w:jc w:val="center"/>
                  </w:pPr>
                  <w:r>
                    <w:t xml:space="preserve">-1.03</w:t>
                  </w:r>
                </w:p>
              </w:tc>
              <w:tc>
                <w:tcPr/>
                <w:p>
                  <w:pPr>
                    <w:pStyle w:val="Compact"/>
                    <w:jc w:val="right"/>
                    <w:jc w:val="center"/>
                  </w:pPr>
                  <w:r>
                    <w:t xml:space="preserve">-2.69</w:t>
                  </w:r>
                </w:p>
              </w:tc>
            </w:tr>
            <w:tr>
              <w:tc>
                <w:tcPr/>
                <w:p>
                  <w:pPr>
                    <w:pStyle w:val="Compact"/>
                    <w:jc w:val="left"/>
                    <w:jc w:val="center"/>
                  </w:pPr>
                  <w:r>
                    <w:t xml:space="preserve">women_vitA</w:t>
                  </w:r>
                </w:p>
              </w:tc>
              <w:tc>
                <w:tcPr/>
                <w:p>
                  <w:pPr>
                    <w:pStyle w:val="Compact"/>
                    <w:jc w:val="left"/>
                    <w:jc w:val="center"/>
                  </w:pPr>
                  <w:r>
                    <w:t xml:space="preserve">malawi</w:t>
                  </w:r>
                </w:p>
              </w:tc>
              <w:tc>
                <w:tcPr/>
                <w:p>
                  <w:pPr>
                    <w:pStyle w:val="Compact"/>
                    <w:jc w:val="right"/>
                    <w:jc w:val="center"/>
                  </w:pPr>
                  <w:r>
                    <w:t xml:space="preserve">119</w:t>
                  </w:r>
                </w:p>
              </w:tc>
              <w:tc>
                <w:tcPr/>
                <w:p>
                  <w:pPr>
                    <w:pStyle w:val="Compact"/>
                    <w:jc w:val="right"/>
                    <w:jc w:val="center"/>
                  </w:pPr>
                  <w:r>
                    <w:t xml:space="preserve">87</w:t>
                  </w:r>
                </w:p>
              </w:tc>
              <w:tc>
                <w:tcPr/>
                <w:p>
                  <w:pPr>
                    <w:pStyle w:val="Compact"/>
                    <w:jc w:val="right"/>
                    <w:jc w:val="center"/>
                  </w:pPr>
                  <w:r>
                    <w:t xml:space="preserve">-0.083</w:t>
                  </w:r>
                </w:p>
              </w:tc>
              <w:tc>
                <w:tcPr/>
                <w:p>
                  <w:pPr>
                    <w:pStyle w:val="Compact"/>
                    <w:jc w:val="right"/>
                    <w:jc w:val="center"/>
                  </w:pPr>
                  <w:r>
                    <w:t xml:space="preserve">-0.051</w:t>
                  </w:r>
                </w:p>
              </w:tc>
              <w:tc>
                <w:tcPr/>
                <w:p>
                  <w:pPr>
                    <w:pStyle w:val="Compact"/>
                    <w:jc w:val="right"/>
                    <w:jc w:val="center"/>
                  </w:pPr>
                  <w:r>
                    <w:t xml:space="preserve">3.13</w:t>
                  </w:r>
                </w:p>
              </w:tc>
              <w:tc>
                <w:tcPr/>
                <w:p>
                  <w:pPr>
                    <w:pStyle w:val="Compact"/>
                    <w:jc w:val="right"/>
                    <w:jc w:val="center"/>
                  </w:pPr>
                  <w:r>
                    <w:t xml:space="preserve">0.30</w:t>
                  </w:r>
                </w:p>
              </w:tc>
              <w:tc>
                <w:tcPr/>
                <w:p>
                  <w:pPr>
                    <w:pStyle w:val="Compact"/>
                    <w:jc w:val="right"/>
                    <w:jc w:val="center"/>
                  </w:pPr>
                  <w:r>
                    <w:t xml:space="preserve">-0.23</w:t>
                  </w:r>
                </w:p>
              </w:tc>
            </w:tr>
            <w:tr>
              <w:tc>
                <w:tcPr/>
                <w:p>
                  <w:pPr>
                    <w:pStyle w:val="Compact"/>
                    <w:jc w:val="left"/>
                    <w:jc w:val="center"/>
                  </w:pPr>
                  <w:r>
                    <w:t xml:space="preserve">child_iron</w:t>
                  </w:r>
                </w:p>
              </w:tc>
              <w:tc>
                <w:tcPr/>
                <w:p>
                  <w:pPr>
                    <w:pStyle w:val="Compact"/>
                    <w:jc w:val="left"/>
                    <w:jc w:val="center"/>
                  </w:pPr>
                  <w:r>
                    <w:t xml:space="preserve">gambia</w:t>
                  </w:r>
                </w:p>
              </w:tc>
              <w:tc>
                <w:tcPr/>
                <w:p>
                  <w:pPr>
                    <w:pStyle w:val="Compact"/>
                    <w:jc w:val="right"/>
                    <w:jc w:val="center"/>
                  </w:pPr>
                  <w:r>
                    <w:t xml:space="preserve">176</w:t>
                  </w:r>
                </w:p>
              </w:tc>
              <w:tc>
                <w:tcPr/>
                <w:p>
                  <w:pPr>
                    <w:pStyle w:val="Compact"/>
                    <w:jc w:val="right"/>
                    <w:jc w:val="center"/>
                  </w:pPr>
                  <w:r>
                    <w:t xml:space="preserve">30</w:t>
                  </w:r>
                </w:p>
              </w:tc>
              <w:tc>
                <w:tcPr/>
                <w:p>
                  <w:pPr>
                    <w:pStyle w:val="Compact"/>
                    <w:jc w:val="right"/>
                    <w:jc w:val="center"/>
                  </w:pPr>
                  <w:r>
                    <w:t xml:space="preserve">0.550</w:t>
                  </w:r>
                </w:p>
              </w:tc>
              <w:tc>
                <w:tcPr/>
                <w:p>
                  <w:pPr>
                    <w:pStyle w:val="Compact"/>
                    <w:jc w:val="right"/>
                    <w:jc w:val="center"/>
                  </w:pPr>
                  <w:r>
                    <w:t xml:space="preserve">0.546</w:t>
                  </w:r>
                </w:p>
              </w:tc>
              <w:tc>
                <w:tcPr/>
                <w:p>
                  <w:pPr>
                    <w:pStyle w:val="Compact"/>
                    <w:jc w:val="right"/>
                    <w:jc w:val="center"/>
                  </w:pPr>
                  <w:r>
                    <w:t xml:space="preserve">42.04</w:t>
                  </w:r>
                </w:p>
              </w:tc>
              <w:tc>
                <w:tcPr/>
                <w:p>
                  <w:pPr>
                    <w:pStyle w:val="Compact"/>
                    <w:jc w:val="right"/>
                    <w:jc w:val="center"/>
                  </w:pPr>
                  <w:r>
                    <w:t xml:space="preserve">-42.04</w:t>
                  </w:r>
                </w:p>
              </w:tc>
              <w:tc>
                <w:tcPr/>
                <w:p>
                  <w:pPr>
                    <w:pStyle w:val="Compact"/>
                    <w:jc w:val="right"/>
                    <w:jc w:val="center"/>
                  </w:pPr>
                  <w:r>
                    <w:t xml:space="preserve">1.07</w:t>
                  </w:r>
                </w:p>
              </w:tc>
            </w:tr>
            <w:tr>
              <w:tc>
                <w:tcPr/>
                <w:p>
                  <w:pPr>
                    <w:pStyle w:val="Compact"/>
                    <w:jc w:val="left"/>
                    <w:jc w:val="center"/>
                  </w:pPr>
                  <w:r>
                    <w:t xml:space="preserve">child_iron</w:t>
                  </w:r>
                </w:p>
              </w:tc>
              <w:tc>
                <w:tcPr/>
                <w:p>
                  <w:pPr>
                    <w:pStyle w:val="Compact"/>
                    <w:jc w:val="left"/>
                    <w:jc w:val="center"/>
                  </w:pPr>
                  <w:r>
                    <w:t xml:space="preserve">ghana</w:t>
                  </w:r>
                </w:p>
              </w:tc>
              <w:tc>
                <w:tcPr/>
                <w:p>
                  <w:pPr>
                    <w:pStyle w:val="Compact"/>
                    <w:jc w:val="right"/>
                    <w:jc w:val="center"/>
                  </w:pPr>
                  <w:r>
                    <w:t xml:space="preserve">131</w:t>
                  </w:r>
                </w:p>
              </w:tc>
              <w:tc>
                <w:tcPr/>
                <w:p>
                  <w:pPr>
                    <w:pStyle w:val="Compact"/>
                    <w:jc w:val="right"/>
                    <w:jc w:val="center"/>
                  </w:pPr>
                  <w:r>
                    <w:t xml:space="preserve">75</w:t>
                  </w:r>
                </w:p>
              </w:tc>
              <w:tc>
                <w:tcPr/>
                <w:p>
                  <w:pPr>
                    <w:pStyle w:val="Compact"/>
                    <w:jc w:val="right"/>
                    <w:jc w:val="center"/>
                  </w:pPr>
                  <w:r>
                    <w:t xml:space="preserve">0.405</w:t>
                  </w:r>
                </w:p>
              </w:tc>
              <w:tc>
                <w:tcPr/>
                <w:p>
                  <w:pPr>
                    <w:pStyle w:val="Compact"/>
                    <w:jc w:val="right"/>
                    <w:jc w:val="center"/>
                  </w:pPr>
                  <w:r>
                    <w:t xml:space="preserve">0.424</w:t>
                  </w:r>
                </w:p>
              </w:tc>
              <w:tc>
                <w:tcPr/>
                <w:p>
                  <w:pPr>
                    <w:pStyle w:val="Compact"/>
                    <w:jc w:val="right"/>
                    <w:jc w:val="center"/>
                  </w:pPr>
                  <w:r>
                    <w:t xml:space="preserve">13.55</w:t>
                  </w:r>
                </w:p>
              </w:tc>
              <w:tc>
                <w:tcPr/>
                <w:p>
                  <w:pPr>
                    <w:pStyle w:val="Compact"/>
                    <w:jc w:val="right"/>
                    <w:jc w:val="center"/>
                  </w:pPr>
                  <w:r>
                    <w:t xml:space="preserve">3.58</w:t>
                  </w:r>
                </w:p>
              </w:tc>
              <w:tc>
                <w:tcPr/>
                <w:p>
                  <w:pPr>
                    <w:pStyle w:val="Compact"/>
                    <w:jc w:val="right"/>
                    <w:jc w:val="center"/>
                  </w:pPr>
                  <w:r>
                    <w:t xml:space="preserve">0.69</w:t>
                  </w:r>
                </w:p>
              </w:tc>
            </w:tr>
            <w:tr>
              <w:tc>
                <w:tcPr/>
                <w:p>
                  <w:pPr>
                    <w:pStyle w:val="Compact"/>
                    <w:jc w:val="left"/>
                    <w:jc w:val="center"/>
                  </w:pPr>
                  <w:r>
                    <w:t xml:space="preserve">child_iron</w:t>
                  </w:r>
                </w:p>
              </w:tc>
              <w:tc>
                <w:tcPr/>
                <w:p>
                  <w:pPr>
                    <w:pStyle w:val="Compact"/>
                    <w:jc w:val="left"/>
                    <w:jc w:val="center"/>
                  </w:pPr>
                  <w:r>
                    <w:t xml:space="preserve">sierraleone</w:t>
                  </w:r>
                </w:p>
              </w:tc>
              <w:tc>
                <w:tcPr/>
                <w:p>
                  <w:pPr>
                    <w:pStyle w:val="Compact"/>
                    <w:jc w:val="right"/>
                    <w:jc w:val="center"/>
                  </w:pPr>
                  <w:r>
                    <w:t xml:space="preserve">192</w:t>
                  </w:r>
                </w:p>
              </w:tc>
              <w:tc>
                <w:tcPr/>
                <w:p>
                  <w:pPr>
                    <w:pStyle w:val="Compact"/>
                    <w:jc w:val="right"/>
                    <w:jc w:val="center"/>
                  </w:pPr>
                  <w:r>
                    <w:t xml:space="preserve">14</w:t>
                  </w:r>
                </w:p>
              </w:tc>
              <w:tc>
                <w:tcPr/>
                <w:p>
                  <w:pPr>
                    <w:pStyle w:val="Compact"/>
                    <w:jc w:val="right"/>
                    <w:jc w:val="center"/>
                  </w:pPr>
                  <w:r>
                    <w:t xml:space="preserve">-0.019</w:t>
                  </w:r>
                </w:p>
              </w:tc>
              <w:tc>
                <w:tcPr/>
                <w:p>
                  <w:pPr>
                    <w:pStyle w:val="Compact"/>
                    <w:jc w:val="right"/>
                    <w:jc w:val="center"/>
                  </w:pPr>
                  <w:r>
                    <w:t xml:space="preserve">0.099</w:t>
                  </w:r>
                </w:p>
              </w:tc>
              <w:tc>
                <w:tcPr/>
                <w:p>
                  <w:pPr>
                    <w:pStyle w:val="Compact"/>
                    <w:jc w:val="right"/>
                    <w:jc w:val="center"/>
                  </w:pPr>
                  <w:r>
                    <w:t xml:space="preserve">15.99</w:t>
                  </w:r>
                </w:p>
              </w:tc>
              <w:tc>
                <w:tcPr/>
                <w:p>
                  <w:pPr>
                    <w:pStyle w:val="Compact"/>
                    <w:jc w:val="right"/>
                    <w:jc w:val="center"/>
                  </w:pPr>
                  <w:r>
                    <w:t xml:space="preserve">15.63</w:t>
                  </w:r>
                </w:p>
              </w:tc>
              <w:tc>
                <w:tcPr/>
                <w:p>
                  <w:pPr>
                    <w:pStyle w:val="Compact"/>
                    <w:jc w:val="right"/>
                    <w:jc w:val="center"/>
                  </w:pPr>
                  <w:r>
                    <w:t xml:space="preserve">-0.01</w:t>
                  </w:r>
                </w:p>
              </w:tc>
            </w:tr>
            <w:tr>
              <w:tc>
                <w:tcPr/>
                <w:p>
                  <w:pPr>
                    <w:pStyle w:val="Compact"/>
                    <w:jc w:val="left"/>
                    <w:jc w:val="center"/>
                  </w:pPr>
                  <w:r>
                    <w:t xml:space="preserve">child_iron</w:t>
                  </w:r>
                </w:p>
              </w:tc>
              <w:tc>
                <w:tcPr/>
                <w:p>
                  <w:pPr>
                    <w:pStyle w:val="Compact"/>
                    <w:jc w:val="left"/>
                    <w:jc w:val="center"/>
                  </w:pPr>
                  <w:r>
                    <w:t xml:space="preserve">malawi</w:t>
                  </w:r>
                </w:p>
              </w:tc>
              <w:tc>
                <w:tcPr/>
                <w:p>
                  <w:pPr>
                    <w:pStyle w:val="Compact"/>
                    <w:jc w:val="right"/>
                    <w:jc w:val="center"/>
                  </w:pPr>
                  <w:r>
                    <w:t xml:space="preserve">119</w:t>
                  </w:r>
                </w:p>
              </w:tc>
              <w:tc>
                <w:tcPr/>
                <w:p>
                  <w:pPr>
                    <w:pStyle w:val="Compact"/>
                    <w:jc w:val="right"/>
                    <w:jc w:val="center"/>
                  </w:pPr>
                  <w:r>
                    <w:t xml:space="preserve">87</w:t>
                  </w:r>
                </w:p>
              </w:tc>
              <w:tc>
                <w:tcPr/>
                <w:p>
                  <w:pPr>
                    <w:pStyle w:val="Compact"/>
                    <w:jc w:val="right"/>
                    <w:jc w:val="center"/>
                  </w:pPr>
                  <w:r>
                    <w:t xml:space="preserve">0.224</w:t>
                  </w:r>
                </w:p>
              </w:tc>
              <w:tc>
                <w:tcPr/>
                <w:p>
                  <w:pPr>
                    <w:pStyle w:val="Compact"/>
                    <w:jc w:val="right"/>
                    <w:jc w:val="center"/>
                  </w:pPr>
                  <w:r>
                    <w:t xml:space="preserve">0.114</w:t>
                  </w:r>
                </w:p>
              </w:tc>
              <w:tc>
                <w:tcPr/>
                <w:p>
                  <w:pPr>
                    <w:pStyle w:val="Compact"/>
                    <w:jc w:val="right"/>
                    <w:jc w:val="center"/>
                  </w:pPr>
                  <w:r>
                    <w:t xml:space="preserve">19.53</w:t>
                  </w:r>
                </w:p>
              </w:tc>
              <w:tc>
                <w:tcPr/>
                <w:p>
                  <w:pPr>
                    <w:pStyle w:val="Compact"/>
                    <w:jc w:val="right"/>
                    <w:jc w:val="center"/>
                  </w:pPr>
                  <w:r>
                    <w:t xml:space="preserve">-19.30</w:t>
                  </w:r>
                </w:p>
              </w:tc>
              <w:tc>
                <w:tcPr/>
                <w:p>
                  <w:pPr>
                    <w:pStyle w:val="Compact"/>
                    <w:jc w:val="right"/>
                    <w:jc w:val="center"/>
                  </w:pPr>
                  <w:r>
                    <w:t xml:space="preserve">5.08</w:t>
                  </w:r>
                </w:p>
              </w:tc>
            </w:tr>
            <w:tr>
              <w:tc>
                <w:tcPr/>
                <w:p>
                  <w:pPr>
                    <w:pStyle w:val="Compact"/>
                    <w:jc w:val="left"/>
                    <w:jc w:val="center"/>
                  </w:pPr>
                  <w:r>
                    <w:t xml:space="preserve">women_iron</w:t>
                  </w:r>
                </w:p>
              </w:tc>
              <w:tc>
                <w:tcPr/>
                <w:p>
                  <w:pPr>
                    <w:pStyle w:val="Compact"/>
                    <w:jc w:val="left"/>
                    <w:jc w:val="center"/>
                  </w:pPr>
                  <w:r>
                    <w:t xml:space="preserve">gambia</w:t>
                  </w:r>
                </w:p>
              </w:tc>
              <w:tc>
                <w:tcPr/>
                <w:p>
                  <w:pPr>
                    <w:pStyle w:val="Compact"/>
                    <w:jc w:val="right"/>
                    <w:jc w:val="center"/>
                  </w:pPr>
                  <w:r>
                    <w:t xml:space="preserve">176</w:t>
                  </w:r>
                </w:p>
              </w:tc>
              <w:tc>
                <w:tcPr/>
                <w:p>
                  <w:pPr>
                    <w:pStyle w:val="Compact"/>
                    <w:jc w:val="right"/>
                    <w:jc w:val="center"/>
                  </w:pPr>
                  <w:r>
                    <w:t xml:space="preserve">30</w:t>
                  </w:r>
                </w:p>
              </w:tc>
              <w:tc>
                <w:tcPr/>
                <w:p>
                  <w:pPr>
                    <w:pStyle w:val="Compact"/>
                    <w:jc w:val="right"/>
                    <w:jc w:val="center"/>
                  </w:pPr>
                  <w:r>
                    <w:t xml:space="preserve">0.520</w:t>
                  </w:r>
                </w:p>
              </w:tc>
              <w:tc>
                <w:tcPr/>
                <w:p>
                  <w:pPr>
                    <w:pStyle w:val="Compact"/>
                    <w:jc w:val="right"/>
                    <w:jc w:val="center"/>
                  </w:pPr>
                  <w:r>
                    <w:t xml:space="preserve">0.497</w:t>
                  </w:r>
                </w:p>
              </w:tc>
              <w:tc>
                <w:tcPr/>
                <w:p>
                  <w:pPr>
                    <w:pStyle w:val="Compact"/>
                    <w:jc w:val="right"/>
                    <w:jc w:val="center"/>
                  </w:pPr>
                  <w:r>
                    <w:t xml:space="preserve">24.68</w:t>
                  </w:r>
                </w:p>
              </w:tc>
              <w:tc>
                <w:tcPr/>
                <w:p>
                  <w:pPr>
                    <w:pStyle w:val="Compact"/>
                    <w:jc w:val="right"/>
                    <w:jc w:val="center"/>
                  </w:pPr>
                  <w:r>
                    <w:t xml:space="preserve">-24.67</w:t>
                  </w:r>
                </w:p>
              </w:tc>
              <w:tc>
                <w:tcPr/>
                <w:p>
                  <w:pPr>
                    <w:pStyle w:val="Compact"/>
                    <w:jc w:val="right"/>
                    <w:jc w:val="center"/>
                  </w:pPr>
                  <w:r>
                    <w:t xml:space="preserve">0.85</w:t>
                  </w:r>
                </w:p>
              </w:tc>
            </w:tr>
            <w:tr>
              <w:tc>
                <w:tcPr/>
                <w:p>
                  <w:pPr>
                    <w:pStyle w:val="Compact"/>
                    <w:jc w:val="left"/>
                    <w:jc w:val="center"/>
                  </w:pPr>
                  <w:r>
                    <w:t xml:space="preserve">women_iron</w:t>
                  </w:r>
                </w:p>
              </w:tc>
              <w:tc>
                <w:tcPr/>
                <w:p>
                  <w:pPr>
                    <w:pStyle w:val="Compact"/>
                    <w:jc w:val="left"/>
                    <w:jc w:val="center"/>
                  </w:pPr>
                  <w:r>
                    <w:t xml:space="preserve">ghana</w:t>
                  </w:r>
                </w:p>
              </w:tc>
              <w:tc>
                <w:tcPr/>
                <w:p>
                  <w:pPr>
                    <w:pStyle w:val="Compact"/>
                    <w:jc w:val="right"/>
                    <w:jc w:val="center"/>
                  </w:pPr>
                  <w:r>
                    <w:t xml:space="preserve">131</w:t>
                  </w:r>
                </w:p>
              </w:tc>
              <w:tc>
                <w:tcPr/>
                <w:p>
                  <w:pPr>
                    <w:pStyle w:val="Compact"/>
                    <w:jc w:val="right"/>
                    <w:jc w:val="center"/>
                  </w:pPr>
                  <w:r>
                    <w:t xml:space="preserve">75</w:t>
                  </w:r>
                </w:p>
              </w:tc>
              <w:tc>
                <w:tcPr/>
                <w:p>
                  <w:pPr>
                    <w:pStyle w:val="Compact"/>
                    <w:jc w:val="right"/>
                    <w:jc w:val="center"/>
                  </w:pPr>
                  <w:r>
                    <w:t xml:space="preserve">0.439</w:t>
                  </w:r>
                </w:p>
              </w:tc>
              <w:tc>
                <w:tcPr/>
                <w:p>
                  <w:pPr>
                    <w:pStyle w:val="Compact"/>
                    <w:jc w:val="right"/>
                    <w:jc w:val="center"/>
                  </w:pPr>
                  <w:r>
                    <w:t xml:space="preserve">0.551</w:t>
                  </w:r>
                </w:p>
              </w:tc>
              <w:tc>
                <w:tcPr/>
                <w:p>
                  <w:pPr>
                    <w:pStyle w:val="Compact"/>
                    <w:jc w:val="right"/>
                    <w:jc w:val="center"/>
                  </w:pPr>
                  <w:r>
                    <w:t xml:space="preserve">23.31</w:t>
                  </w:r>
                </w:p>
              </w:tc>
              <w:tc>
                <w:tcPr/>
                <w:p>
                  <w:pPr>
                    <w:pStyle w:val="Compact"/>
                    <w:jc w:val="right"/>
                    <w:jc w:val="center"/>
                  </w:pPr>
                  <w:r>
                    <w:t xml:space="preserve">22.93</w:t>
                  </w:r>
                </w:p>
              </w:tc>
              <w:tc>
                <w:tcPr/>
                <w:p>
                  <w:pPr>
                    <w:pStyle w:val="Compact"/>
                    <w:jc w:val="right"/>
                    <w:jc w:val="center"/>
                  </w:pPr>
                  <w:r>
                    <w:t xml:space="preserve">0.73</w:t>
                  </w:r>
                </w:p>
              </w:tc>
            </w:tr>
            <w:tr>
              <w:tc>
                <w:tcPr/>
                <w:p>
                  <w:pPr>
                    <w:pStyle w:val="Compact"/>
                    <w:jc w:val="left"/>
                    <w:jc w:val="center"/>
                  </w:pPr>
                  <w:r>
                    <w:t xml:space="preserve">women_iron</w:t>
                  </w:r>
                </w:p>
              </w:tc>
              <w:tc>
                <w:tcPr/>
                <w:p>
                  <w:pPr>
                    <w:pStyle w:val="Compact"/>
                    <w:jc w:val="left"/>
                    <w:jc w:val="center"/>
                  </w:pPr>
                  <w:r>
                    <w:t xml:space="preserve">sierraleone</w:t>
                  </w:r>
                </w:p>
              </w:tc>
              <w:tc>
                <w:tcPr/>
                <w:p>
                  <w:pPr>
                    <w:pStyle w:val="Compact"/>
                    <w:jc w:val="right"/>
                    <w:jc w:val="center"/>
                  </w:pPr>
                  <w:r>
                    <w:t xml:space="preserve">192</w:t>
                  </w:r>
                </w:p>
              </w:tc>
              <w:tc>
                <w:tcPr/>
                <w:p>
                  <w:pPr>
                    <w:pStyle w:val="Compact"/>
                    <w:jc w:val="right"/>
                    <w:jc w:val="center"/>
                  </w:pPr>
                  <w:r>
                    <w:t xml:space="preserve">14</w:t>
                  </w:r>
                </w:p>
              </w:tc>
              <w:tc>
                <w:tcPr/>
                <w:p>
                  <w:pPr>
                    <w:pStyle w:val="Compact"/>
                    <w:jc w:val="right"/>
                    <w:jc w:val="center"/>
                  </w:pPr>
                  <w:r>
                    <w:t xml:space="preserve">-0.059</w:t>
                  </w:r>
                </w:p>
              </w:tc>
              <w:tc>
                <w:tcPr/>
                <w:p>
                  <w:pPr>
                    <w:pStyle w:val="Compact"/>
                    <w:jc w:val="right"/>
                    <w:jc w:val="center"/>
                  </w:pPr>
                  <w:r>
                    <w:t xml:space="preserve">0.033</w:t>
                  </w:r>
                </w:p>
              </w:tc>
              <w:tc>
                <w:tcPr/>
                <w:p>
                  <w:pPr>
                    <w:pStyle w:val="Compact"/>
                    <w:jc w:val="right"/>
                    <w:jc w:val="center"/>
                  </w:pPr>
                  <w:r>
                    <w:t xml:space="preserve">11.31</w:t>
                  </w:r>
                </w:p>
              </w:tc>
              <w:tc>
                <w:tcPr/>
                <w:p>
                  <w:pPr>
                    <w:pStyle w:val="Compact"/>
                    <w:jc w:val="right"/>
                    <w:jc w:val="center"/>
                  </w:pPr>
                  <w:r>
                    <w:t xml:space="preserve">-10.21</w:t>
                  </w:r>
                </w:p>
              </w:tc>
              <w:tc>
                <w:tcPr/>
                <w:p>
                  <w:pPr>
                    <w:pStyle w:val="Compact"/>
                    <w:jc w:val="right"/>
                    <w:jc w:val="center"/>
                  </w:pPr>
                  <w:r>
                    <w:t xml:space="preserve">-0.08</w:t>
                  </w:r>
                </w:p>
              </w:tc>
            </w:tr>
            <w:tr>
              <w:tc>
                <w:tcPr/>
                <w:p>
                  <w:pPr>
                    <w:pStyle w:val="Compact"/>
                    <w:jc w:val="left"/>
                    <w:jc w:val="center"/>
                  </w:pPr>
                  <w:r>
                    <w:t xml:space="preserve">women_iron</w:t>
                  </w:r>
                </w:p>
              </w:tc>
              <w:tc>
                <w:tcPr/>
                <w:p>
                  <w:pPr>
                    <w:pStyle w:val="Compact"/>
                    <w:jc w:val="left"/>
                    <w:jc w:val="center"/>
                  </w:pPr>
                  <w:r>
                    <w:t xml:space="preserve">malawi</w:t>
                  </w:r>
                </w:p>
              </w:tc>
              <w:tc>
                <w:tcPr/>
                <w:p>
                  <w:pPr>
                    <w:pStyle w:val="Compact"/>
                    <w:jc w:val="right"/>
                    <w:jc w:val="center"/>
                  </w:pPr>
                  <w:r>
                    <w:t xml:space="preserve">119</w:t>
                  </w:r>
                </w:p>
              </w:tc>
              <w:tc>
                <w:tcPr/>
                <w:p>
                  <w:pPr>
                    <w:pStyle w:val="Compact"/>
                    <w:jc w:val="right"/>
                    <w:jc w:val="center"/>
                  </w:pPr>
                  <w:r>
                    <w:t xml:space="preserve">87</w:t>
                  </w:r>
                </w:p>
              </w:tc>
              <w:tc>
                <w:tcPr/>
                <w:p>
                  <w:pPr>
                    <w:pStyle w:val="Compact"/>
                    <w:jc w:val="right"/>
                    <w:jc w:val="center"/>
                  </w:pPr>
                  <w:r>
                    <w:t xml:space="preserve">0.133</w:t>
                  </w:r>
                </w:p>
              </w:tc>
              <w:tc>
                <w:tcPr/>
                <w:p>
                  <w:pPr>
                    <w:pStyle w:val="Compact"/>
                    <w:jc w:val="right"/>
                    <w:jc w:val="center"/>
                  </w:pPr>
                  <w:r>
                    <w:t xml:space="preserve">0.132</w:t>
                  </w:r>
                </w:p>
              </w:tc>
              <w:tc>
                <w:tcPr/>
                <w:p>
                  <w:pPr>
                    <w:pStyle w:val="Compact"/>
                    <w:jc w:val="right"/>
                    <w:jc w:val="center"/>
                  </w:pPr>
                  <w:r>
                    <w:t xml:space="preserve">13.89</w:t>
                  </w:r>
                </w:p>
              </w:tc>
              <w:tc>
                <w:tcPr/>
                <w:p>
                  <w:pPr>
                    <w:pStyle w:val="Compact"/>
                    <w:jc w:val="right"/>
                    <w:jc w:val="center"/>
                  </w:pPr>
                  <w:r>
                    <w:t xml:space="preserve">3.90</w:t>
                  </w:r>
                </w:p>
              </w:tc>
              <w:tc>
                <w:tcPr/>
                <w:p>
                  <w:pPr>
                    <w:pStyle w:val="Compact"/>
                    <w:jc w:val="right"/>
                    <w:jc w:val="center"/>
                  </w:pPr>
                  <w:r>
                    <w:t xml:space="preserve">0.34</w:t>
                  </w:r>
                </w:p>
              </w:tc>
            </w:tr>
          </w:tbl>
          <w:bookmarkEnd w:id="34"/>
          <w:p/>
        </w:tc>
      </w:tr>
    </w:tbl>
    <w:tbl>
      <w:tblPr>
        <w:tblStyle w:val="Table"/>
        <w:tblW w:type="pct" w:w="5000"/>
        <w:tblLayout w:type="fixed"/>
        <w:tblLook w:firstRow="0" w:lastRow="0" w:firstColumn="0" w:lastColumn="0" w:noHBand="0" w:noVBand="0" w:val="0000"/>
      </w:tblPr>
      <w:tblGrid>
        <w:gridCol w:w="7920"/>
      </w:tblGrid>
      <w:tr>
        <w:tc>
          <w:tcPr/>
          <w:bookmarkStart w:id="38" w:name="fig-loco-scatter"/>
          <w:p>
            <w:pPr>
              <w:pStyle w:val="Compact"/>
              <w:jc w:val="center"/>
            </w:pPr>
            <w:r>
              <w:drawing>
                <wp:inline>
                  <wp:extent cx="5334000" cy="5053263"/>
                  <wp:effectExtent b="0" l="0" r="0" t="0"/>
                  <wp:docPr descr="" title="" id="36" name="Picture"/>
                  <a:graphic>
                    <a:graphicData uri="http://schemas.openxmlformats.org/drawingml/2006/picture">
                      <pic:pic>
                        <pic:nvPicPr>
                          <pic:cNvPr descr="../results/figures/loco_scatter.png" id="37" name="Picture"/>
                          <pic:cNvPicPr>
                            <a:picLocks noChangeArrowheads="1" noChangeAspect="1"/>
                          </pic:cNvPicPr>
                        </pic:nvPicPr>
                        <pic:blipFill>
                          <a:blip r:embed="rId35"/>
                          <a:stretch>
                            <a:fillRect/>
                          </a:stretch>
                        </pic:blipFill>
                        <pic:spPr bwMode="auto">
                          <a:xfrm>
                            <a:off x="0" y="0"/>
                            <a:ext cx="5334000" cy="5053263"/>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Observed vs predicted admin-2 deficiency prevalence under leave-one-country-out cross-validation, by outcome and held-out country. The reference line is y = x. Predicted prevalences are from the area-level SuperLearner trained on the remaining countries (three for iron, measured in four countries; four for vitamin A, measured in five).</w:t>
            </w:r>
          </w:p>
          <w:bookmarkEnd w:id="38"/>
        </w:tc>
      </w:tr>
    </w:tbl>
    <w:p>
      <w:pPr>
        <w:pStyle w:val="BodyText"/>
      </w:pPr>
      <w:r>
        <w:t xml:space="preserve">Spatial patterns transport more readily within the West African</w:t>
      </w:r>
      <w:r>
        <w:t xml:space="preserve"> </w:t>
      </w:r>
      <w:r>
        <w:t xml:space="preserve">geography. Holding out Malawi — the only training country outside West</w:t>
      </w:r>
      <w:r>
        <w:t xml:space="preserve"> </w:t>
      </w:r>
      <w:r>
        <w:t xml:space="preserve">Africa — produced anti-correlated predictions for three of four</w:t>
      </w:r>
      <w:r>
        <w:t xml:space="preserve"> </w:t>
      </w:r>
      <w:r>
        <w:t xml:space="preserve">outcomes, suggesting a regional generalisation gap. Held-out Ghana</w:t>
      </w:r>
      <w:r>
        <w:t xml:space="preserve"> </w:t>
      </w:r>
      <w:r>
        <w:t xml:space="preserve">provided the most favourable LOCO performance (median r 0.36),</w:t>
      </w:r>
      <w:r>
        <w:t xml:space="preserve"> </w:t>
      </w:r>
      <w:r>
        <w:t xml:space="preserve">plausibly because its admin-2 covariate distribution is well-represented</w:t>
      </w:r>
      <w:r>
        <w:t xml:space="preserve"> </w:t>
      </w:r>
      <w:r>
        <w:t xml:space="preserve">in the remaining three countries’ training data.</w:t>
      </w:r>
    </w:p>
    <w:p>
      <w:pPr>
        <w:pStyle w:val="BodyText"/>
      </w:pPr>
      <w:r>
        <w:t xml:space="preserve">National-level aggregation is consistently and substantially more accurate</w:t>
      </w:r>
      <w:r>
        <w:t xml:space="preserve"> </w:t>
      </w:r>
      <w:r>
        <w:t xml:space="preserve">than admin-2. Predicted national prevalence fell within the survey’s own 95%</w:t>
      </w:r>
      <w:r>
        <w:t xml:space="preserve"> </w:t>
      </w:r>
      <w:r>
        <w:t xml:space="preserve">confidence interval for all</w:t>
      </w:r>
      <w:r>
        <w:t xml:space="preserve"> </w:t>
      </w:r>
      <w:r>
        <w:rPr>
          <w:b/>
          <w:bCs/>
        </w:rPr>
        <w:t xml:space="preserve">24 of 24</w:t>
      </w:r>
      <w:r>
        <w:t xml:space="preserve"> </w:t>
      </w:r>
      <w:r>
        <w:t xml:space="preserve">country–outcome combinations</w:t>
      </w:r>
      <w:r>
        <w:t xml:space="preserve"> </w:t>
      </w:r>
      <w:r>
        <w:t xml:space="preserve">(</w:t>
      </w:r>
      <w:hyperlink w:anchor="tbl-national-estimates">
        <w:r>
          <w:rPr>
            <w:rStyle w:val="Hyperlink"/>
          </w:rPr>
          <w:t xml:space="preserve">Table 5</w:t>
        </w:r>
      </w:hyperlink>
      <w:r>
        <w:t xml:space="preserve">), with a median absolute difference of</w:t>
      </w:r>
      <w:r>
        <w:t xml:space="preserve"> </w:t>
      </w:r>
      <w:r>
        <w:rPr>
          <w:b/>
          <w:bCs/>
        </w:rPr>
        <w:t xml:space="preserve">0.74</w:t>
      </w:r>
      <w:r>
        <w:t xml:space="preserve"> </w:t>
      </w:r>
      <w:r>
        <w:t xml:space="preserve">percentage points (median relative difference</w:t>
      </w:r>
      <w:r>
        <w:t xml:space="preserve"> </w:t>
      </w:r>
      <w:r>
        <w:rPr>
          <w:b/>
          <w:bCs/>
        </w:rPr>
        <w:t xml:space="preserve">8.6%</w:t>
      </w:r>
      <w:r>
        <w:t xml:space="preserve">). Aggregating noisy</w:t>
      </w:r>
      <w:r>
        <w:t xml:space="preserve"> </w:t>
      </w:r>
      <w:r>
        <w:t xml:space="preserve">district-level predictions to the national total averages out much of the</w:t>
      </w:r>
      <w:r>
        <w:t xml:space="preserve"> </w:t>
      </w:r>
      <w:r>
        <w:t xml:space="preserve">admin-2 sampling noise quantified in</w:t>
      </w:r>
      <w:r>
        <w:t xml:space="preserve"> </w:t>
      </w:r>
      <w:hyperlink w:anchor="sec-ceiling">
        <w:r>
          <w:rPr>
            <w:rStyle w:val="Hyperlink"/>
          </w:rPr>
          <w:t xml:space="preserve">Section 3.3</w:t>
        </w:r>
      </w:hyperlink>
      <w:r>
        <w:t xml:space="preserve">: the same models that</w:t>
      </w:r>
      <w:r>
        <w:t xml:space="preserve"> </w:t>
      </w:r>
      <w:r>
        <w:t xml:space="preserve">discriminate weakly</w:t>
      </w:r>
      <w:r>
        <w:t xml:space="preserve"> </w:t>
      </w:r>
      <w:r>
        <w:rPr>
          <w:i/>
          <w:iCs/>
        </w:rPr>
        <w:t xml:space="preserve">between</w:t>
      </w:r>
      <w:r>
        <w:t xml:space="preserve"> </w:t>
      </w:r>
      <w:r>
        <w:t xml:space="preserve">districts recover the national aggregate</w:t>
      </w:r>
      <w:r>
        <w:t xml:space="preserve"> </w:t>
      </w:r>
      <w:r>
        <w:t xml:space="preserve">accurately, and we treat national-level prevalence — not the admin-2 map —</w:t>
      </w:r>
      <w:r>
        <w:t xml:space="preserve"> </w:t>
      </w:r>
      <w:r>
        <w:t xml:space="preserve">as the deliverable best supported by the present evidence, with sub-national</w:t>
      </w:r>
      <w:r>
        <w:t xml:space="preserve"> </w:t>
      </w:r>
      <w:r>
        <w:t xml:space="preserve">maps presented as exploratory and uncertainty-aware.</w:t>
      </w:r>
    </w:p>
    <w:p>
      <w:pPr>
        <w:pStyle w:val="BodyText"/>
      </w:pPr>
      <w:r>
        <w:t xml:space="preserve">However, when the model is</w:t>
      </w:r>
      <w:r>
        <w:t xml:space="preserve"> </w:t>
      </w:r>
      <w:r>
        <w:rPr>
          <w:i/>
          <w:iCs/>
        </w:rPr>
        <w:t xml:space="preserve">transported</w:t>
      </w:r>
      <w:r>
        <w:t xml:space="preserve"> </w:t>
      </w:r>
      <w:r>
        <w:t xml:space="preserve">across countries the held-out</w:t>
      </w:r>
      <w:r>
        <w:t xml:space="preserve"> </w:t>
      </w:r>
      <w:r>
        <w:t xml:space="preserve">national estimate is systematically biased toward the pooled training</w:t>
      </w:r>
      <w:r>
        <w:t xml:space="preserve"> </w:t>
      </w:r>
      <w:r>
        <w:t xml:space="preserve">mean (</w:t>
      </w:r>
      <w:hyperlink w:anchor="fig-transport-calibration">
        <w:r>
          <w:rPr>
            <w:rStyle w:val="Hyperlink"/>
          </w:rPr>
          <w:t xml:space="preserve">Figure 2</w:t>
        </w:r>
      </w:hyperlink>
      <w:r>
        <w:t xml:space="preserve">). The bias is outcome-specific and</w:t>
      </w:r>
      <w:r>
        <w:t xml:space="preserve"> </w:t>
      </w:r>
      <w:r>
        <w:t xml:space="preserve">concerns the national</w:t>
      </w:r>
      <w:r>
        <w:t xml:space="preserve"> </w:t>
      </w:r>
      <w:r>
        <w:rPr>
          <w:i/>
          <w:iCs/>
        </w:rPr>
        <w:t xml:space="preserve">level</w:t>
      </w:r>
      <w:r>
        <w:t xml:space="preserve">, not the within-country admin-2 ranking</w:t>
      </w:r>
      <w:r>
        <w:t xml:space="preserve"> </w:t>
      </w:r>
      <w:r>
        <w:t xml:space="preserve">of</w:t>
      </w:r>
      <w:r>
        <w:t xml:space="preserve"> </w:t>
      </w:r>
      <w:hyperlink w:anchor="tbl-loco">
        <w:r>
          <w:rPr>
            <w:rStyle w:val="Hyperlink"/>
          </w:rPr>
          <w:t xml:space="preserve">Table 4</w:t>
        </w:r>
      </w:hyperlink>
      <w:r>
        <w:t xml:space="preserve">. Two outcomes transport with broadly correct calibration:</w:t>
      </w:r>
      <w:r>
        <w:t xml:space="preserve"> </w:t>
      </w:r>
      <w:r>
        <w:t xml:space="preserve">vitamin-A deficiency, whose national prevalence sits close to the</w:t>
      </w:r>
      <w:r>
        <w:t xml:space="preserve"> </w:t>
      </w:r>
      <w:r>
        <w:t xml:space="preserve">cross-country mean in every survey (per-outcome calibration slope 0.93</w:t>
      </w:r>
      <w:r>
        <w:t xml:space="preserve"> </w:t>
      </w:r>
      <w:r>
        <w:t xml:space="preserve">in children, 0.65 in women), and — once its cutoff is harmonised to the</w:t>
      </w:r>
      <w:r>
        <w:t xml:space="preserve"> </w:t>
      </w:r>
      <w:r>
        <w:t xml:space="preserve">common serum definition (folate &lt; 10 nmol/L; Malawi’s native &lt; 3 ng/mL</w:t>
      </w:r>
      <w:r>
        <w:t xml:space="preserve"> </w:t>
      </w:r>
      <w:r>
        <w:t xml:space="preserve">rule is otherwise non-comparable) — folate deficiency, whose held-out</w:t>
      </w:r>
      <w:r>
        <w:t xml:space="preserve"> </w:t>
      </w:r>
      <w:r>
        <w:t xml:space="preserve">prevalence preserves the correct ordering though compressed in magnitude</w:t>
      </w:r>
      <w:r>
        <w:t xml:space="preserve"> </w:t>
      </w:r>
      <w:r>
        <w:t xml:space="preserve">(slope 0.37; Ghana 55%→18%, Sierra Leone 79%→30%, Malawi 2%→1%). The</w:t>
      </w:r>
      <w:r>
        <w:t xml:space="preserve"> </w:t>
      </w:r>
      <w:r>
        <w:t xml:space="preserve">remaining outcomes fail. Iron deficiency, whose national prevalence</w:t>
      </w:r>
      <w:r>
        <w:t xml:space="preserve"> </w:t>
      </w:r>
      <w:r>
        <w:t xml:space="preserve">ranges from 6% (Sierra Leone children) to 64% (Gambia children), is</w:t>
      </w:r>
      <w:r>
        <w:t xml:space="preserve"> </w:t>
      </w:r>
      <w:r>
        <w:t xml:space="preserve">pulled to the training mean so strongly that the ordering inverts</w:t>
      </w:r>
      <w:r>
        <w:t xml:space="preserve"> </w:t>
      </w:r>
      <w:r>
        <w:t xml:space="preserve">(per-outcome slope −0.72 in children, −0.18 in women), over-predicting</w:t>
      </w:r>
      <w:r>
        <w:t xml:space="preserve"> </w:t>
      </w:r>
      <w:r>
        <w:t xml:space="preserve">low-prevalence countries (Sierra Leone children 6%→40%, Malawi 10%→51%)</w:t>
      </w:r>
      <w:r>
        <w:t xml:space="preserve"> </w:t>
      </w:r>
      <w:r>
        <w:t xml:space="preserve">and under-predicting high-prevalence ones (Gambia children 64%→22%).</w:t>
      </w:r>
      <w:r>
        <w:t xml:space="preserve"> </w:t>
      </w:r>
      <w:r>
        <w:t xml:space="preserve">Vitamin B12 — despite being the strongest</w:t>
      </w:r>
      <w:r>
        <w:t xml:space="preserve"> </w:t>
      </w:r>
      <w:r>
        <w:rPr>
          <w:i/>
          <w:iCs/>
        </w:rPr>
        <w:t xml:space="preserve">within-country</w:t>
      </w:r>
      <w:r>
        <w:t xml:space="preserve"> </w:t>
      </w:r>
      <w:r>
        <w:t xml:space="preserve">signal</w:t>
      </w:r>
      <w:r>
        <w:t xml:space="preserve"> </w:t>
      </w:r>
      <w:r>
        <w:t xml:space="preserve">(continuous cross-validated R² up to 0.23 in Malawi) — does not</w:t>
      </w:r>
      <w:r>
        <w:t xml:space="preserve"> </w:t>
      </w:r>
      <w:r>
        <w:t xml:space="preserve">transport at all: held-out discrimination falls to near chance</w:t>
      </w:r>
      <w:r>
        <w:t xml:space="preserve"> </w:t>
      </w:r>
      <w:r>
        <w:t xml:space="preserve">(AUC 0.53–0.59) and prediction becomes unstable under the rare-outcome</w:t>
      </w:r>
      <w:r>
        <w:t xml:space="preserve"> </w:t>
      </w:r>
      <w:r>
        <w:t xml:space="preserve">class-weighting (held-out Malawi predicted at 80% against a true 2.8%).</w:t>
      </w:r>
      <w:r>
        <w:t xml:space="preserve"> </w:t>
      </w:r>
      <w:r>
        <w:t xml:space="preserve">Cross-country transport failure is therefore a level-calibration error</w:t>
      </w:r>
      <w:r>
        <w:t xml:space="preserve"> </w:t>
      </w:r>
      <w:r>
        <w:t xml:space="preserve">driven by between-country prevalence heterogeneity — most severe for the</w:t>
      </w:r>
      <w:r>
        <w:t xml:space="preserve"> </w:t>
      </w:r>
      <w:r>
        <w:t xml:space="preserve">outcomes and countries that differ most from the training distribution —</w:t>
      </w:r>
      <w:r>
        <w:t xml:space="preserve"> </w:t>
      </w:r>
      <w:r>
        <w:t xml:space="preserve">and within-country accuracy is a poor guide to which outcomes transport.</w:t>
      </w:r>
    </w:p>
    <w:tbl>
      <w:tblPr>
        <w:tblStyle w:val="Table"/>
        <w:tblW w:type="pct" w:w="5000"/>
        <w:tblLayout w:type="fixed"/>
        <w:tblLook w:firstRow="0" w:lastRow="0" w:firstColumn="0" w:lastColumn="0" w:noHBand="0" w:noVBand="0" w:val="0000"/>
      </w:tblPr>
      <w:tblGrid>
        <w:gridCol w:w="7920"/>
      </w:tblGrid>
      <w:tr>
        <w:tc>
          <w:tcPr/>
          <w:bookmarkStart w:id="42" w:name="fig-transport-calibration"/>
          <w:p>
            <w:pPr>
              <w:pStyle w:val="Compact"/>
              <w:jc w:val="center"/>
            </w:pPr>
            <w:r>
              <w:drawing>
                <wp:inline>
                  <wp:extent cx="5334000" cy="6756400"/>
                  <wp:effectExtent b="0" l="0" r="0" t="0"/>
                  <wp:docPr descr="" title="" id="40" name="Picture"/>
                  <a:graphic>
                    <a:graphicData uri="http://schemas.openxmlformats.org/drawingml/2006/picture">
                      <pic:pic>
                        <pic:nvPicPr>
                          <pic:cNvPr descr="../results/figures/transport_calibration_loco_faceted.png" id="41" name="Picture"/>
                          <pic:cNvPicPr>
                            <a:picLocks noChangeArrowheads="1" noChangeAspect="1"/>
                          </pic:cNvPicPr>
                        </pic:nvPicPr>
                        <pic:blipFill>
                          <a:blip r:embed="rId39"/>
                          <a:stretch>
                            <a:fillRect/>
                          </a:stretch>
                        </pic:blipFill>
                        <pic:spPr bwMode="auto">
                          <a:xfrm>
                            <a:off x="0" y="0"/>
                            <a:ext cx="5334000" cy="6756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Cross-country transport calibration. Predicted versus true national deficiency prevalence for the pooled individual-level SuperLearner under leave-one-country-out (LOCO) holdout — one panel per outcome, one point per held-out country (trained on the remaining countries), panels ordered worst to best calibration. The dashed line is perfect calibration (y = x); each panel header reports the fitted calibration slope (1.0 = perfectly calibrated; &lt;1 = predictions compressed toward the cross-country mean; &lt;0 = inverted ordering). Vertical segments mark each fold’s calibration gap. Vitamin-A national prevalence, close to the cross-country mean, is well recovered and folate (harmonised to a common serum &lt; 10 nmol/L cutoff) preserves the correct ordering; iron is pulled to the training mean and inverts, and vitamin B12 does not transport (near-chance discrimination, with unstable prediction under rare-outcome class-weighting). Folate and B12 are women-only and available in three countries; zinc is Malawi-only and cannot be assessed for transport. From results/tables/transportability_loco_results.csv.</w:t>
            </w:r>
          </w:p>
          <w:bookmarkEnd w:id="42"/>
        </w:tc>
      </w:tr>
    </w:tbl>
    <w:p>
      <w:pPr>
        <w:pStyle w:val="BodyText"/>
      </w:pPr>
      <w:r>
        <w:rPr>
          <w:b/>
          <w:bCs/>
        </w:rPr>
        <w:t xml:space="preserve">Parsimonious model with soil micronutrient predictors.</w:t>
      </w:r>
      <w:r>
        <w:t xml:space="preserve"> </w:t>
      </w:r>
      <w:r>
        <w:t xml:space="preserve">A series of</w:t>
      </w:r>
      <w:r>
        <w:t xml:space="preserve"> </w:t>
      </w:r>
      <w:r>
        <w:t xml:space="preserve">post-hoc analyses confirmed that the strongest transportable signal in</w:t>
      </w:r>
      <w:r>
        <w:t xml:space="preserve"> </w:t>
      </w:r>
      <w:r>
        <w:t xml:space="preserve">the existing 152-variable GEE feature pool is concentrated in the</w:t>
      </w:r>
      <w:r>
        <w:t xml:space="preserve"> </w:t>
      </w:r>
      <w:r>
        <w:t xml:space="preserve">SoilGrids covariates. Univariate leave-one-country-out scoring of each</w:t>
      </w:r>
      <w:r>
        <w:t xml:space="preserve"> </w:t>
      </w:r>
      <w:r>
        <w:t xml:space="preserve">of the 152 GEE features identified eight SoilGrids variables (soil</w:t>
      </w:r>
      <w:r>
        <w:t xml:space="preserve"> </w:t>
      </w:r>
      <w:r>
        <w:t xml:space="preserve">aluminium and calcium standard deviation at two depth profiles, soil</w:t>
      </w:r>
      <w:r>
        <w:t xml:space="preserve"> </w:t>
      </w:r>
      <w:r>
        <w:t xml:space="preserve">magnesium standard deviation, soil zinc mean and standard deviation,</w:t>
      </w:r>
      <w:r>
        <w:t xml:space="preserve"> </w:t>
      </w:r>
      <w:r>
        <w:t xml:space="preserve">soil total carbon mean) as the most consistently transportable single</w:t>
      </w:r>
      <w:r>
        <w:t xml:space="preserve"> </w:t>
      </w:r>
      <w:r>
        <w:t xml:space="preserve">predictors; no NDVI, accessibility, night-lights, or population-density</w:t>
      </w:r>
      <w:r>
        <w:t xml:space="preserve"> </w:t>
      </w:r>
      <w:r>
        <w:t xml:space="preserve">variable cracked the top eight in the per-variable LOCO ranking. A</w:t>
      </w:r>
      <w:r>
        <w:t xml:space="preserve"> </w:t>
      </w:r>
      <w:r>
        <w:t xml:space="preserve">weighted generalised additive model with a thin-plate spline on</w:t>
      </w:r>
      <w:r>
        <w:t xml:space="preserve"> </w:t>
      </w:r>
      <w:r>
        <w:t xml:space="preserve">admin-2 polygon centroid coordinates plus these eight soil features as</w:t>
      </w:r>
      <w:r>
        <w:t xml:space="preserve"> </w:t>
      </w:r>
      <w:r>
        <w:t xml:space="preserve">linear terms achieved mean LOCO Pearson r = 0.330 across 16</w:t>
      </w:r>
      <w:r>
        <w:t xml:space="preserve"> </w:t>
      </w:r>
      <w:r>
        <w:t xml:space="preserve">outcome–holdout combinations on the four main outcomes — substantially</w:t>
      </w:r>
      <w:r>
        <w:t xml:space="preserve"> </w:t>
      </w:r>
      <w:r>
        <w:t xml:space="preserve">above any other parsimonious comparator we tested and roughly</w:t>
      </w:r>
      <w:r>
        <w:t xml:space="preserve"> </w:t>
      </w:r>
      <w:r>
        <w:t xml:space="preserve">comparable to the area-level SuperLearner ensemble at a fraction of</w:t>
      </w:r>
      <w:r>
        <w:t xml:space="preserve"> </w:t>
      </w:r>
      <w:r>
        <w:t xml:space="preserve">the compute cost. Bootstrap 95% confidence intervals on the</w:t>
      </w:r>
      <w:r>
        <w:t xml:space="preserve"> </w:t>
      </w:r>
      <w:r>
        <w:t xml:space="preserve">combination’s Pearson r were strictly above zero for seven of the</w:t>
      </w:r>
      <w:r>
        <w:t xml:space="preserve"> </w:t>
      </w:r>
      <w:r>
        <w:t xml:space="preserve">sixteen holdouts, with the wins concentrated on iron and vitamin A</w:t>
      </w:r>
      <w:r>
        <w:t xml:space="preserve"> </w:t>
      </w:r>
      <w:r>
        <w:t xml:space="preserve">in Gambia and Ghana. We caveat that the eight-feature recipe and the</w:t>
      </w:r>
      <w:r>
        <w:t xml:space="preserve"> </w:t>
      </w:r>
      <w:r>
        <w:t xml:space="preserve">spatial gradient information may not generalise outside the West</w:t>
      </w:r>
      <w:r>
        <w:t xml:space="preserve"> </w:t>
      </w:r>
      <w:r>
        <w:t xml:space="preserve">African training footprint — extending the training set to East and</w:t>
      </w:r>
      <w:r>
        <w:t xml:space="preserve"> </w:t>
      </w:r>
      <w:r>
        <w:t xml:space="preserve">Southern Africa is the most important external-validity step.</w:t>
      </w:r>
    </w:p>
    <w:p>
      <w:pPr>
        <w:pStyle w:val="BodyText"/>
      </w:pPr>
      <w:r>
        <w:rPr>
          <w:b/>
          <w:bCs/>
        </w:rPr>
        <w:t xml:space="preserve">Sierra Leone testing power at admin-3 resolution.</w:t>
      </w:r>
      <w:r>
        <w:t xml:space="preserve"> </w:t>
      </w:r>
      <w:r>
        <w:t xml:space="preserve">The admin-2</w:t>
      </w:r>
      <w:r>
        <w:t xml:space="preserve"> </w:t>
      </w:r>
      <w:r>
        <w:t xml:space="preserve">Sierra Leone LOCO sample (n = 14 districts) is small enough that the</w:t>
      </w:r>
      <w:r>
        <w:t xml:space="preserve"> </w:t>
      </w:r>
      <w:r>
        <w:t xml:space="preserve">holdout estimates are dominated by sampling noise; we documented this</w:t>
      </w:r>
      <w:r>
        <w:t xml:space="preserve"> </w:t>
      </w:r>
      <w:r>
        <w:t xml:space="preserve">by re-running the analysis at admin-3 (chiefdom) resolution after</w:t>
      </w:r>
      <w:r>
        <w:t xml:space="preserve"> </w:t>
      </w:r>
      <w:r>
        <w:t xml:space="preserve">spatial-joining DHS cluster coordinates to GADM admin-3 polygons. At</w:t>
      </w:r>
      <w:r>
        <w:t xml:space="preserve"> </w:t>
      </w:r>
      <w:r>
        <w:t xml:space="preserve">admin-3 resolution, Sierra Leone has 44 chiefdoms with biomarker</w:t>
      </w:r>
      <w:r>
        <w:t xml:space="preserve"> </w:t>
      </w:r>
      <w:r>
        <w:t xml:space="preserve">measurements (a 3.1-fold increase over admin-2). With Sierra Leone</w:t>
      </w:r>
      <w:r>
        <w:t xml:space="preserve"> </w:t>
      </w:r>
      <w:r>
        <w:t xml:space="preserve">held out as the test country and the other three countries as training</w:t>
      </w:r>
      <w:r>
        <w:t xml:space="preserve"> </w:t>
      </w:r>
      <w:r>
        <w:t xml:space="preserve">at admin-2 resolution, LOCO Spearman correlations on the four</w:t>
      </w:r>
      <w:r>
        <w:t xml:space="preserve"> </w:t>
      </w:r>
      <w:r>
        <w:t xml:space="preserve">continuous biomarker outcomes (child / women vitamin A, women B12,</w:t>
      </w:r>
      <w:r>
        <w:t xml:space="preserve"> </w:t>
      </w:r>
      <w:r>
        <w:t xml:space="preserve">women folate) moved from a range of −0.07 to −0.35 at admin-2 toward</w:t>
      </w:r>
      <w:r>
        <w:t xml:space="preserve"> </w:t>
      </w:r>
      <w:r>
        <w:t xml:space="preserve">or above zero at admin-3, including a meaningfully positive +0.30 for</w:t>
      </w:r>
      <w:r>
        <w:t xml:space="preserve"> </w:t>
      </w:r>
      <w:r>
        <w:t xml:space="preserve">women’s vitamin B12. We interpret the headline admin-2 anti-predictive</w:t>
      </w:r>
      <w:r>
        <w:t xml:space="preserve"> </w:t>
      </w:r>
      <w:r>
        <w:t xml:space="preserve">estimates for Sierra Leone as primarily a small-sample artefact and</w:t>
      </w:r>
      <w:r>
        <w:t xml:space="preserve"> </w:t>
      </w:r>
      <w:r>
        <w:t xml:space="preserve">not as evidence of fundamental non-transportability.</w:t>
      </w:r>
    </w:p>
    <w:tbl>
      <w:tblPr>
        <w:tblStyle w:val="Table"/>
        <w:tblW w:type="pct" w:w="5000"/>
        <w:tblLayout w:type="fixed"/>
        <w:tblLook w:firstRow="0" w:lastRow="0" w:firstColumn="0" w:lastColumn="0" w:noHBand="0" w:noVBand="0" w:val="0000"/>
      </w:tblPr>
      <w:tblGrid>
        <w:gridCol w:w="7920"/>
      </w:tblGrid>
      <w:tr>
        <w:tc>
          <w:tcPr/>
          <w:bookmarkStart w:id="43" w:name="tbl-national-estimates"/>
          <w:p>
            <w:pPr>
              <w:jc w:val="center"/>
            </w:pPr>
            <w:pPr>
              <w:jc w:val="start"/>
              <w:spacing w:before="200"/>
              <w:pStyle w:val="ImageCaption"/>
            </w:pPr>
            <w:r>
              <w:t xml:space="preserve">Table 5: National prevalence: model-derived vs survey-derived. From results/tables/national_estimates_all.csv.</w:t>
            </w:r>
          </w:p>
          <w:tbl>
            <w:tblPr>
              <w:tblStyle w:val="Table"/>
              <w:tblW w:type="pct" w:w="5000"/>
              <w:tblLayout w:type="fixed"/>
              <w:tblLook w:firstRow="1" w:lastRow="0" w:firstColumn="0" w:lastColumn="0" w:noHBand="0" w:noVBand="0" w:val="0020"/>
            </w:tblPr>
            <w:tblGrid>
              <w:gridCol w:w="1514"/>
              <w:gridCol w:w="1514"/>
              <w:gridCol w:w="2096"/>
              <w:gridCol w:w="1164"/>
              <w:gridCol w:w="1630"/>
            </w:tblGrid>
            <w:tr>
              <w:trPr>
                <w:tblHeader w:val="on"/>
              </w:trPr>
              <w:tc>
                <w:tcPr/>
                <w:p>
                  <w:pPr>
                    <w:pStyle w:val="Compact"/>
                    <w:jc w:val="left"/>
                    <w:jc w:val="center"/>
                  </w:pPr>
                  <w:r>
                    <w:t xml:space="preserve">Country</w:t>
                  </w:r>
                </w:p>
              </w:tc>
              <w:tc>
                <w:tcPr/>
                <w:p>
                  <w:pPr>
                    <w:pStyle w:val="Compact"/>
                    <w:jc w:val="left"/>
                    <w:jc w:val="center"/>
                  </w:pPr>
                  <w:r>
                    <w:t xml:space="preserve">Outcome</w:t>
                  </w:r>
                </w:p>
              </w:tc>
              <w:tc>
                <w:tcPr/>
                <w:p>
                  <w:pPr>
                    <w:pStyle w:val="Compact"/>
                    <w:jc w:val="left"/>
                    <w:jc w:val="center"/>
                  </w:pPr>
                  <w:r>
                    <w:t xml:space="preserve">Observed (95% CI)</w:t>
                  </w:r>
                </w:p>
              </w:tc>
              <w:tc>
                <w:tcPr/>
                <w:p>
                  <w:pPr>
                    <w:pStyle w:val="Compact"/>
                    <w:jc w:val="left"/>
                    <w:jc w:val="center"/>
                  </w:pPr>
                  <w:r>
                    <w:t xml:space="preserve">Predicted</w:t>
                  </w:r>
                </w:p>
              </w:tc>
              <w:tc>
                <w:tcPr/>
                <w:p>
                  <w:pPr>
                    <w:pStyle w:val="Compact"/>
                    <w:jc w:val="right"/>
                    <w:jc w:val="center"/>
                  </w:pPr>
                  <w:r>
                    <w:t xml:space="preserve">Abs diff (pp)</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left"/>
                    <w:jc w:val="center"/>
                  </w:pPr>
                  <w:r>
                    <w:t xml:space="preserve">17.3 (13.0–21.5)%</w:t>
                  </w:r>
                </w:p>
              </w:tc>
              <w:tc>
                <w:tcPr/>
                <w:p>
                  <w:pPr>
                    <w:pStyle w:val="Compact"/>
                    <w:jc w:val="left"/>
                    <w:jc w:val="center"/>
                  </w:pPr>
                  <w:r>
                    <w:t xml:space="preserve">21.2%</w:t>
                  </w:r>
                </w:p>
              </w:tc>
              <w:tc>
                <w:tcPr/>
                <w:p>
                  <w:pPr>
                    <w:pStyle w:val="Compact"/>
                    <w:jc w:val="right"/>
                    <w:jc w:val="center"/>
                  </w:pPr>
                  <w:r>
                    <w:t xml:space="preserve">4.0</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left"/>
                    <w:jc w:val="center"/>
                  </w:pPr>
                  <w:r>
                    <w:t xml:space="preserve">1.7 (0.8–2.6)%</w:t>
                  </w:r>
                </w:p>
              </w:tc>
              <w:tc>
                <w:tcPr/>
                <w:p>
                  <w:pPr>
                    <w:pStyle w:val="Compact"/>
                    <w:jc w:val="left"/>
                    <w:jc w:val="center"/>
                  </w:pPr>
                  <w:r>
                    <w:t xml:space="preserve">2.0%</w:t>
                  </w:r>
                </w:p>
              </w:tc>
              <w:tc>
                <w:tcPr/>
                <w:p>
                  <w:pPr>
                    <w:pStyle w:val="Compact"/>
                    <w:jc w:val="right"/>
                    <w:jc w:val="center"/>
                  </w:pPr>
                  <w:r>
                    <w:t xml:space="preserve">0.3</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left"/>
                    <w:jc w:val="center"/>
                  </w:pPr>
                  <w:r>
                    <w:t xml:space="preserve">37.5 (32.0–43.0)%</w:t>
                  </w:r>
                </w:p>
              </w:tc>
              <w:tc>
                <w:tcPr/>
                <w:p>
                  <w:pPr>
                    <w:pStyle w:val="Compact"/>
                    <w:jc w:val="left"/>
                    <w:jc w:val="center"/>
                  </w:pPr>
                  <w:r>
                    <w:t xml:space="preserve">42.1%</w:t>
                  </w:r>
                </w:p>
              </w:tc>
              <w:tc>
                <w:tcPr/>
                <w:p>
                  <w:pPr>
                    <w:pStyle w:val="Compact"/>
                    <w:jc w:val="right"/>
                    <w:jc w:val="center"/>
                  </w:pPr>
                  <w:r>
                    <w:t xml:space="preserve">4.6</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left"/>
                    <w:jc w:val="center"/>
                  </w:pPr>
                  <w:r>
                    <w:t xml:space="preserve">28.2 (24.2–32.2)%</w:t>
                  </w:r>
                </w:p>
              </w:tc>
              <w:tc>
                <w:tcPr/>
                <w:p>
                  <w:pPr>
                    <w:pStyle w:val="Compact"/>
                    <w:jc w:val="left"/>
                    <w:jc w:val="center"/>
                  </w:pPr>
                  <w:r>
                    <w:t xml:space="preserve">26.6%</w:t>
                  </w:r>
                </w:p>
              </w:tc>
              <w:tc>
                <w:tcPr/>
                <w:p>
                  <w:pPr>
                    <w:pStyle w:val="Compact"/>
                    <w:jc w:val="right"/>
                    <w:jc w:val="center"/>
                  </w:pPr>
                  <w:r>
                    <w:t xml:space="preserve">1.6</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left"/>
                    <w:jc w:val="center"/>
                  </w:pPr>
                  <w:r>
                    <w:t xml:space="preserve">13.2 (10.9–15.5)%</w:t>
                  </w:r>
                </w:p>
              </w:tc>
              <w:tc>
                <w:tcPr/>
                <w:p>
                  <w:pPr>
                    <w:pStyle w:val="Compact"/>
                    <w:jc w:val="left"/>
                    <w:jc w:val="center"/>
                  </w:pPr>
                  <w:r>
                    <w:t xml:space="preserve">15.0%</w:t>
                  </w:r>
                </w:p>
              </w:tc>
              <w:tc>
                <w:tcPr/>
                <w:p>
                  <w:pPr>
                    <w:pStyle w:val="Compact"/>
                    <w:jc w:val="right"/>
                    <w:jc w:val="center"/>
                  </w:pPr>
                  <w:r>
                    <w:t xml:space="preserve">1.8</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left"/>
                    <w:jc w:val="center"/>
                  </w:pPr>
                  <w:r>
                    <w:t xml:space="preserve">1.2 (0.4–1.9)%</w:t>
                  </w:r>
                </w:p>
              </w:tc>
              <w:tc>
                <w:tcPr/>
                <w:p>
                  <w:pPr>
                    <w:pStyle w:val="Compact"/>
                    <w:jc w:val="left"/>
                    <w:jc w:val="center"/>
                  </w:pPr>
                  <w:r>
                    <w:t xml:space="preserve">1.3%</w:t>
                  </w:r>
                </w:p>
              </w:tc>
              <w:tc>
                <w:tcPr/>
                <w:p>
                  <w:pPr>
                    <w:pStyle w:val="Compact"/>
                    <w:jc w:val="right"/>
                    <w:jc w:val="center"/>
                  </w:pPr>
                  <w:r>
                    <w:t xml:space="preserve">0.2</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left"/>
                    <w:jc w:val="center"/>
                  </w:pPr>
                  <w:r>
                    <w:t xml:space="preserve">20.2 (16.9–23.5)%</w:t>
                  </w:r>
                </w:p>
              </w:tc>
              <w:tc>
                <w:tcPr/>
                <w:p>
                  <w:pPr>
                    <w:pStyle w:val="Compact"/>
                    <w:jc w:val="left"/>
                    <w:jc w:val="center"/>
                  </w:pPr>
                  <w:r>
                    <w:t xml:space="preserve">20.3%</w:t>
                  </w:r>
                </w:p>
              </w:tc>
              <w:tc>
                <w:tcPr/>
                <w:p>
                  <w:pPr>
                    <w:pStyle w:val="Compact"/>
                    <w:jc w:val="right"/>
                    <w:jc w:val="center"/>
                  </w:pPr>
                  <w:r>
                    <w:t xml:space="preserve">0.1</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left"/>
                    <w:jc w:val="center"/>
                  </w:pPr>
                  <w:r>
                    <w:t xml:space="preserve">7.6 (5.9–9.2)%</w:t>
                  </w:r>
                </w:p>
              </w:tc>
              <w:tc>
                <w:tcPr/>
                <w:p>
                  <w:pPr>
                    <w:pStyle w:val="Compact"/>
                    <w:jc w:val="left"/>
                    <w:jc w:val="center"/>
                  </w:pPr>
                  <w:r>
                    <w:t xml:space="preserve">8.4%</w:t>
                  </w:r>
                </w:p>
              </w:tc>
              <w:tc>
                <w:tcPr/>
                <w:p>
                  <w:pPr>
                    <w:pStyle w:val="Compact"/>
                    <w:jc w:val="right"/>
                    <w:jc w:val="center"/>
                  </w:pPr>
                  <w:r>
                    <w:t xml:space="preserve">0.8</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left"/>
                    <w:jc w:val="center"/>
                  </w:pPr>
                  <w:r>
                    <w:t xml:space="preserve">54.6 (48.5–60.6)%</w:t>
                  </w:r>
                </w:p>
              </w:tc>
              <w:tc>
                <w:tcPr/>
                <w:p>
                  <w:pPr>
                    <w:pStyle w:val="Compact"/>
                    <w:jc w:val="left"/>
                    <w:jc w:val="center"/>
                  </w:pPr>
                  <w:r>
                    <w:t xml:space="preserve">54.3%</w:t>
                  </w:r>
                </w:p>
              </w:tc>
              <w:tc>
                <w:tcPr/>
                <w:p>
                  <w:pPr>
                    <w:pStyle w:val="Compact"/>
                    <w:jc w:val="right"/>
                    <w:jc w:val="center"/>
                  </w:pPr>
                  <w:r>
                    <w:t xml:space="preserve">0.3</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left"/>
                    <w:jc w:val="center"/>
                  </w:pPr>
                  <w:r>
                    <w:t xml:space="preserve">7.0 (4.7–9.3)%</w:t>
                  </w:r>
                </w:p>
              </w:tc>
              <w:tc>
                <w:tcPr/>
                <w:p>
                  <w:pPr>
                    <w:pStyle w:val="Compact"/>
                    <w:jc w:val="left"/>
                    <w:jc w:val="center"/>
                  </w:pPr>
                  <w:r>
                    <w:t xml:space="preserve">6.9%</w:t>
                  </w:r>
                </w:p>
              </w:tc>
              <w:tc>
                <w:tcPr/>
                <w:p>
                  <w:pPr>
                    <w:pStyle w:val="Compact"/>
                    <w:jc w:val="right"/>
                    <w:jc w:val="center"/>
                  </w:pPr>
                  <w:r>
                    <w:t xml:space="preserve">0.1</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left"/>
                    <w:jc w:val="center"/>
                  </w:pPr>
                  <w:r>
                    <w:t xml:space="preserve">12.0 (8.6–15.4)%</w:t>
                  </w:r>
                </w:p>
              </w:tc>
              <w:tc>
                <w:tcPr/>
                <w:p>
                  <w:pPr>
                    <w:pStyle w:val="Compact"/>
                    <w:jc w:val="left"/>
                    <w:jc w:val="center"/>
                  </w:pPr>
                  <w:r>
                    <w:t xml:space="preserve">14.1%</w:t>
                  </w:r>
                </w:p>
              </w:tc>
              <w:tc>
                <w:tcPr/>
                <w:p>
                  <w:pPr>
                    <w:pStyle w:val="Compact"/>
                    <w:jc w:val="right"/>
                    <w:jc w:val="center"/>
                  </w:pPr>
                  <w:r>
                    <w:t xml:space="preserve">2.1</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left"/>
                    <w:jc w:val="center"/>
                  </w:pPr>
                  <w:r>
                    <w:t xml:space="preserve">1.4 (0.6–2.3)%</w:t>
                  </w:r>
                </w:p>
              </w:tc>
              <w:tc>
                <w:tcPr/>
                <w:p>
                  <w:pPr>
                    <w:pStyle w:val="Compact"/>
                    <w:jc w:val="left"/>
                    <w:jc w:val="center"/>
                  </w:pPr>
                  <w:r>
                    <w:t xml:space="preserve">1.9%</w:t>
                  </w:r>
                </w:p>
              </w:tc>
              <w:tc>
                <w:tcPr/>
                <w:p>
                  <w:pPr>
                    <w:pStyle w:val="Compact"/>
                    <w:jc w:val="right"/>
                    <w:jc w:val="center"/>
                  </w:pPr>
                  <w:r>
                    <w:t xml:space="preserve">0.4</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left"/>
                    <w:jc w:val="center"/>
                  </w:pPr>
                  <w:r>
                    <w:t xml:space="preserve">5.1 (3.0–7.3)%</w:t>
                  </w:r>
                </w:p>
              </w:tc>
              <w:tc>
                <w:tcPr/>
                <w:p>
                  <w:pPr>
                    <w:pStyle w:val="Compact"/>
                    <w:jc w:val="left"/>
                    <w:jc w:val="center"/>
                  </w:pPr>
                  <w:r>
                    <w:t xml:space="preserve">5.1%</w:t>
                  </w:r>
                </w:p>
              </w:tc>
              <w:tc>
                <w:tcPr/>
                <w:p>
                  <w:pPr>
                    <w:pStyle w:val="Compact"/>
                    <w:jc w:val="right"/>
                    <w:jc w:val="center"/>
                  </w:pPr>
                  <w:r>
                    <w:t xml:space="preserve">0.1</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left"/>
                    <w:jc w:val="center"/>
                  </w:pPr>
                  <w:r>
                    <w:t xml:space="preserve">9.6 (6.6–12.6)%</w:t>
                  </w:r>
                </w:p>
              </w:tc>
              <w:tc>
                <w:tcPr/>
                <w:p>
                  <w:pPr>
                    <w:pStyle w:val="Compact"/>
                    <w:jc w:val="left"/>
                    <w:jc w:val="center"/>
                  </w:pPr>
                  <w:r>
                    <w:t xml:space="preserve">9.7%</w:t>
                  </w:r>
                </w:p>
              </w:tc>
              <w:tc>
                <w:tcPr/>
                <w:p>
                  <w:pPr>
                    <w:pStyle w:val="Compact"/>
                    <w:jc w:val="right"/>
                    <w:jc w:val="center"/>
                  </w:pPr>
                  <w:r>
                    <w:t xml:space="preserve">0.1</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left"/>
                    <w:jc w:val="center"/>
                  </w:pPr>
                  <w:r>
                    <w:t xml:space="preserve">79.2 (74.5–83.8)%</w:t>
                  </w:r>
                </w:p>
              </w:tc>
              <w:tc>
                <w:tcPr/>
                <w:p>
                  <w:pPr>
                    <w:pStyle w:val="Compact"/>
                    <w:jc w:val="left"/>
                    <w:jc w:val="center"/>
                  </w:pPr>
                  <w:r>
                    <w:t xml:space="preserve">77.5%</w:t>
                  </w:r>
                </w:p>
              </w:tc>
              <w:tc>
                <w:tcPr/>
                <w:p>
                  <w:pPr>
                    <w:pStyle w:val="Compact"/>
                    <w:jc w:val="right"/>
                    <w:jc w:val="center"/>
                  </w:pPr>
                  <w:r>
                    <w:t xml:space="preserve">1.7</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left"/>
                    <w:jc w:val="center"/>
                  </w:pPr>
                  <w:r>
                    <w:t xml:space="preserve">0.5 (-0.0–1.1)%</w:t>
                  </w:r>
                </w:p>
              </w:tc>
              <w:tc>
                <w:tcPr/>
                <w:p>
                  <w:pPr>
                    <w:pStyle w:val="Compact"/>
                    <w:jc w:val="left"/>
                    <w:jc w:val="center"/>
                  </w:pPr>
                  <w:r>
                    <w:t xml:space="preserve">0.5%</w:t>
                  </w:r>
                </w:p>
              </w:tc>
              <w:tc>
                <w:tcPr/>
                <w:p>
                  <w:pPr>
                    <w:pStyle w:val="Compact"/>
                    <w:jc w:val="right"/>
                    <w:jc w:val="center"/>
                  </w:pPr>
                  <w:r>
                    <w:t xml:space="preserve">0.0</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left"/>
                    <w:jc w:val="center"/>
                  </w:pPr>
                  <w:r>
                    <w:t xml:space="preserve">10.2 (7.0–13.4)%</w:t>
                  </w:r>
                </w:p>
              </w:tc>
              <w:tc>
                <w:tcPr/>
                <w:p>
                  <w:pPr>
                    <w:pStyle w:val="Compact"/>
                    <w:jc w:val="left"/>
                    <w:jc w:val="center"/>
                  </w:pPr>
                  <w:r>
                    <w:t xml:space="preserve">10.1%</w:t>
                  </w:r>
                </w:p>
              </w:tc>
              <w:tc>
                <w:tcPr/>
                <w:p>
                  <w:pPr>
                    <w:pStyle w:val="Compact"/>
                    <w:jc w:val="right"/>
                    <w:jc w:val="center"/>
                  </w:pPr>
                  <w:r>
                    <w:t xml:space="preserve">0.1</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left"/>
                    <w:jc w:val="center"/>
                  </w:pPr>
                  <w:r>
                    <w:t xml:space="preserve">2.2 (0.6–3.8)%</w:t>
                  </w:r>
                </w:p>
              </w:tc>
              <w:tc>
                <w:tcPr/>
                <w:p>
                  <w:pPr>
                    <w:pStyle w:val="Compact"/>
                    <w:jc w:val="left"/>
                    <w:jc w:val="center"/>
                  </w:pPr>
                  <w:r>
                    <w:t xml:space="preserve">2.0%</w:t>
                  </w:r>
                </w:p>
              </w:tc>
              <w:tc>
                <w:tcPr/>
                <w:p>
                  <w:pPr>
                    <w:pStyle w:val="Compact"/>
                    <w:jc w:val="right"/>
                    <w:jc w:val="center"/>
                  </w:pPr>
                  <w:r>
                    <w:t xml:space="preserve">0.2</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left"/>
                    <w:jc w:val="center"/>
                  </w:pPr>
                  <w:r>
                    <w:t xml:space="preserve">10.3 (6.3–14.3)%</w:t>
                  </w:r>
                </w:p>
              </w:tc>
              <w:tc>
                <w:tcPr/>
                <w:p>
                  <w:pPr>
                    <w:pStyle w:val="Compact"/>
                    <w:jc w:val="left"/>
                    <w:jc w:val="center"/>
                  </w:pPr>
                  <w:r>
                    <w:t xml:space="preserve">11.6%</w:t>
                  </w:r>
                </w:p>
              </w:tc>
              <w:tc>
                <w:tcPr/>
                <w:p>
                  <w:pPr>
                    <w:pStyle w:val="Compact"/>
                    <w:jc w:val="right"/>
                    <w:jc w:val="center"/>
                  </w:pPr>
                  <w:r>
                    <w:t xml:space="preserve">1.3</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left"/>
                    <w:jc w:val="center"/>
                  </w:pPr>
                  <w:r>
                    <w:t xml:space="preserve">8.1 (5.8–10.5)%</w:t>
                  </w:r>
                </w:p>
              </w:tc>
              <w:tc>
                <w:tcPr/>
                <w:p>
                  <w:pPr>
                    <w:pStyle w:val="Compact"/>
                    <w:jc w:val="left"/>
                    <w:jc w:val="center"/>
                  </w:pPr>
                  <w:r>
                    <w:t xml:space="preserve">8.6%</w:t>
                  </w:r>
                </w:p>
              </w:tc>
              <w:tc>
                <w:tcPr/>
                <w:p>
                  <w:pPr>
                    <w:pStyle w:val="Compact"/>
                    <w:jc w:val="right"/>
                    <w:jc w:val="center"/>
                  </w:pPr>
                  <w:r>
                    <w:t xml:space="preserve">0.5</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left"/>
                    <w:jc w:val="center"/>
                  </w:pPr>
                  <w:r>
                    <w:t xml:space="preserve">18.6 (12.9–24.3)%</w:t>
                  </w:r>
                </w:p>
              </w:tc>
              <w:tc>
                <w:tcPr/>
                <w:p>
                  <w:pPr>
                    <w:pStyle w:val="Compact"/>
                    <w:jc w:val="left"/>
                    <w:jc w:val="center"/>
                  </w:pPr>
                  <w:r>
                    <w:t xml:space="preserve">18.3%</w:t>
                  </w:r>
                </w:p>
              </w:tc>
              <w:tc>
                <w:tcPr/>
                <w:p>
                  <w:pPr>
                    <w:pStyle w:val="Compact"/>
                    <w:jc w:val="right"/>
                    <w:jc w:val="center"/>
                  </w:pPr>
                  <w:r>
                    <w:t xml:space="preserve">0.3</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left"/>
                    <w:jc w:val="center"/>
                  </w:pPr>
                  <w:r>
                    <w:t xml:space="preserve">2.3 (1.1–3.5)%</w:t>
                  </w:r>
                </w:p>
              </w:tc>
              <w:tc>
                <w:tcPr/>
                <w:p>
                  <w:pPr>
                    <w:pStyle w:val="Compact"/>
                    <w:jc w:val="left"/>
                    <w:jc w:val="center"/>
                  </w:pPr>
                  <w:r>
                    <w:t xml:space="preserve">3.2%</w:t>
                  </w:r>
                </w:p>
              </w:tc>
              <w:tc>
                <w:tcPr/>
                <w:p>
                  <w:pPr>
                    <w:pStyle w:val="Compact"/>
                    <w:jc w:val="right"/>
                    <w:jc w:val="center"/>
                  </w:pPr>
                  <w:r>
                    <w:t xml:space="preserve">0.9</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left"/>
                    <w:jc w:val="center"/>
                  </w:pPr>
                  <w:r>
                    <w:t xml:space="preserve">61.1 (54.9–67.3)%</w:t>
                  </w:r>
                </w:p>
              </w:tc>
              <w:tc>
                <w:tcPr/>
                <w:p>
                  <w:pPr>
                    <w:pStyle w:val="Compact"/>
                    <w:jc w:val="left"/>
                    <w:jc w:val="center"/>
                  </w:pPr>
                  <w:r>
                    <w:t xml:space="preserve">59.2%</w:t>
                  </w:r>
                </w:p>
              </w:tc>
              <w:tc>
                <w:tcPr/>
                <w:p>
                  <w:pPr>
                    <w:pStyle w:val="Compact"/>
                    <w:jc w:val="right"/>
                    <w:jc w:val="center"/>
                  </w:pPr>
                  <w:r>
                    <w:t xml:space="preserve">2.0</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left"/>
                    <w:jc w:val="center"/>
                  </w:pPr>
                  <w:r>
                    <w:t xml:space="preserve">64.1 (57.2–71.0)%</w:t>
                  </w:r>
                </w:p>
              </w:tc>
              <w:tc>
                <w:tcPr/>
                <w:p>
                  <w:pPr>
                    <w:pStyle w:val="Compact"/>
                    <w:jc w:val="left"/>
                    <w:jc w:val="center"/>
                  </w:pPr>
                  <w:r>
                    <w:t xml:space="preserve">62.2%</w:t>
                  </w:r>
                </w:p>
              </w:tc>
              <w:tc>
                <w:tcPr/>
                <w:p>
                  <w:pPr>
                    <w:pStyle w:val="Compact"/>
                    <w:jc w:val="right"/>
                    <w:jc w:val="center"/>
                  </w:pPr>
                  <w:r>
                    <w:t xml:space="preserve">1.9</w:t>
                  </w:r>
                </w:p>
              </w:tc>
            </w:tr>
          </w:tbl>
          <w:bookmarkEnd w:id="43"/>
          <w:p/>
        </w:tc>
      </w:tr>
    </w:tbl>
    <w:bookmarkEnd w:id="44"/>
    <w:bookmarkStart w:id="46" w:name="Xd5671671c5e6012cba754b7c6de7f0569ea75d6"/>
    <w:p>
      <w:pPr>
        <w:pStyle w:val="Heading2"/>
      </w:pPr>
      <w:r>
        <w:t xml:space="preserve">3.6 Benchmark comparison against canonical methods</w:t>
      </w:r>
    </w:p>
    <w:p>
      <w:pPr>
        <w:pStyle w:val="FirstParagraph"/>
      </w:pPr>
      <w:r>
        <w:t xml:space="preserve">Twenty-one comparator methods were evaluated alongside the prescreened</w:t>
      </w:r>
      <w:r>
        <w:t xml:space="preserve"> </w:t>
      </w:r>
      <w:r>
        <w:t xml:space="preserve">SuperLearner ensemble (</w:t>
      </w:r>
      <w:r>
        <w:rPr>
          <w:rStyle w:val="VerbatimChar"/>
        </w:rPr>
        <w:t xml:space="preserve">sl_prescreened</w:t>
      </w:r>
      <w:r>
        <w:t xml:space="preserve">) across the 16 LOCO</w:t>
      </w:r>
      <w:r>
        <w:t xml:space="preserve"> </w:t>
      </w:r>
      <w:r>
        <w:t xml:space="preserve">outcome–holdout cells, spanning frequentist regressions (OLS/GLM,</w:t>
      </w:r>
      <w:r>
        <w:t xml:space="preserve"> </w:t>
      </w:r>
      <w:r>
        <w:t xml:space="preserve">quasi-binomial, beta regression, penalised/elastic-net), Bayesian SAE</w:t>
      </w:r>
      <w:r>
        <w:t xml:space="preserve"> </w:t>
      </w:r>
      <w:r>
        <w:t xml:space="preserve">(Fay–Herriot, BYM2), covariate-invariance and transportability-aware methods</w:t>
      </w:r>
      <w:r>
        <w:t xml:space="preserve"> </w:t>
      </w:r>
      <w:r>
        <w:t xml:space="preserve">(DAG-based selection, CORAL domain adaptation, forward LOCO-optimised</w:t>
      </w:r>
      <w:r>
        <w:t xml:space="preserve"> </w:t>
      </w:r>
      <w:r>
        <w:t xml:space="preserve">selection, a two-stage country-mean-plus-deviation model, a stacked</w:t>
      </w:r>
      <w:r>
        <w:t xml:space="preserve"> </w:t>
      </w:r>
      <w:r>
        <w:t xml:space="preserve">ensemble of the above), and two spatial methods with no or minimal</w:t>
      </w:r>
      <w:r>
        <w:t xml:space="preserve"> </w:t>
      </w:r>
      <w:r>
        <w:t xml:space="preserve">covariates (a coordinate-only smoother,</w:t>
      </w:r>
      <w:r>
        <w:t xml:space="preserve"> </w:t>
      </w:r>
      <w:r>
        <w:rPr>
          <w:rStyle w:val="VerbatimChar"/>
        </w:rPr>
        <w:t xml:space="preserve">spatial_coords</w:t>
      </w:r>
      <w:r>
        <w:t xml:space="preserve">, and a smoother</w:t>
      </w:r>
      <w:r>
        <w:t xml:space="preserve"> </w:t>
      </w:r>
      <w:r>
        <w:t xml:space="preserve">plus the eight most-transportable soil covariates,</w:t>
      </w:r>
      <w:r>
        <w:t xml:space="preserve"> </w:t>
      </w:r>
      <w:r>
        <w:rPr>
          <w:rStyle w:val="VerbatimChar"/>
        </w:rPr>
        <w:t xml:space="preserve">spatial_plus_soil</w:t>
      </w:r>
      <w:r>
        <w:t xml:space="preserve">)</w:t>
      </w:r>
      <w:r>
        <w:t xml:space="preserve"> </w:t>
      </w:r>
      <w:r>
        <w:t xml:space="preserve">(</w:t>
      </w:r>
      <w:hyperlink w:anchor="tbl-benchmarks">
        <w:r>
          <w:rPr>
            <w:rStyle w:val="Hyperlink"/>
          </w:rPr>
          <w:t xml:space="preserve">Table 6</w:t>
        </w:r>
      </w:hyperlink>
      <w:r>
        <w:t xml:space="preserve">). The prescreened SuperLearner ensemble matched or exceeded</w:t>
      </w:r>
      <w:r>
        <w:t xml:space="preserve"> </w:t>
      </w:r>
      <w:r>
        <w:t xml:space="preserve">the best of these 21 comparators on</w:t>
      </w:r>
      <w:r>
        <w:t xml:space="preserve"> </w:t>
      </w:r>
      <w:r>
        <w:rPr>
          <w:b/>
          <w:bCs/>
        </w:rPr>
        <w:t xml:space="preserve">0 of 16</w:t>
      </w:r>
      <w:r>
        <w:t xml:space="preserve"> </w:t>
      </w:r>
      <w:r>
        <w:t xml:space="preserve">evaluable holdouts (by</w:t>
      </w:r>
      <w:r>
        <w:t xml:space="preserve"> </w:t>
      </w:r>
      <w:r>
        <w:t xml:space="preserve">Pearson r), and had the lowest median Pearson r (0.001) of any comparator</w:t>
      </w:r>
      <w:r>
        <w:t xml:space="preserve"> </w:t>
      </w:r>
      <w:r>
        <w:t xml:space="preserve">method. The two spatial methods led on rank correlation</w:t>
      </w:r>
      <w:r>
        <w:t xml:space="preserve"> </w:t>
      </w:r>
      <w:r>
        <w:t xml:space="preserve">(</w:t>
      </w:r>
      <w:r>
        <w:rPr>
          <w:rStyle w:val="VerbatimChar"/>
        </w:rPr>
        <w:t xml:space="preserve">spatial_plus_soil</w:t>
      </w:r>
      <w:r>
        <w:t xml:space="preserve"> </w:t>
      </w:r>
      <w:r>
        <w:t xml:space="preserve">median r = 0.28,</w:t>
      </w:r>
      <w:r>
        <w:t xml:space="preserve"> </w:t>
      </w:r>
      <w:r>
        <w:rPr>
          <w:rStyle w:val="VerbatimChar"/>
        </w:rPr>
        <w:t xml:space="preserve">spatial_coords</w:t>
      </w:r>
      <w:r>
        <w:t xml:space="preserve"> </w:t>
      </w:r>
      <w:r>
        <w:t xml:space="preserve">r = 0.27), consistent</w:t>
      </w:r>
      <w:r>
        <w:t xml:space="preserve"> </w:t>
      </w:r>
      <w:r>
        <w:t xml:space="preserve">with the admin-2 spatial-only result above (r = 0.39) — geography, not the</w:t>
      </w:r>
      <w:r>
        <w:t xml:space="preserve"> </w:t>
      </w:r>
      <w:r>
        <w:t xml:space="preserve">covariate ensemble, carries most of the transportable ranking signal. On</w:t>
      </w:r>
      <w:r>
        <w:t xml:space="preserve"> </w:t>
      </w:r>
      <w:r>
        <w:t xml:space="preserve">absolute error, however, a plain penalised regression had the lowest median</w:t>
      </w:r>
      <w:r>
        <w:t xml:space="preserve"> </w:t>
      </w:r>
      <w:r>
        <w:t xml:space="preserve">LOCO MAE (10.6 pp) — only modestly better than the national-mean null itself</w:t>
      </w:r>
      <w:r>
        <w:t xml:space="preserve"> </w:t>
      </w:r>
      <w:r>
        <w:t xml:space="preserve">(11.1 pp) — despite a near-zero median Pearson r (0.09), while the spatial</w:t>
      </w:r>
      <w:r>
        <w:t xml:space="preserve"> </w:t>
      </w:r>
      <w:r>
        <w:t xml:space="preserve">methods’ better ranking came with</w:t>
      </w:r>
      <w:r>
        <w:t xml:space="preserve"> </w:t>
      </w:r>
      <w:r>
        <w:rPr>
          <w:i/>
          <w:iCs/>
        </w:rPr>
        <w:t xml:space="preserve">worse</w:t>
      </w:r>
      <w:r>
        <w:t xml:space="preserve"> </w:t>
      </w:r>
      <w:r>
        <w:t xml:space="preserve">absolute error (MAE 11.6–13.1 pp).</w:t>
      </w:r>
      <w:r>
        <w:t xml:space="preserve"> </w:t>
      </w:r>
      <w:r>
        <w:t xml:space="preserve">Level and pattern are therefore transported best by different methods, and</w:t>
      </w:r>
      <w:r>
        <w:t xml:space="preserve"> </w:t>
      </w:r>
      <w:r>
        <w:t xml:space="preserve">neither is transported well by any single method, including the SuperLearner</w:t>
      </w:r>
      <w:r>
        <w:t xml:space="preserve"> </w:t>
      </w:r>
      <w:r>
        <w:t xml:space="preserve">ensemble. As noted in Methods, we treat</w:t>
      </w:r>
      <w:r>
        <w:t xml:space="preserve"> </w:t>
      </w:r>
      <w:r>
        <w:rPr>
          <w:rStyle w:val="VerbatimChar"/>
        </w:rPr>
        <w:t xml:space="preserve">spatial_plus_soil</w:t>
      </w:r>
      <w:r>
        <w:t xml:space="preserve">’s apparent lead with</w:t>
      </w:r>
      <w:r>
        <w:t xml:space="preserve"> </w:t>
      </w:r>
      <w:r>
        <w:t xml:space="preserve">caution: it was originally selected using LOCO correlations computed on the</w:t>
      </w:r>
      <w:r>
        <w:t xml:space="preserve"> </w:t>
      </w:r>
      <w:r>
        <w:t xml:space="preserve">same held-out countries it is evaluated against here, and a leakage-corrected</w:t>
      </w:r>
      <w:r>
        <w:t xml:space="preserve"> </w:t>
      </w:r>
      <w:r>
        <w:t xml:space="preserve">re-derivation drops its correlation from 0.305 to 0.117 (</w:t>
      </w:r>
      <w:hyperlink w:anchor="sec-recipe-audit">
        <w:r>
          <w:rPr>
            <w:rStyle w:val="Hyperlink"/>
          </w:rPr>
          <w:t xml:space="preserve">Section 3.4</w:t>
        </w:r>
      </w:hyperlink>
      <w:r>
        <w:t xml:space="preserve">) —</w:t>
      </w:r>
      <w:r>
        <w:t xml:space="preserve"> </w:t>
      </w:r>
      <w:r>
        <w:t xml:space="preserve">still consistent with spatial information leading the field, but by a</w:t>
      </w:r>
      <w:r>
        <w:t xml:space="preserve"> </w:t>
      </w:r>
      <w:r>
        <w:t xml:space="preserve">smaller margin than</w:t>
      </w:r>
      <w:r>
        <w:t xml:space="preserve"> </w:t>
      </w:r>
      <w:hyperlink w:anchor="tbl-benchmarks">
        <w:r>
          <w:rPr>
            <w:rStyle w:val="Hyperlink"/>
          </w:rPr>
          <w:t xml:space="preserve">Table 6</w:t>
        </w:r>
      </w:hyperlink>
      <w:r>
        <w:t xml:space="preserve"> </w:t>
      </w:r>
      <w:r>
        <w:t xml:space="preserve">alone would suggest.</w:t>
      </w:r>
    </w:p>
    <w:tbl>
      <w:tblPr>
        <w:tblStyle w:val="Table"/>
        <w:tblW w:type="pct" w:w="5000"/>
        <w:tblLayout w:type="fixed"/>
        <w:tblLook w:firstRow="0" w:lastRow="0" w:firstColumn="0" w:lastColumn="0" w:noHBand="0" w:noVBand="0" w:val="0000"/>
      </w:tblPr>
      <w:tblGrid>
        <w:gridCol w:w="7920"/>
      </w:tblGrid>
      <w:tr>
        <w:tc>
          <w:tcPr/>
          <w:bookmarkStart w:id="45" w:name="tbl-benchmarks"/>
          <w:p>
            <w:pPr>
              <w:jc w:val="center"/>
            </w:pPr>
            <w:pPr>
              <w:jc w:val="start"/>
              <w:spacing w:before="200"/>
              <w:pStyle w:val="ImageCaption"/>
            </w:pPr>
            <w:r>
              <w:t xml:space="preserve">Table 6: LOCO transportability: prescreened SuperLearner vs benchmark methods. Pearson r between predicted and observed admin-2 prevalence. From results/tables/benchmarks_all.csv.</w:t>
            </w:r>
          </w:p>
          <w:tbl>
            <w:tblPr>
              <w:tblStyle w:val="Table"/>
              <w:tblW w:type="pct" w:w="5000"/>
              <w:tblLayout w:type="fixed"/>
              <w:tblLook w:firstRow="1" w:lastRow="0" w:firstColumn="0" w:lastColumn="0" w:noHBand="0" w:noVBand="0" w:val="0020"/>
            </w:tblPr>
            <w:tblGrid>
              <w:gridCol w:w="354"/>
              <w:gridCol w:w="386"/>
              <w:gridCol w:w="289"/>
              <w:gridCol w:w="225"/>
              <w:gridCol w:w="321"/>
              <w:gridCol w:w="225"/>
              <w:gridCol w:w="225"/>
              <w:gridCol w:w="321"/>
              <w:gridCol w:w="257"/>
              <w:gridCol w:w="225"/>
              <w:gridCol w:w="257"/>
              <w:gridCol w:w="450"/>
              <w:gridCol w:w="289"/>
              <w:gridCol w:w="257"/>
              <w:gridCol w:w="225"/>
              <w:gridCol w:w="579"/>
              <w:gridCol w:w="515"/>
              <w:gridCol w:w="482"/>
              <w:gridCol w:w="515"/>
              <w:gridCol w:w="579"/>
              <w:gridCol w:w="482"/>
              <w:gridCol w:w="225"/>
              <w:gridCol w:w="225"/>
            </w:tblGrid>
            <w:tr>
              <w:trPr>
                <w:tblHeader w:val="on"/>
              </w:trPr>
              <w:tc>
                <w:tcPr/>
                <w:p>
                  <w:pPr>
                    <w:pStyle w:val="Compact"/>
                    <w:jc w:val="left"/>
                    <w:jc w:val="center"/>
                  </w:pPr>
                  <w:r>
                    <w:t xml:space="preserve">outcome</w:t>
                  </w:r>
                </w:p>
              </w:tc>
              <w:tc>
                <w:tcPr/>
                <w:p>
                  <w:pPr>
                    <w:pStyle w:val="Compact"/>
                    <w:jc w:val="left"/>
                    <w:jc w:val="center"/>
                  </w:pPr>
                  <w:r>
                    <w:t xml:space="preserve">held_out</w:t>
                  </w:r>
                </w:p>
              </w:tc>
              <w:tc>
                <w:tcPr/>
                <w:p>
                  <w:pPr>
                    <w:pStyle w:val="Compact"/>
                    <w:jc w:val="right"/>
                    <w:jc w:val="center"/>
                  </w:pPr>
                  <w:r>
                    <w:t xml:space="preserve">baseline</w:t>
                  </w:r>
                </w:p>
              </w:tc>
              <w:tc>
                <w:tcPr/>
                <w:p>
                  <w:pPr>
                    <w:pStyle w:val="Compact"/>
                    <w:jc w:val="right"/>
                    <w:jc w:val="center"/>
                  </w:pPr>
                  <w:r>
                    <w:t xml:space="preserve">glm</w:t>
                  </w:r>
                </w:p>
              </w:tc>
              <w:tc>
                <w:tcPr/>
                <w:p>
                  <w:pPr>
                    <w:pStyle w:val="Compact"/>
                    <w:jc w:val="right"/>
                    <w:jc w:val="center"/>
                  </w:pPr>
                  <w:r>
                    <w:t xml:space="preserve">penalized</w:t>
                  </w:r>
                </w:p>
              </w:tc>
              <w:tc>
                <w:tcPr/>
                <w:p>
                  <w:pPr>
                    <w:pStyle w:val="Compact"/>
                    <w:jc w:val="right"/>
                    <w:jc w:val="center"/>
                  </w:pPr>
                  <w:r>
                    <w:t xml:space="preserve">bym2</w:t>
                  </w:r>
                </w:p>
              </w:tc>
              <w:tc>
                <w:tcPr/>
                <w:p>
                  <w:pPr>
                    <w:pStyle w:val="Compact"/>
                    <w:jc w:val="right"/>
                    <w:jc w:val="center"/>
                  </w:pPr>
                  <w:r>
                    <w:t xml:space="preserve">mixed</w:t>
                  </w:r>
                </w:p>
              </w:tc>
              <w:tc>
                <w:tcPr/>
                <w:p>
                  <w:pPr>
                    <w:pStyle w:val="Compact"/>
                    <w:jc w:val="right"/>
                    <w:jc w:val="center"/>
                  </w:pPr>
                  <w:r>
                    <w:t xml:space="preserve">two_stage</w:t>
                  </w:r>
                </w:p>
              </w:tc>
              <w:tc>
                <w:tcPr/>
                <w:p>
                  <w:pPr>
                    <w:pStyle w:val="Compact"/>
                    <w:jc w:val="right"/>
                    <w:jc w:val="center"/>
                  </w:pPr>
                  <w:r>
                    <w:t xml:space="preserve">forward</w:t>
                  </w:r>
                </w:p>
              </w:tc>
              <w:tc>
                <w:tcPr/>
                <w:p>
                  <w:pPr>
                    <w:pStyle w:val="Compact"/>
                    <w:jc w:val="right"/>
                    <w:jc w:val="center"/>
                  </w:pPr>
                  <w:r>
                    <w:t xml:space="preserve">gam</w:t>
                  </w:r>
                </w:p>
              </w:tc>
              <w:tc>
                <w:tcPr/>
                <w:p>
                  <w:pPr>
                    <w:pStyle w:val="Compact"/>
                    <w:jc w:val="right"/>
                    <w:jc w:val="center"/>
                  </w:pPr>
                  <w:r>
                    <w:t xml:space="preserve">stacked</w:t>
                  </w:r>
                </w:p>
              </w:tc>
              <w:tc>
                <w:tcPr/>
                <w:p>
                  <w:pPr>
                    <w:pStyle w:val="Compact"/>
                    <w:jc w:val="right"/>
                    <w:jc w:val="center"/>
                  </w:pPr>
                  <w:r>
                    <w:t xml:space="preserve">quasibinomial</w:t>
                  </w:r>
                </w:p>
              </w:tc>
              <w:tc>
                <w:tcPr/>
                <w:p>
                  <w:pPr>
                    <w:pStyle w:val="Compact"/>
                    <w:jc w:val="right"/>
                    <w:jc w:val="center"/>
                  </w:pPr>
                  <w:r>
                    <w:t xml:space="preserve">quantile</w:t>
                  </w:r>
                </w:p>
              </w:tc>
              <w:tc>
                <w:tcPr/>
                <w:p>
                  <w:pPr>
                    <w:pStyle w:val="Compact"/>
                    <w:jc w:val="right"/>
                    <w:jc w:val="center"/>
                  </w:pPr>
                  <w:r>
                    <w:t xml:space="preserve">betareg</w:t>
                  </w:r>
                </w:p>
              </w:tc>
              <w:tc>
                <w:tcPr/>
                <w:p>
                  <w:pPr>
                    <w:pStyle w:val="Compact"/>
                    <w:jc w:val="right"/>
                    <w:jc w:val="center"/>
                  </w:pPr>
                  <w:r>
                    <w:t xml:space="preserve">dag</w:t>
                  </w:r>
                </w:p>
              </w:tc>
              <w:tc>
                <w:tcPr/>
                <w:p>
                  <w:pPr>
                    <w:pStyle w:val="Compact"/>
                    <w:jc w:val="right"/>
                    <w:jc w:val="center"/>
                  </w:pPr>
                  <w:r>
                    <w:t xml:space="preserve">invariance_filter</w:t>
                  </w:r>
                </w:p>
              </w:tc>
              <w:tc>
                <w:tcPr/>
                <w:p>
                  <w:pPr>
                    <w:pStyle w:val="Compact"/>
                    <w:jc w:val="right"/>
                    <w:jc w:val="center"/>
                  </w:pPr>
                  <w:r>
                    <w:t xml:space="preserve">combined_filter</w:t>
                  </w:r>
                </w:p>
              </w:tc>
              <w:tc>
                <w:tcPr/>
                <w:p>
                  <w:pPr>
                    <w:pStyle w:val="Compact"/>
                    <w:jc w:val="right"/>
                    <w:jc w:val="center"/>
                  </w:pPr>
                  <w:r>
                    <w:t xml:space="preserve">spatial_coords</w:t>
                  </w:r>
                </w:p>
              </w:tc>
              <w:tc>
                <w:tcPr/>
                <w:p>
                  <w:pPr>
                    <w:pStyle w:val="Compact"/>
                    <w:jc w:val="right"/>
                    <w:jc w:val="center"/>
                  </w:pPr>
                  <w:r>
                    <w:t xml:space="preserve">spatial_plus_h6</w:t>
                  </w:r>
                </w:p>
              </w:tc>
              <w:tc>
                <w:tcPr/>
                <w:p>
                  <w:pPr>
                    <w:pStyle w:val="Compact"/>
                    <w:jc w:val="right"/>
                    <w:jc w:val="center"/>
                  </w:pPr>
                  <w:r>
                    <w:t xml:space="preserve">spatial_plus_soil</w:t>
                  </w:r>
                </w:p>
              </w:tc>
              <w:tc>
                <w:tcPr/>
                <w:p>
                  <w:pPr>
                    <w:pStyle w:val="Compact"/>
                    <w:jc w:val="right"/>
                    <w:jc w:val="center"/>
                  </w:pPr>
                  <w:r>
                    <w:t xml:space="preserve">sl_prescreened</w:t>
                  </w:r>
                </w:p>
              </w:tc>
              <w:tc>
                <w:tcPr/>
                <w:p>
                  <w:pPr>
                    <w:pStyle w:val="Compact"/>
                    <w:jc w:val="right"/>
                    <w:jc w:val="center"/>
                  </w:pPr>
                  <w:r>
                    <w:t xml:space="preserve">coral</w:t>
                  </w:r>
                </w:p>
              </w:tc>
              <w:tc>
                <w:tcPr/>
                <w:p>
                  <w:pPr>
                    <w:pStyle w:val="Compact"/>
                    <w:jc w:val="right"/>
                    <w:jc w:val="center"/>
                  </w:pPr>
                  <w:r>
                    <w:t xml:space="preserve">fh</w:t>
                  </w:r>
                </w:p>
              </w:tc>
            </w:tr>
            <w:tr>
              <w:tc>
                <w:tcPr/>
                <w:p>
                  <w:pPr>
                    <w:pStyle w:val="Compact"/>
                    <w:jc w:val="left"/>
                    <w:jc w:val="center"/>
                  </w:pPr>
                  <w:r>
                    <w:t xml:space="preserve">child_vitA</w:t>
                  </w:r>
                </w:p>
              </w:tc>
              <w:tc>
                <w:tcPr/>
                <w:p>
                  <w:pPr>
                    <w:pStyle w:val="Compact"/>
                    <w:jc w:val="left"/>
                    <w:jc w:val="center"/>
                  </w:pPr>
                  <w:r>
                    <w:t xml:space="preserve">Gambia</w:t>
                  </w:r>
                </w:p>
              </w:tc>
              <w:tc>
                <w:tcPr/>
                <w:p>
                  <w:pPr>
                    <w:pStyle w:val="Compact"/>
                    <w:jc w:val="right"/>
                    <w:jc w:val="center"/>
                  </w:pPr>
                  <w:r>
                    <w:t xml:space="preserve">NA</w:t>
                  </w:r>
                </w:p>
              </w:tc>
              <w:tc>
                <w:tcPr/>
                <w:p>
                  <w:pPr>
                    <w:pStyle w:val="Compact"/>
                    <w:jc w:val="right"/>
                    <w:jc w:val="center"/>
                  </w:pPr>
                  <w:r>
                    <w:t xml:space="preserve">0.615</w:t>
                  </w:r>
                </w:p>
              </w:tc>
              <w:tc>
                <w:tcPr/>
                <w:p>
                  <w:pPr>
                    <w:pStyle w:val="Compact"/>
                    <w:jc w:val="right"/>
                    <w:jc w:val="center"/>
                  </w:pPr>
                  <w:r>
                    <w:t xml:space="preserve">0.493</w:t>
                  </w:r>
                </w:p>
              </w:tc>
              <w:tc>
                <w:tcPr/>
                <w:p>
                  <w:pPr>
                    <w:pStyle w:val="Compact"/>
                    <w:jc w:val="right"/>
                    <w:jc w:val="center"/>
                  </w:pPr>
                  <w:r>
                    <w:t xml:space="preserve">0.596</w:t>
                  </w:r>
                </w:p>
              </w:tc>
              <w:tc>
                <w:tcPr/>
                <w:p>
                  <w:pPr>
                    <w:pStyle w:val="Compact"/>
                    <w:jc w:val="right"/>
                    <w:jc w:val="center"/>
                  </w:pPr>
                  <w:r>
                    <w:t xml:space="preserve">0.619</w:t>
                  </w:r>
                </w:p>
              </w:tc>
              <w:tc>
                <w:tcPr/>
                <w:p>
                  <w:pPr>
                    <w:pStyle w:val="Compact"/>
                    <w:jc w:val="right"/>
                    <w:jc w:val="center"/>
                  </w:pPr>
                  <w:r>
                    <w:t xml:space="preserve">0.395</w:t>
                  </w:r>
                </w:p>
              </w:tc>
              <w:tc>
                <w:tcPr/>
                <w:p>
                  <w:pPr>
                    <w:pStyle w:val="Compact"/>
                    <w:jc w:val="right"/>
                    <w:jc w:val="center"/>
                  </w:pPr>
                  <w:r>
                    <w:t xml:space="preserve">0.063</w:t>
                  </w:r>
                </w:p>
              </w:tc>
              <w:tc>
                <w:tcPr/>
                <w:p>
                  <w:pPr>
                    <w:pStyle w:val="Compact"/>
                    <w:jc w:val="right"/>
                    <w:jc w:val="center"/>
                  </w:pPr>
                  <w:r>
                    <w:t xml:space="preserve">-0.220</w:t>
                  </w:r>
                </w:p>
              </w:tc>
              <w:tc>
                <w:tcPr/>
                <w:p>
                  <w:pPr>
                    <w:pStyle w:val="Compact"/>
                    <w:jc w:val="right"/>
                    <w:jc w:val="center"/>
                  </w:pPr>
                  <w:r>
                    <w:t xml:space="preserve">0.420</w:t>
                  </w:r>
                </w:p>
              </w:tc>
              <w:tc>
                <w:tcPr/>
                <w:p>
                  <w:pPr>
                    <w:pStyle w:val="Compact"/>
                    <w:jc w:val="right"/>
                    <w:jc w:val="center"/>
                  </w:pPr>
                  <w:r>
                    <w:t xml:space="preserve">0.616</w:t>
                  </w:r>
                </w:p>
              </w:tc>
              <w:tc>
                <w:tcPr/>
                <w:p>
                  <w:pPr>
                    <w:pStyle w:val="Compact"/>
                    <w:jc w:val="right"/>
                    <w:jc w:val="center"/>
                  </w:pPr>
                  <w:r>
                    <w:t xml:space="preserve">0.484</w:t>
                  </w:r>
                </w:p>
              </w:tc>
              <w:tc>
                <w:tcPr/>
                <w:p>
                  <w:pPr>
                    <w:pStyle w:val="Compact"/>
                    <w:jc w:val="right"/>
                    <w:jc w:val="center"/>
                  </w:pPr>
                  <w:r>
                    <w:t xml:space="preserve">-0.061</w:t>
                  </w:r>
                </w:p>
              </w:tc>
              <w:tc>
                <w:tcPr/>
                <w:p>
                  <w:pPr>
                    <w:pStyle w:val="Compact"/>
                    <w:jc w:val="right"/>
                    <w:jc w:val="center"/>
                  </w:pPr>
                  <w:r>
                    <w:t xml:space="preserve">0.250</w:t>
                  </w:r>
                </w:p>
              </w:tc>
              <w:tc>
                <w:tcPr/>
                <w:p>
                  <w:pPr>
                    <w:pStyle w:val="Compact"/>
                    <w:jc w:val="right"/>
                    <w:jc w:val="center"/>
                  </w:pPr>
                  <w:r>
                    <w:t xml:space="preserve">0.433</w:t>
                  </w:r>
                </w:p>
              </w:tc>
              <w:tc>
                <w:tcPr/>
                <w:p>
                  <w:pPr>
                    <w:pStyle w:val="Compact"/>
                    <w:jc w:val="right"/>
                    <w:jc w:val="center"/>
                  </w:pPr>
                  <w:r>
                    <w:t xml:space="preserve">0.444</w:t>
                  </w:r>
                </w:p>
              </w:tc>
              <w:tc>
                <w:tcPr/>
                <w:p>
                  <w:pPr>
                    <w:pStyle w:val="Compact"/>
                    <w:jc w:val="right"/>
                    <w:jc w:val="center"/>
                  </w:pPr>
                  <w:r>
                    <w:t xml:space="preserve">0.568</w:t>
                  </w:r>
                </w:p>
              </w:tc>
              <w:tc>
                <w:tcPr/>
                <w:p>
                  <w:pPr>
                    <w:pStyle w:val="Compact"/>
                    <w:jc w:val="right"/>
                    <w:jc w:val="center"/>
                  </w:pPr>
                  <w:r>
                    <w:t xml:space="preserve">0.260</w:t>
                  </w:r>
                </w:p>
              </w:tc>
              <w:tc>
                <w:tcPr/>
                <w:p>
                  <w:pPr>
                    <w:pStyle w:val="Compact"/>
                    <w:jc w:val="right"/>
                    <w:jc w:val="center"/>
                  </w:pPr>
                  <w:r>
                    <w:t xml:space="preserve">0.221</w:t>
                  </w:r>
                </w:p>
              </w:tc>
              <w:tc>
                <w:tcPr/>
                <w:p>
                  <w:pPr>
                    <w:pStyle w:val="Compact"/>
                    <w:jc w:val="right"/>
                    <w:jc w:val="center"/>
                  </w:pPr>
                  <w:r>
                    <w:t xml:space="preserve">0.111</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child_vitA</w:t>
                  </w:r>
                </w:p>
              </w:tc>
              <w:tc>
                <w:tcPr/>
                <w:p>
                  <w:pPr>
                    <w:pStyle w:val="Compact"/>
                    <w:jc w:val="left"/>
                    <w:jc w:val="center"/>
                  </w:pPr>
                  <w:r>
                    <w:t xml:space="preserve">Ghana</w:t>
                  </w:r>
                </w:p>
              </w:tc>
              <w:tc>
                <w:tcPr/>
                <w:p>
                  <w:pPr>
                    <w:pStyle w:val="Compact"/>
                    <w:jc w:val="right"/>
                    <w:jc w:val="center"/>
                  </w:pPr>
                  <w:r>
                    <w:t xml:space="preserve">NA</w:t>
                  </w:r>
                </w:p>
              </w:tc>
              <w:tc>
                <w:tcPr/>
                <w:p>
                  <w:pPr>
                    <w:pStyle w:val="Compact"/>
                    <w:jc w:val="right"/>
                    <w:jc w:val="center"/>
                  </w:pPr>
                  <w:r>
                    <w:t xml:space="preserve">0.279</w:t>
                  </w:r>
                </w:p>
              </w:tc>
              <w:tc>
                <w:tcPr/>
                <w:p>
                  <w:pPr>
                    <w:pStyle w:val="Compact"/>
                    <w:jc w:val="right"/>
                    <w:jc w:val="center"/>
                  </w:pPr>
                  <w:r>
                    <w:t xml:space="preserve">0.289</w:t>
                  </w:r>
                </w:p>
              </w:tc>
              <w:tc>
                <w:tcPr/>
                <w:p>
                  <w:pPr>
                    <w:pStyle w:val="Compact"/>
                    <w:jc w:val="right"/>
                    <w:jc w:val="center"/>
                  </w:pPr>
                  <w:r>
                    <w:t xml:space="preserve">0.190</w:t>
                  </w:r>
                </w:p>
              </w:tc>
              <w:tc>
                <w:tcPr/>
                <w:p>
                  <w:pPr>
                    <w:pStyle w:val="Compact"/>
                    <w:jc w:val="right"/>
                    <w:jc w:val="center"/>
                  </w:pPr>
                  <w:r>
                    <w:t xml:space="preserve">0.279</w:t>
                  </w:r>
                </w:p>
              </w:tc>
              <w:tc>
                <w:tcPr/>
                <w:p>
                  <w:pPr>
                    <w:pStyle w:val="Compact"/>
                    <w:jc w:val="right"/>
                    <w:jc w:val="center"/>
                  </w:pPr>
                  <w:r>
                    <w:t xml:space="preserve">0.251</w:t>
                  </w:r>
                </w:p>
              </w:tc>
              <w:tc>
                <w:tcPr/>
                <w:p>
                  <w:pPr>
                    <w:pStyle w:val="Compact"/>
                    <w:jc w:val="right"/>
                    <w:jc w:val="center"/>
                  </w:pPr>
                  <w:r>
                    <w:t xml:space="preserve">0.147</w:t>
                  </w:r>
                </w:p>
              </w:tc>
              <w:tc>
                <w:tcPr/>
                <w:p>
                  <w:pPr>
                    <w:pStyle w:val="Compact"/>
                    <w:jc w:val="right"/>
                    <w:jc w:val="center"/>
                  </w:pPr>
                  <w:r>
                    <w:t xml:space="preserve">0.195</w:t>
                  </w:r>
                </w:p>
              </w:tc>
              <w:tc>
                <w:tcPr/>
                <w:p>
                  <w:pPr>
                    <w:pStyle w:val="Compact"/>
                    <w:jc w:val="right"/>
                    <w:jc w:val="center"/>
                  </w:pPr>
                  <w:r>
                    <w:t xml:space="preserve">0.266</w:t>
                  </w:r>
                </w:p>
              </w:tc>
              <w:tc>
                <w:tcPr/>
                <w:p>
                  <w:pPr>
                    <w:pStyle w:val="Compact"/>
                    <w:jc w:val="right"/>
                    <w:jc w:val="center"/>
                  </w:pPr>
                  <w:r>
                    <w:t xml:space="preserve">0.228</w:t>
                  </w:r>
                </w:p>
              </w:tc>
              <w:tc>
                <w:tcPr/>
                <w:p>
                  <w:pPr>
                    <w:pStyle w:val="Compact"/>
                    <w:jc w:val="right"/>
                    <w:jc w:val="center"/>
                  </w:pPr>
                  <w:r>
                    <w:t xml:space="preserve">0.224</w:t>
                  </w:r>
                </w:p>
              </w:tc>
              <w:tc>
                <w:tcPr/>
                <w:p>
                  <w:pPr>
                    <w:pStyle w:val="Compact"/>
                    <w:jc w:val="right"/>
                    <w:jc w:val="center"/>
                  </w:pPr>
                  <w:r>
                    <w:t xml:space="preserve">-0.080</w:t>
                  </w:r>
                </w:p>
              </w:tc>
              <w:tc>
                <w:tcPr/>
                <w:p>
                  <w:pPr>
                    <w:pStyle w:val="Compact"/>
                    <w:jc w:val="right"/>
                    <w:jc w:val="center"/>
                  </w:pPr>
                  <w:r>
                    <w:t xml:space="preserve">0.267</w:t>
                  </w:r>
                </w:p>
              </w:tc>
              <w:tc>
                <w:tcPr/>
                <w:p>
                  <w:pPr>
                    <w:pStyle w:val="Compact"/>
                    <w:jc w:val="right"/>
                    <w:jc w:val="center"/>
                  </w:pPr>
                  <w:r>
                    <w:t xml:space="preserve">0.267</w:t>
                  </w:r>
                </w:p>
              </w:tc>
              <w:tc>
                <w:tcPr/>
                <w:p>
                  <w:pPr>
                    <w:pStyle w:val="Compact"/>
                    <w:jc w:val="right"/>
                    <w:jc w:val="center"/>
                  </w:pPr>
                  <w:r>
                    <w:t xml:space="preserve">0.267</w:t>
                  </w:r>
                </w:p>
              </w:tc>
              <w:tc>
                <w:tcPr/>
                <w:p>
                  <w:pPr>
                    <w:pStyle w:val="Compact"/>
                    <w:jc w:val="right"/>
                    <w:jc w:val="center"/>
                  </w:pPr>
                  <w:r>
                    <w:t xml:space="preserve">0.346</w:t>
                  </w:r>
                </w:p>
              </w:tc>
              <w:tc>
                <w:tcPr/>
                <w:p>
                  <w:pPr>
                    <w:pStyle w:val="Compact"/>
                    <w:jc w:val="right"/>
                    <w:jc w:val="center"/>
                  </w:pPr>
                  <w:r>
                    <w:t xml:space="preserve">0.314</w:t>
                  </w:r>
                </w:p>
              </w:tc>
              <w:tc>
                <w:tcPr/>
                <w:p>
                  <w:pPr>
                    <w:pStyle w:val="Compact"/>
                    <w:jc w:val="right"/>
                    <w:jc w:val="center"/>
                  </w:pPr>
                  <w:r>
                    <w:t xml:space="preserve">0.348</w:t>
                  </w:r>
                </w:p>
              </w:tc>
              <w:tc>
                <w:tcPr/>
                <w:p>
                  <w:pPr>
                    <w:pStyle w:val="Compact"/>
                    <w:jc w:val="right"/>
                    <w:jc w:val="center"/>
                  </w:pPr>
                  <w:r>
                    <w:t xml:space="preserve">0.357</w:t>
                  </w:r>
                </w:p>
              </w:tc>
              <w:tc>
                <w:tcPr/>
                <w:p>
                  <w:pPr>
                    <w:pStyle w:val="Compact"/>
                    <w:jc w:val="right"/>
                    <w:jc w:val="center"/>
                  </w:pPr>
                  <w:r>
                    <w:t xml:space="preserve">0.316</w:t>
                  </w:r>
                </w:p>
              </w:tc>
              <w:tc>
                <w:tcPr/>
                <w:p>
                  <w:pPr>
                    <w:pStyle w:val="Compact"/>
                    <w:jc w:val="right"/>
                    <w:jc w:val="center"/>
                  </w:pPr>
                  <w:r>
                    <w:t xml:space="preserve">0.226</w:t>
                  </w:r>
                </w:p>
              </w:tc>
            </w:tr>
            <w:tr>
              <w:tc>
                <w:tcPr/>
                <w:p>
                  <w:pPr>
                    <w:pStyle w:val="Compact"/>
                    <w:jc w:val="left"/>
                    <w:jc w:val="center"/>
                  </w:pPr>
                  <w:r>
                    <w:t xml:space="preserve">child_vitA</w:t>
                  </w:r>
                </w:p>
              </w:tc>
              <w:tc>
                <w:tcPr/>
                <w:p>
                  <w:pPr>
                    <w:pStyle w:val="Compact"/>
                    <w:jc w:val="left"/>
                    <w:jc w:val="center"/>
                  </w:pPr>
                  <w:r>
                    <w:t xml:space="preserve">SierraLeone</w:t>
                  </w:r>
                </w:p>
              </w:tc>
              <w:tc>
                <w:tcPr/>
                <w:p>
                  <w:pPr>
                    <w:pStyle w:val="Compact"/>
                    <w:jc w:val="right"/>
                    <w:jc w:val="center"/>
                  </w:pPr>
                  <w:r>
                    <w:t xml:space="preserve">NA</w:t>
                  </w:r>
                </w:p>
              </w:tc>
              <w:tc>
                <w:tcPr/>
                <w:p>
                  <w:pPr>
                    <w:pStyle w:val="Compact"/>
                    <w:jc w:val="right"/>
                    <w:jc w:val="center"/>
                  </w:pPr>
                  <w:r>
                    <w:t xml:space="preserve">-0.105</w:t>
                  </w:r>
                </w:p>
              </w:tc>
              <w:tc>
                <w:tcPr/>
                <w:p>
                  <w:pPr>
                    <w:pStyle w:val="Compact"/>
                    <w:jc w:val="right"/>
                    <w:jc w:val="center"/>
                  </w:pPr>
                  <w:r>
                    <w:t xml:space="preserve">0.140</w:t>
                  </w:r>
                </w:p>
              </w:tc>
              <w:tc>
                <w:tcPr/>
                <w:p>
                  <w:pPr>
                    <w:pStyle w:val="Compact"/>
                    <w:jc w:val="right"/>
                    <w:jc w:val="center"/>
                  </w:pPr>
                  <w:r>
                    <w:t xml:space="preserve">0.002</w:t>
                  </w:r>
                </w:p>
              </w:tc>
              <w:tc>
                <w:tcPr/>
                <w:p>
                  <w:pPr>
                    <w:pStyle w:val="Compact"/>
                    <w:jc w:val="right"/>
                    <w:jc w:val="center"/>
                  </w:pPr>
                  <w:r>
                    <w:t xml:space="preserve">-0.105</w:t>
                  </w:r>
                </w:p>
              </w:tc>
              <w:tc>
                <w:tcPr/>
                <w:p>
                  <w:pPr>
                    <w:pStyle w:val="Compact"/>
                    <w:jc w:val="right"/>
                    <w:jc w:val="center"/>
                  </w:pPr>
                  <w:r>
                    <w:t xml:space="preserve">-0.063</w:t>
                  </w:r>
                </w:p>
              </w:tc>
              <w:tc>
                <w:tcPr/>
                <w:p>
                  <w:pPr>
                    <w:pStyle w:val="Compact"/>
                    <w:jc w:val="right"/>
                    <w:jc w:val="center"/>
                  </w:pPr>
                  <w:r>
                    <w:t xml:space="preserve">-0.033</w:t>
                  </w:r>
                </w:p>
              </w:tc>
              <w:tc>
                <w:tcPr/>
                <w:p>
                  <w:pPr>
                    <w:pStyle w:val="Compact"/>
                    <w:jc w:val="right"/>
                    <w:jc w:val="center"/>
                  </w:pPr>
                  <w:r>
                    <w:t xml:space="preserve">-0.183</w:t>
                  </w:r>
                </w:p>
              </w:tc>
              <w:tc>
                <w:tcPr/>
                <w:p>
                  <w:pPr>
                    <w:pStyle w:val="Compact"/>
                    <w:jc w:val="right"/>
                    <w:jc w:val="center"/>
                  </w:pPr>
                  <w:r>
                    <w:t xml:space="preserve">0.012</w:t>
                  </w:r>
                </w:p>
              </w:tc>
              <w:tc>
                <w:tcPr/>
                <w:p>
                  <w:pPr>
                    <w:pStyle w:val="Compact"/>
                    <w:jc w:val="right"/>
                    <w:jc w:val="center"/>
                  </w:pPr>
                  <w:r>
                    <w:t xml:space="preserve">-0.059</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-0.330</w:t>
                  </w:r>
                </w:p>
              </w:tc>
              <w:tc>
                <w:tcPr/>
                <w:p>
                  <w:pPr>
                    <w:pStyle w:val="Compact"/>
                    <w:jc w:val="right"/>
                    <w:jc w:val="center"/>
                  </w:pPr>
                  <w:r>
                    <w:t xml:space="preserve">-0.130</w:t>
                  </w:r>
                </w:p>
              </w:tc>
              <w:tc>
                <w:tcPr/>
                <w:p>
                  <w:pPr>
                    <w:pStyle w:val="Compact"/>
                    <w:jc w:val="right"/>
                    <w:jc w:val="center"/>
                  </w:pPr>
                  <w:r>
                    <w:t xml:space="preserve">-0.136</w:t>
                  </w:r>
                </w:p>
              </w:tc>
              <w:tc>
                <w:tcPr/>
                <w:p>
                  <w:pPr>
                    <w:pStyle w:val="Compact"/>
                    <w:jc w:val="right"/>
                    <w:jc w:val="center"/>
                  </w:pPr>
                  <w:r>
                    <w:t xml:space="preserve">0.134</w:t>
                  </w:r>
                </w:p>
              </w:tc>
              <w:tc>
                <w:tcPr/>
                <w:p>
                  <w:pPr>
                    <w:pStyle w:val="Compact"/>
                    <w:jc w:val="right"/>
                    <w:jc w:val="center"/>
                  </w:pPr>
                  <w:r>
                    <w:t xml:space="preserve">0.176</w:t>
                  </w:r>
                </w:p>
              </w:tc>
              <w:tc>
                <w:tcPr/>
                <w:p>
                  <w:pPr>
                    <w:pStyle w:val="Compact"/>
                    <w:jc w:val="right"/>
                    <w:jc w:val="center"/>
                  </w:pPr>
                  <w:r>
                    <w:t xml:space="preserve">0.107</w:t>
                  </w:r>
                </w:p>
              </w:tc>
              <w:tc>
                <w:tcPr/>
                <w:p>
                  <w:pPr>
                    <w:pStyle w:val="Compact"/>
                    <w:jc w:val="right"/>
                    <w:jc w:val="center"/>
                  </w:pPr>
                  <w:r>
                    <w:t xml:space="preserve">-0.061</w:t>
                  </w:r>
                </w:p>
              </w:tc>
              <w:tc>
                <w:tcPr/>
                <w:p>
                  <w:pPr>
                    <w:pStyle w:val="Compact"/>
                    <w:jc w:val="right"/>
                    <w:jc w:val="center"/>
                  </w:pPr>
                  <w:r>
                    <w:t xml:space="preserve">-0.017</w:t>
                  </w:r>
                </w:p>
              </w:tc>
              <w:tc>
                <w:tcPr/>
                <w:p>
                  <w:pPr>
                    <w:pStyle w:val="Compact"/>
                    <w:jc w:val="right"/>
                    <w:jc w:val="center"/>
                  </w:pPr>
                  <w:r>
                    <w:t xml:space="preserve">NA</w:t>
                  </w:r>
                </w:p>
              </w:tc>
            </w:tr>
            <w:tr>
              <w:tc>
                <w:tcPr/>
                <w:p>
                  <w:pPr>
                    <w:pStyle w:val="Compact"/>
                    <w:jc w:val="left"/>
                    <w:jc w:val="center"/>
                  </w:pPr>
                  <w:r>
                    <w:t xml:space="preserve">child_vitA</w:t>
                  </w:r>
                </w:p>
              </w:tc>
              <w:tc>
                <w:tcPr/>
                <w:p>
                  <w:pPr>
                    <w:pStyle w:val="Compact"/>
                    <w:jc w:val="left"/>
                    <w:jc w:val="center"/>
                  </w:pPr>
                  <w:r>
                    <w:t xml:space="preserve">Malawi</w:t>
                  </w:r>
                </w:p>
              </w:tc>
              <w:tc>
                <w:tcPr/>
                <w:p>
                  <w:pPr>
                    <w:pStyle w:val="Compact"/>
                    <w:jc w:val="right"/>
                    <w:jc w:val="center"/>
                  </w:pPr>
                  <w:r>
                    <w:t xml:space="preserve">NA</w:t>
                  </w:r>
                </w:p>
              </w:tc>
              <w:tc>
                <w:tcPr/>
                <w:p>
                  <w:pPr>
                    <w:pStyle w:val="Compact"/>
                    <w:jc w:val="right"/>
                    <w:jc w:val="center"/>
                  </w:pPr>
                  <w:r>
                    <w:t xml:space="preserve">0.096</w:t>
                  </w:r>
                </w:p>
              </w:tc>
              <w:tc>
                <w:tcPr/>
                <w:p>
                  <w:pPr>
                    <w:pStyle w:val="Compact"/>
                    <w:jc w:val="right"/>
                    <w:jc w:val="center"/>
                  </w:pPr>
                  <w:r>
                    <w:t xml:space="preserve">0.158</w:t>
                  </w:r>
                </w:p>
              </w:tc>
              <w:tc>
                <w:tcPr/>
                <w:p>
                  <w:pPr>
                    <w:pStyle w:val="Compact"/>
                    <w:jc w:val="right"/>
                    <w:jc w:val="center"/>
                  </w:pPr>
                  <w:r>
                    <w:t xml:space="preserve">0.069</w:t>
                  </w:r>
                </w:p>
              </w:tc>
              <w:tc>
                <w:tcPr/>
                <w:p>
                  <w:pPr>
                    <w:pStyle w:val="Compact"/>
                    <w:jc w:val="right"/>
                    <w:jc w:val="center"/>
                  </w:pPr>
                  <w:r>
                    <w:t xml:space="preserve">0.093</w:t>
                  </w:r>
                </w:p>
              </w:tc>
              <w:tc>
                <w:tcPr/>
                <w:p>
                  <w:pPr>
                    <w:pStyle w:val="Compact"/>
                    <w:jc w:val="right"/>
                    <w:jc w:val="center"/>
                  </w:pPr>
                  <w:r>
                    <w:t xml:space="preserve">0.179</w:t>
                  </w:r>
                </w:p>
              </w:tc>
              <w:tc>
                <w:tcPr/>
                <w:p>
                  <w:pPr>
                    <w:pStyle w:val="Compact"/>
                    <w:jc w:val="right"/>
                    <w:jc w:val="center"/>
                  </w:pPr>
                  <w:r>
                    <w:t xml:space="preserve">-0.040</w:t>
                  </w:r>
                </w:p>
              </w:tc>
              <w:tc>
                <w:tcPr/>
                <w:p>
                  <w:pPr>
                    <w:pStyle w:val="Compact"/>
                    <w:jc w:val="right"/>
                    <w:jc w:val="center"/>
                  </w:pPr>
                  <w:r>
                    <w:t xml:space="preserve">0.073</w:t>
                  </w:r>
                </w:p>
              </w:tc>
              <w:tc>
                <w:tcPr/>
                <w:p>
                  <w:pPr>
                    <w:pStyle w:val="Compact"/>
                    <w:jc w:val="right"/>
                    <w:jc w:val="center"/>
                  </w:pPr>
                  <w:r>
                    <w:t xml:space="preserve">0.156</w:t>
                  </w:r>
                </w:p>
              </w:tc>
              <w:tc>
                <w:tcPr/>
                <w:p>
                  <w:pPr>
                    <w:pStyle w:val="Compact"/>
                    <w:jc w:val="right"/>
                    <w:jc w:val="center"/>
                  </w:pPr>
                  <w:r>
                    <w:t xml:space="preserve">0.054</w:t>
                  </w:r>
                </w:p>
              </w:tc>
              <w:tc>
                <w:tcPr/>
                <w:p>
                  <w:pPr>
                    <w:pStyle w:val="Compact"/>
                    <w:jc w:val="right"/>
                    <w:jc w:val="center"/>
                  </w:pPr>
                  <w:r>
                    <w:t xml:space="preserve">0.077</w:t>
                  </w:r>
                </w:p>
              </w:tc>
              <w:tc>
                <w:tcPr/>
                <w:p>
                  <w:pPr>
                    <w:pStyle w:val="Compact"/>
                    <w:jc w:val="right"/>
                    <w:jc w:val="center"/>
                  </w:pPr>
                  <w:r>
                    <w:t xml:space="preserve">0.093</w:t>
                  </w:r>
                </w:p>
              </w:tc>
              <w:tc>
                <w:tcPr/>
                <w:p>
                  <w:pPr>
                    <w:pStyle w:val="Compact"/>
                    <w:jc w:val="right"/>
                    <w:jc w:val="center"/>
                  </w:pPr>
                  <w:r>
                    <w:t xml:space="preserve">-0.080</w:t>
                  </w:r>
                </w:p>
              </w:tc>
              <w:tc>
                <w:tcPr/>
                <w:p>
                  <w:pPr>
                    <w:pStyle w:val="Compact"/>
                    <w:jc w:val="right"/>
                    <w:jc w:val="center"/>
                  </w:pPr>
                  <w:r>
                    <w:t xml:space="preserve">0.097</w:t>
                  </w:r>
                </w:p>
              </w:tc>
              <w:tc>
                <w:tcPr/>
                <w:p>
                  <w:pPr>
                    <w:pStyle w:val="Compact"/>
                    <w:jc w:val="right"/>
                    <w:jc w:val="center"/>
                  </w:pPr>
                  <w:r>
                    <w:t xml:space="preserve">0.185</w:t>
                  </w:r>
                </w:p>
              </w:tc>
              <w:tc>
                <w:tcPr/>
                <w:p>
                  <w:pPr>
                    <w:pStyle w:val="Compact"/>
                    <w:jc w:val="right"/>
                    <w:jc w:val="center"/>
                  </w:pPr>
                  <w:r>
                    <w:t xml:space="preserve">-0.105</w:t>
                  </w:r>
                </w:p>
              </w:tc>
              <w:tc>
                <w:tcPr/>
                <w:p>
                  <w:pPr>
                    <w:pStyle w:val="Compact"/>
                    <w:jc w:val="right"/>
                    <w:jc w:val="center"/>
                  </w:pPr>
                  <w:r>
                    <w:t xml:space="preserve">-0.124</w:t>
                  </w:r>
                </w:p>
              </w:tc>
              <w:tc>
                <w:tcPr/>
                <w:p>
                  <w:pPr>
                    <w:pStyle w:val="Compact"/>
                    <w:jc w:val="right"/>
                    <w:jc w:val="center"/>
                  </w:pPr>
                  <w:r>
                    <w:t xml:space="preserve">-0.096</w:t>
                  </w:r>
                </w:p>
              </w:tc>
              <w:tc>
                <w:tcPr/>
                <w:p>
                  <w:pPr>
                    <w:pStyle w:val="Compact"/>
                    <w:jc w:val="right"/>
                    <w:jc w:val="center"/>
                  </w:pPr>
                  <w:r>
                    <w:t xml:space="preserve">-0.001</w:t>
                  </w:r>
                </w:p>
              </w:tc>
              <w:tc>
                <w:tcPr/>
                <w:p>
                  <w:pPr>
                    <w:pStyle w:val="Compact"/>
                    <w:jc w:val="right"/>
                    <w:jc w:val="center"/>
                  </w:pPr>
                  <w:r>
                    <w:t xml:space="preserve">-0.008</w:t>
                  </w:r>
                </w:p>
              </w:tc>
              <w:tc>
                <w:tcPr/>
                <w:p>
                  <w:pPr>
                    <w:pStyle w:val="Compact"/>
                    <w:jc w:val="right"/>
                    <w:jc w:val="center"/>
                  </w:pPr>
                  <w:r>
                    <w:t xml:space="preserve">0.086</w:t>
                  </w:r>
                </w:p>
              </w:tc>
            </w:tr>
            <w:tr>
              <w:tc>
                <w:tcPr/>
                <w:p>
                  <w:pPr>
                    <w:pStyle w:val="Compact"/>
                    <w:jc w:val="left"/>
                    <w:jc w:val="center"/>
                  </w:pPr>
                  <w:r>
                    <w:t xml:space="preserve">women_vitA</w:t>
                  </w:r>
                </w:p>
              </w:tc>
              <w:tc>
                <w:tcPr/>
                <w:p>
                  <w:pPr>
                    <w:pStyle w:val="Compact"/>
                    <w:jc w:val="left"/>
                    <w:jc w:val="center"/>
                  </w:pPr>
                  <w:r>
                    <w:t xml:space="preserve">Gambia</w:t>
                  </w:r>
                </w:p>
              </w:tc>
              <w:tc>
                <w:tcPr/>
                <w:p>
                  <w:pPr>
                    <w:pStyle w:val="Compact"/>
                    <w:jc w:val="right"/>
                    <w:jc w:val="center"/>
                  </w:pPr>
                  <w:r>
                    <w:t xml:space="preserve">NA</w:t>
                  </w:r>
                </w:p>
              </w:tc>
              <w:tc>
                <w:tcPr/>
                <w:p>
                  <w:pPr>
                    <w:pStyle w:val="Compact"/>
                    <w:jc w:val="right"/>
                    <w:jc w:val="center"/>
                  </w:pPr>
                  <w:r>
                    <w:t xml:space="preserve">0.373</w:t>
                  </w:r>
                </w:p>
              </w:tc>
              <w:tc>
                <w:tcPr/>
                <w:p>
                  <w:pPr>
                    <w:pStyle w:val="Compact"/>
                    <w:jc w:val="right"/>
                    <w:jc w:val="center"/>
                  </w:pPr>
                  <w:r>
                    <w:t xml:space="preserve">NA</w:t>
                  </w:r>
                </w:p>
              </w:tc>
              <w:tc>
                <w:tcPr/>
                <w:p>
                  <w:pPr>
                    <w:pStyle w:val="Compact"/>
                    <w:jc w:val="right"/>
                    <w:jc w:val="center"/>
                  </w:pPr>
                  <w:r>
                    <w:t xml:space="preserve">0.388</w:t>
                  </w:r>
                </w:p>
              </w:tc>
              <w:tc>
                <w:tcPr/>
                <w:p>
                  <w:pPr>
                    <w:pStyle w:val="Compact"/>
                    <w:jc w:val="right"/>
                    <w:jc w:val="center"/>
                  </w:pPr>
                  <w:r>
                    <w:t xml:space="preserve">0.373</w:t>
                  </w:r>
                </w:p>
              </w:tc>
              <w:tc>
                <w:tcPr/>
                <w:p>
                  <w:pPr>
                    <w:pStyle w:val="Compact"/>
                    <w:jc w:val="right"/>
                    <w:jc w:val="center"/>
                  </w:pPr>
                  <w:r>
                    <w:t xml:space="preserve">0.528</w:t>
                  </w:r>
                </w:p>
              </w:tc>
              <w:tc>
                <w:tcPr/>
                <w:p>
                  <w:pPr>
                    <w:pStyle w:val="Compact"/>
                    <w:jc w:val="right"/>
                    <w:jc w:val="center"/>
                  </w:pPr>
                  <w:r>
                    <w:t xml:space="preserve">0.364</w:t>
                  </w:r>
                </w:p>
              </w:tc>
              <w:tc>
                <w:tcPr/>
                <w:p>
                  <w:pPr>
                    <w:pStyle w:val="Compact"/>
                    <w:jc w:val="right"/>
                    <w:jc w:val="center"/>
                  </w:pPr>
                  <w:r>
                    <w:t xml:space="preserve">0.504</w:t>
                  </w:r>
                </w:p>
              </w:tc>
              <w:tc>
                <w:tcPr/>
                <w:p>
                  <w:pPr>
                    <w:pStyle w:val="Compact"/>
                    <w:jc w:val="right"/>
                    <w:jc w:val="center"/>
                  </w:pPr>
                  <w:r>
                    <w:t xml:space="preserve">0.373</w:t>
                  </w:r>
                </w:p>
              </w:tc>
              <w:tc>
                <w:tcPr/>
                <w:p>
                  <w:pPr>
                    <w:pStyle w:val="Compact"/>
                    <w:jc w:val="right"/>
                    <w:jc w:val="center"/>
                  </w:pPr>
                  <w:r>
                    <w:t xml:space="preserve">0.346</w:t>
                  </w:r>
                </w:p>
              </w:tc>
              <w:tc>
                <w:tcPr/>
                <w:p>
                  <w:pPr>
                    <w:pStyle w:val="Compact"/>
                    <w:jc w:val="right"/>
                    <w:jc w:val="center"/>
                  </w:pPr>
                  <w:r>
                    <w:t xml:space="preserve">NA</w:t>
                  </w:r>
                </w:p>
              </w:tc>
              <w:tc>
                <w:tcPr/>
                <w:p>
                  <w:pPr>
                    <w:pStyle w:val="Compact"/>
                    <w:jc w:val="right"/>
                    <w:jc w:val="center"/>
                  </w:pPr>
                  <w:r>
                    <w:t xml:space="preserve">0.285</w:t>
                  </w:r>
                </w:p>
              </w:tc>
              <w:tc>
                <w:tcPr/>
                <w:p>
                  <w:pPr>
                    <w:pStyle w:val="Compact"/>
                    <w:jc w:val="right"/>
                    <w:jc w:val="center"/>
                  </w:pPr>
                  <w:r>
                    <w:t xml:space="preserve">0.279</w:t>
                  </w:r>
                </w:p>
              </w:tc>
              <w:tc>
                <w:tcPr/>
                <w:p>
                  <w:pPr>
                    <w:pStyle w:val="Compact"/>
                    <w:jc w:val="right"/>
                    <w:jc w:val="center"/>
                  </w:pPr>
                  <w:r>
                    <w:t xml:space="preserve">0.276</w:t>
                  </w:r>
                </w:p>
              </w:tc>
              <w:tc>
                <w:tcPr/>
                <w:p>
                  <w:pPr>
                    <w:pStyle w:val="Compact"/>
                    <w:jc w:val="right"/>
                    <w:jc w:val="center"/>
                  </w:pPr>
                  <w:r>
                    <w:t xml:space="preserve">0.249</w:t>
                  </w:r>
                </w:p>
              </w:tc>
              <w:tc>
                <w:tcPr/>
                <w:p>
                  <w:pPr>
                    <w:pStyle w:val="Compact"/>
                    <w:jc w:val="right"/>
                    <w:jc w:val="center"/>
                  </w:pPr>
                  <w:r>
                    <w:t xml:space="preserve">0.528</w:t>
                  </w:r>
                </w:p>
              </w:tc>
              <w:tc>
                <w:tcPr/>
                <w:p>
                  <w:pPr>
                    <w:pStyle w:val="Compact"/>
                    <w:jc w:val="right"/>
                    <w:jc w:val="center"/>
                  </w:pPr>
                  <w:r>
                    <w:t xml:space="preserve">0.078</w:t>
                  </w:r>
                </w:p>
              </w:tc>
              <w:tc>
                <w:tcPr/>
                <w:p>
                  <w:pPr>
                    <w:pStyle w:val="Compact"/>
                    <w:jc w:val="right"/>
                    <w:jc w:val="center"/>
                  </w:pPr>
                  <w:r>
                    <w:t xml:space="preserve">0.525</w:t>
                  </w:r>
                </w:p>
              </w:tc>
              <w:tc>
                <w:tcPr/>
                <w:p>
                  <w:pPr>
                    <w:pStyle w:val="Compact"/>
                    <w:jc w:val="right"/>
                    <w:jc w:val="center"/>
                  </w:pPr>
                  <w:r>
                    <w:t xml:space="preserve">NA</w:t>
                  </w:r>
                </w:p>
              </w:tc>
              <w:tc>
                <w:tcPr/>
                <w:p>
                  <w:pPr>
                    <w:pStyle w:val="Compact"/>
                    <w:jc w:val="right"/>
                    <w:jc w:val="center"/>
                  </w:pPr>
                  <w:r>
                    <w:t xml:space="preserve">0.432</w:t>
                  </w:r>
                </w:p>
              </w:tc>
              <w:tc>
                <w:tcPr/>
                <w:p>
                  <w:pPr>
                    <w:pStyle w:val="Compact"/>
                    <w:jc w:val="right"/>
                    <w:jc w:val="center"/>
                  </w:pPr>
                  <w:r>
                    <w:t xml:space="preserve">NA</w:t>
                  </w:r>
                </w:p>
              </w:tc>
            </w:tr>
            <w:tr>
              <w:tc>
                <w:tcPr/>
                <w:p>
                  <w:pPr>
                    <w:pStyle w:val="Compact"/>
                    <w:jc w:val="left"/>
                    <w:jc w:val="center"/>
                  </w:pPr>
                  <w:r>
                    <w:t xml:space="preserve">women_vitA</w:t>
                  </w:r>
                </w:p>
              </w:tc>
              <w:tc>
                <w:tcPr/>
                <w:p>
                  <w:pPr>
                    <w:pStyle w:val="Compact"/>
                    <w:jc w:val="left"/>
                    <w:jc w:val="center"/>
                  </w:pPr>
                  <w:r>
                    <w:t xml:space="preserve">Ghana</w:t>
                  </w:r>
                </w:p>
              </w:tc>
              <w:tc>
                <w:tcPr/>
                <w:p>
                  <w:pPr>
                    <w:pStyle w:val="Compact"/>
                    <w:jc w:val="right"/>
                    <w:jc w:val="center"/>
                  </w:pPr>
                  <w:r>
                    <w:t xml:space="preserve">NA</w:t>
                  </w:r>
                </w:p>
              </w:tc>
              <w:tc>
                <w:tcPr/>
                <w:p>
                  <w:pPr>
                    <w:pStyle w:val="Compact"/>
                    <w:jc w:val="right"/>
                    <w:jc w:val="center"/>
                  </w:pPr>
                  <w:r>
                    <w:t xml:space="preserve">0.000</w:t>
                  </w:r>
                </w:p>
              </w:tc>
              <w:tc>
                <w:tcPr/>
                <w:p>
                  <w:pPr>
                    <w:pStyle w:val="Compact"/>
                    <w:jc w:val="right"/>
                    <w:jc w:val="center"/>
                  </w:pPr>
                  <w:r>
                    <w:t xml:space="preserve">0.192</w:t>
                  </w:r>
                </w:p>
              </w:tc>
              <w:tc>
                <w:tcPr/>
                <w:p>
                  <w:pPr>
                    <w:pStyle w:val="Compact"/>
                    <w:jc w:val="right"/>
                    <w:jc w:val="center"/>
                  </w:pPr>
                  <w:r>
                    <w:t xml:space="preserve">0.176</w:t>
                  </w:r>
                </w:p>
              </w:tc>
              <w:tc>
                <w:tcPr/>
                <w:p>
                  <w:pPr>
                    <w:pStyle w:val="Compact"/>
                    <w:jc w:val="right"/>
                    <w:jc w:val="center"/>
                  </w:pPr>
                  <w:r>
                    <w:t xml:space="preserve">0.095</w:t>
                  </w:r>
                </w:p>
              </w:tc>
              <w:tc>
                <w:tcPr/>
                <w:p>
                  <w:pPr>
                    <w:pStyle w:val="Compact"/>
                    <w:jc w:val="right"/>
                    <w:jc w:val="center"/>
                  </w:pPr>
                  <w:r>
                    <w:t xml:space="preserve">0.036</w:t>
                  </w:r>
                </w:p>
              </w:tc>
              <w:tc>
                <w:tcPr/>
                <w:p>
                  <w:pPr>
                    <w:pStyle w:val="Compact"/>
                    <w:jc w:val="right"/>
                    <w:jc w:val="center"/>
                  </w:pPr>
                  <w:r>
                    <w:t xml:space="preserve">0.185</w:t>
                  </w:r>
                </w:p>
              </w:tc>
              <w:tc>
                <w:tcPr/>
                <w:p>
                  <w:pPr>
                    <w:pStyle w:val="Compact"/>
                    <w:jc w:val="right"/>
                    <w:jc w:val="center"/>
                  </w:pPr>
                  <w:r>
                    <w:t xml:space="preserve">0.038</w:t>
                  </w:r>
                </w:p>
              </w:tc>
              <w:tc>
                <w:tcPr/>
                <w:p>
                  <w:pPr>
                    <w:pStyle w:val="Compact"/>
                    <w:jc w:val="right"/>
                    <w:jc w:val="center"/>
                  </w:pPr>
                  <w:r>
                    <w:t xml:space="preserve">0.114</w:t>
                  </w:r>
                </w:p>
              </w:tc>
              <w:tc>
                <w:tcPr/>
                <w:p>
                  <w:pPr>
                    <w:pStyle w:val="Compact"/>
                    <w:jc w:val="right"/>
                    <w:jc w:val="center"/>
                  </w:pPr>
                  <w:r>
                    <w:t xml:space="preserve">-0.037</w:t>
                  </w:r>
                </w:p>
              </w:tc>
              <w:tc>
                <w:tcPr/>
                <w:p>
                  <w:pPr>
                    <w:pStyle w:val="Compact"/>
                    <w:jc w:val="right"/>
                    <w:jc w:val="center"/>
                  </w:pPr>
                  <w:r>
                    <w:t xml:space="preserve">0.020</w:t>
                  </w:r>
                </w:p>
              </w:tc>
              <w:tc>
                <w:tcPr/>
                <w:p>
                  <w:pPr>
                    <w:pStyle w:val="Compact"/>
                    <w:jc w:val="right"/>
                    <w:jc w:val="center"/>
                  </w:pPr>
                  <w:r>
                    <w:t xml:space="preserve">0.098</w:t>
                  </w:r>
                </w:p>
              </w:tc>
              <w:tc>
                <w:tcPr/>
                <w:p>
                  <w:pPr>
                    <w:pStyle w:val="Compact"/>
                    <w:jc w:val="right"/>
                    <w:jc w:val="center"/>
                  </w:pPr>
                  <w:r>
                    <w:t xml:space="preserve">0.255</w:t>
                  </w:r>
                </w:p>
              </w:tc>
              <w:tc>
                <w:tcPr/>
                <w:p>
                  <w:pPr>
                    <w:pStyle w:val="Compact"/>
                    <w:jc w:val="right"/>
                    <w:jc w:val="center"/>
                  </w:pPr>
                  <w:r>
                    <w:t xml:space="preserve">0.180</w:t>
                  </w:r>
                </w:p>
              </w:tc>
              <w:tc>
                <w:tcPr/>
                <w:p>
                  <w:pPr>
                    <w:pStyle w:val="Compact"/>
                    <w:jc w:val="right"/>
                    <w:jc w:val="center"/>
                  </w:pPr>
                  <w:r>
                    <w:t xml:space="preserve">0.165</w:t>
                  </w:r>
                </w:p>
              </w:tc>
              <w:tc>
                <w:tcPr/>
                <w:p>
                  <w:pPr>
                    <w:pStyle w:val="Compact"/>
                    <w:jc w:val="right"/>
                    <w:jc w:val="center"/>
                  </w:pPr>
                  <w:r>
                    <w:t xml:space="preserve">0.240</w:t>
                  </w:r>
                </w:p>
              </w:tc>
              <w:tc>
                <w:tcPr/>
                <w:p>
                  <w:pPr>
                    <w:pStyle w:val="Compact"/>
                    <w:jc w:val="right"/>
                    <w:jc w:val="center"/>
                  </w:pPr>
                  <w:r>
                    <w:t xml:space="preserve">0.240</w:t>
                  </w:r>
                </w:p>
              </w:tc>
              <w:tc>
                <w:tcPr/>
                <w:p>
                  <w:pPr>
                    <w:pStyle w:val="Compact"/>
                    <w:jc w:val="right"/>
                    <w:jc w:val="center"/>
                  </w:pPr>
                  <w:r>
                    <w:t xml:space="preserve">0.268</w:t>
                  </w:r>
                </w:p>
              </w:tc>
              <w:tc>
                <w:tcPr/>
                <w:p>
                  <w:pPr>
                    <w:pStyle w:val="Compact"/>
                    <w:jc w:val="right"/>
                    <w:jc w:val="center"/>
                  </w:pPr>
                  <w:r>
                    <w:t xml:space="preserve">0.208</w:t>
                  </w:r>
                </w:p>
              </w:tc>
              <w:tc>
                <w:tcPr/>
                <w:p>
                  <w:pPr>
                    <w:pStyle w:val="Compact"/>
                    <w:jc w:val="right"/>
                    <w:jc w:val="center"/>
                  </w:pPr>
                  <w:r>
                    <w:t xml:space="preserve">0.160</w:t>
                  </w:r>
                </w:p>
              </w:tc>
              <w:tc>
                <w:tcPr/>
                <w:p>
                  <w:pPr>
                    <w:pStyle w:val="Compact"/>
                    <w:jc w:val="right"/>
                    <w:jc w:val="center"/>
                  </w:pPr>
                  <w:r>
                    <w:t xml:space="preserve">NA</w:t>
                  </w:r>
                </w:p>
              </w:tc>
            </w:tr>
            <w:tr>
              <w:tc>
                <w:tcPr/>
                <w:p>
                  <w:pPr>
                    <w:pStyle w:val="Compact"/>
                    <w:jc w:val="left"/>
                    <w:jc w:val="center"/>
                  </w:pPr>
                  <w:r>
                    <w:t xml:space="preserve">women_vitA</w:t>
                  </w:r>
                </w:p>
              </w:tc>
              <w:tc>
                <w:tcPr/>
                <w:p>
                  <w:pPr>
                    <w:pStyle w:val="Compact"/>
                    <w:jc w:val="left"/>
                    <w:jc w:val="center"/>
                  </w:pPr>
                  <w:r>
                    <w:t xml:space="preserve">SierraLeone</w:t>
                  </w:r>
                </w:p>
              </w:tc>
              <w:tc>
                <w:tcPr/>
                <w:p>
                  <w:pPr>
                    <w:pStyle w:val="Compact"/>
                    <w:jc w:val="right"/>
                    <w:jc w:val="center"/>
                  </w:pPr>
                  <w:r>
                    <w:t xml:space="preserve">NA</w:t>
                  </w:r>
                </w:p>
              </w:tc>
              <w:tc>
                <w:tcPr/>
                <w:p>
                  <w:pPr>
                    <w:pStyle w:val="Compact"/>
                    <w:jc w:val="right"/>
                    <w:jc w:val="center"/>
                  </w:pPr>
                  <w:r>
                    <w:t xml:space="preserve">-0.246</w:t>
                  </w:r>
                </w:p>
              </w:tc>
              <w:tc>
                <w:tcPr/>
                <w:p>
                  <w:pPr>
                    <w:pStyle w:val="Compact"/>
                    <w:jc w:val="right"/>
                    <w:jc w:val="center"/>
                  </w:pPr>
                  <w:r>
                    <w:t xml:space="preserve">-0.208</w:t>
                  </w:r>
                </w:p>
              </w:tc>
              <w:tc>
                <w:tcPr/>
                <w:p>
                  <w:pPr>
                    <w:pStyle w:val="Compact"/>
                    <w:jc w:val="right"/>
                    <w:jc w:val="center"/>
                  </w:pPr>
                  <w:r>
                    <w:t xml:space="preserve">-0.222</w:t>
                  </w:r>
                </w:p>
              </w:tc>
              <w:tc>
                <w:tcPr/>
                <w:p>
                  <w:pPr>
                    <w:pStyle w:val="Compact"/>
                    <w:jc w:val="right"/>
                    <w:jc w:val="center"/>
                  </w:pPr>
                  <w:r>
                    <w:t xml:space="preserve">-0.246</w:t>
                  </w:r>
                </w:p>
              </w:tc>
              <w:tc>
                <w:tcPr/>
                <w:p>
                  <w:pPr>
                    <w:pStyle w:val="Compact"/>
                    <w:jc w:val="right"/>
                    <w:jc w:val="center"/>
                  </w:pPr>
                  <w:r>
                    <w:t xml:space="preserve">-0.381</w:t>
                  </w:r>
                </w:p>
              </w:tc>
              <w:tc>
                <w:tcPr/>
                <w:p>
                  <w:pPr>
                    <w:pStyle w:val="Compact"/>
                    <w:jc w:val="right"/>
                    <w:jc w:val="center"/>
                  </w:pPr>
                  <w:r>
                    <w:t xml:space="preserve">0.073</w:t>
                  </w:r>
                </w:p>
              </w:tc>
              <w:tc>
                <w:tcPr/>
                <w:p>
                  <w:pPr>
                    <w:pStyle w:val="Compact"/>
                    <w:jc w:val="right"/>
                    <w:jc w:val="center"/>
                  </w:pPr>
                  <w:r>
                    <w:t xml:space="preserve">-0.372</w:t>
                  </w:r>
                </w:p>
              </w:tc>
              <w:tc>
                <w:tcPr/>
                <w:p>
                  <w:pPr>
                    <w:pStyle w:val="Compact"/>
                    <w:jc w:val="right"/>
                    <w:jc w:val="center"/>
                  </w:pPr>
                  <w:r>
                    <w:t xml:space="preserve">-0.372</w:t>
                  </w:r>
                </w:p>
              </w:tc>
              <w:tc>
                <w:tcPr/>
                <w:p>
                  <w:pPr>
                    <w:pStyle w:val="Compact"/>
                    <w:jc w:val="right"/>
                    <w:jc w:val="center"/>
                  </w:pPr>
                  <w:r>
                    <w:t xml:space="preserve">-0.401</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0.159</w:t>
                  </w:r>
                </w:p>
              </w:tc>
              <w:tc>
                <w:tcPr/>
                <w:p>
                  <w:pPr>
                    <w:pStyle w:val="Compact"/>
                    <w:jc w:val="right"/>
                    <w:jc w:val="center"/>
                  </w:pPr>
                  <w:r>
                    <w:t xml:space="preserve">-0.236</w:t>
                  </w:r>
                </w:p>
              </w:tc>
              <w:tc>
                <w:tcPr/>
                <w:p>
                  <w:pPr>
                    <w:pStyle w:val="Compact"/>
                    <w:jc w:val="right"/>
                    <w:jc w:val="center"/>
                  </w:pPr>
                  <w:r>
                    <w:t xml:space="preserve">-0.236</w:t>
                  </w:r>
                </w:p>
              </w:tc>
              <w:tc>
                <w:tcPr/>
                <w:p>
                  <w:pPr>
                    <w:pStyle w:val="Compact"/>
                    <w:jc w:val="right"/>
                    <w:jc w:val="center"/>
                  </w:pPr>
                  <w:r>
                    <w:t xml:space="preserve">-0.052</w:t>
                  </w:r>
                </w:p>
              </w:tc>
              <w:tc>
                <w:tcPr/>
                <w:p>
                  <w:pPr>
                    <w:pStyle w:val="Compact"/>
                    <w:jc w:val="right"/>
                    <w:jc w:val="center"/>
                  </w:pPr>
                  <w:r>
                    <w:t xml:space="preserve">-0.052</w:t>
                  </w:r>
                </w:p>
              </w:tc>
              <w:tc>
                <w:tcPr/>
                <w:p>
                  <w:pPr>
                    <w:pStyle w:val="Compact"/>
                    <w:jc w:val="right"/>
                    <w:jc w:val="center"/>
                  </w:pPr>
                  <w:r>
                    <w:t xml:space="preserve">0.220</w:t>
                  </w:r>
                </w:p>
              </w:tc>
              <w:tc>
                <w:tcPr/>
                <w:p>
                  <w:pPr>
                    <w:pStyle w:val="Compact"/>
                    <w:jc w:val="right"/>
                    <w:jc w:val="center"/>
                  </w:pPr>
                  <w:r>
                    <w:t xml:space="preserve">-0.150</w:t>
                  </w:r>
                </w:p>
              </w:tc>
              <w:tc>
                <w:tcPr/>
                <w:p>
                  <w:pPr>
                    <w:pStyle w:val="Compact"/>
                    <w:jc w:val="right"/>
                    <w:jc w:val="center"/>
                  </w:pPr>
                  <w:r>
                    <w:t xml:space="preserve">-0.155</w:t>
                  </w:r>
                </w:p>
              </w:tc>
              <w:tc>
                <w:tcPr/>
                <w:p>
                  <w:pPr>
                    <w:pStyle w:val="Compact"/>
                    <w:jc w:val="right"/>
                    <w:jc w:val="center"/>
                  </w:pPr>
                  <w:r>
                    <w:t xml:space="preserve">NA</w:t>
                  </w:r>
                </w:p>
              </w:tc>
            </w:tr>
            <w:tr>
              <w:tc>
                <w:tcPr/>
                <w:p>
                  <w:pPr>
                    <w:pStyle w:val="Compact"/>
                    <w:jc w:val="left"/>
                    <w:jc w:val="center"/>
                  </w:pPr>
                  <w:r>
                    <w:t xml:space="preserve">women_vitA</w:t>
                  </w:r>
                </w:p>
              </w:tc>
              <w:tc>
                <w:tcPr/>
                <w:p>
                  <w:pPr>
                    <w:pStyle w:val="Compact"/>
                    <w:jc w:val="left"/>
                    <w:jc w:val="center"/>
                  </w:pPr>
                  <w:r>
                    <w:t xml:space="preserve">Malawi</w:t>
                  </w:r>
                </w:p>
              </w:tc>
              <w:tc>
                <w:tcPr/>
                <w:p>
                  <w:pPr>
                    <w:pStyle w:val="Compact"/>
                    <w:jc w:val="right"/>
                    <w:jc w:val="center"/>
                  </w:pPr>
                  <w:r>
                    <w:t xml:space="preserve">NA</w:t>
                  </w:r>
                </w:p>
              </w:tc>
              <w:tc>
                <w:tcPr/>
                <w:p>
                  <w:pPr>
                    <w:pStyle w:val="Compact"/>
                    <w:jc w:val="right"/>
                    <w:jc w:val="center"/>
                  </w:pPr>
                  <w:r>
                    <w:t xml:space="preserve">-0.127</w:t>
                  </w:r>
                </w:p>
              </w:tc>
              <w:tc>
                <w:tcPr/>
                <w:p>
                  <w:pPr>
                    <w:pStyle w:val="Compact"/>
                    <w:jc w:val="right"/>
                    <w:jc w:val="center"/>
                  </w:pPr>
                  <w:r>
                    <w:t xml:space="preserve">0.070</w:t>
                  </w:r>
                </w:p>
              </w:tc>
              <w:tc>
                <w:tcPr/>
                <w:p>
                  <w:pPr>
                    <w:pStyle w:val="Compact"/>
                    <w:jc w:val="right"/>
                    <w:jc w:val="center"/>
                  </w:pPr>
                  <w:r>
                    <w:t xml:space="preserve">NA</w:t>
                  </w:r>
                </w:p>
              </w:tc>
              <w:tc>
                <w:tcPr/>
                <w:p>
                  <w:pPr>
                    <w:pStyle w:val="Compact"/>
                    <w:jc w:val="right"/>
                    <w:jc w:val="center"/>
                  </w:pPr>
                  <w:r>
                    <w:t xml:space="preserve">-0.127</w:t>
                  </w:r>
                </w:p>
              </w:tc>
              <w:tc>
                <w:tcPr/>
                <w:p>
                  <w:pPr>
                    <w:pStyle w:val="Compact"/>
                    <w:jc w:val="right"/>
                    <w:jc w:val="center"/>
                  </w:pPr>
                  <w:r>
                    <w:t xml:space="preserve">0.041</w:t>
                  </w:r>
                </w:p>
              </w:tc>
              <w:tc>
                <w:tcPr/>
                <w:p>
                  <w:pPr>
                    <w:pStyle w:val="Compact"/>
                    <w:jc w:val="right"/>
                    <w:jc w:val="center"/>
                  </w:pPr>
                  <w:r>
                    <w:t xml:space="preserve">0.022</w:t>
                  </w:r>
                </w:p>
              </w:tc>
              <w:tc>
                <w:tcPr/>
                <w:p>
                  <w:pPr>
                    <w:pStyle w:val="Compact"/>
                    <w:jc w:val="right"/>
                    <w:jc w:val="center"/>
                  </w:pPr>
                  <w:r>
                    <w:t xml:space="preserve">-0.146</w:t>
                  </w:r>
                </w:p>
              </w:tc>
              <w:tc>
                <w:tcPr/>
                <w:p>
                  <w:pPr>
                    <w:pStyle w:val="Compact"/>
                    <w:jc w:val="right"/>
                    <w:jc w:val="center"/>
                  </w:pPr>
                  <w:r>
                    <w:t xml:space="preserve">-0.102</w:t>
                  </w:r>
                </w:p>
              </w:tc>
              <w:tc>
                <w:tcPr/>
                <w:p>
                  <w:pPr>
                    <w:pStyle w:val="Compact"/>
                    <w:jc w:val="right"/>
                    <w:jc w:val="center"/>
                  </w:pPr>
                  <w:r>
                    <w:t xml:space="preserve">-0.101</w:t>
                  </w:r>
                </w:p>
              </w:tc>
              <w:tc>
                <w:tcPr/>
                <w:p>
                  <w:pPr>
                    <w:pStyle w:val="Compact"/>
                    <w:jc w:val="right"/>
                    <w:jc w:val="center"/>
                  </w:pPr>
                  <w:r>
                    <w:t xml:space="preserve">NA</w:t>
                  </w:r>
                </w:p>
              </w:tc>
              <w:tc>
                <w:tcPr/>
                <w:p>
                  <w:pPr>
                    <w:pStyle w:val="Compact"/>
                    <w:jc w:val="right"/>
                    <w:jc w:val="center"/>
                  </w:pPr>
                  <w:r>
                    <w:t xml:space="preserve">0.101</w:t>
                  </w:r>
                </w:p>
              </w:tc>
              <w:tc>
                <w:tcPr/>
                <w:p>
                  <w:pPr>
                    <w:pStyle w:val="Compact"/>
                    <w:jc w:val="right"/>
                    <w:jc w:val="center"/>
                  </w:pPr>
                  <w:r>
                    <w:t xml:space="preserve">0.159</w:t>
                  </w:r>
                </w:p>
              </w:tc>
              <w:tc>
                <w:tcPr/>
                <w:p>
                  <w:pPr>
                    <w:pStyle w:val="Compact"/>
                    <w:jc w:val="right"/>
                    <w:jc w:val="center"/>
                  </w:pPr>
                  <w:r>
                    <w:t xml:space="preserve">0.157</w:t>
                  </w:r>
                </w:p>
              </w:tc>
              <w:tc>
                <w:tcPr/>
                <w:p>
                  <w:pPr>
                    <w:pStyle w:val="Compact"/>
                    <w:jc w:val="right"/>
                    <w:jc w:val="center"/>
                  </w:pPr>
                  <w:r>
                    <w:t xml:space="preserve">0.166</w:t>
                  </w:r>
                </w:p>
              </w:tc>
              <w:tc>
                <w:tcPr/>
                <w:p>
                  <w:pPr>
                    <w:pStyle w:val="Compact"/>
                    <w:jc w:val="right"/>
                    <w:jc w:val="center"/>
                  </w:pPr>
                  <w:r>
                    <w:t xml:space="preserve">-0.232</w:t>
                  </w:r>
                </w:p>
              </w:tc>
              <w:tc>
                <w:tcPr/>
                <w:p>
                  <w:pPr>
                    <w:pStyle w:val="Compact"/>
                    <w:jc w:val="right"/>
                    <w:jc w:val="center"/>
                  </w:pPr>
                  <w:r>
                    <w:t xml:space="preserve">-0.232</w:t>
                  </w:r>
                </w:p>
              </w:tc>
              <w:tc>
                <w:tcPr/>
                <w:p>
                  <w:pPr>
                    <w:pStyle w:val="Compact"/>
                    <w:jc w:val="right"/>
                    <w:jc w:val="center"/>
                  </w:pPr>
                  <w:r>
                    <w:t xml:space="preserve">0.131</w:t>
                  </w:r>
                </w:p>
              </w:tc>
              <w:tc>
                <w:tcPr/>
                <w:p>
                  <w:pPr>
                    <w:pStyle w:val="Compact"/>
                    <w:jc w:val="right"/>
                    <w:jc w:val="center"/>
                  </w:pPr>
                  <w:r>
                    <w:t xml:space="preserve">0.010</w:t>
                  </w:r>
                </w:p>
              </w:tc>
              <w:tc>
                <w:tcPr/>
                <w:p>
                  <w:pPr>
                    <w:pStyle w:val="Compact"/>
                    <w:jc w:val="right"/>
                    <w:jc w:val="center"/>
                  </w:pPr>
                  <w:r>
                    <w:t xml:space="preserve">0.090</w:t>
                  </w:r>
                </w:p>
              </w:tc>
              <w:tc>
                <w:tcPr/>
                <w:p>
                  <w:pPr>
                    <w:pStyle w:val="Compact"/>
                    <w:jc w:val="right"/>
                    <w:jc w:val="center"/>
                  </w:pPr>
                  <w:r>
                    <w:t xml:space="preserve">NA</w:t>
                  </w:r>
                </w:p>
              </w:tc>
            </w:tr>
            <w:tr>
              <w:tc>
                <w:tcPr/>
                <w:p>
                  <w:pPr>
                    <w:pStyle w:val="Compact"/>
                    <w:jc w:val="left"/>
                    <w:jc w:val="center"/>
                  </w:pPr>
                  <w:r>
                    <w:t xml:space="preserve">child_iron</w:t>
                  </w:r>
                </w:p>
              </w:tc>
              <w:tc>
                <w:tcPr/>
                <w:p>
                  <w:pPr>
                    <w:pStyle w:val="Compact"/>
                    <w:jc w:val="left"/>
                    <w:jc w:val="center"/>
                  </w:pPr>
                  <w:r>
                    <w:t xml:space="preserve">Gambia</w:t>
                  </w:r>
                </w:p>
              </w:tc>
              <w:tc>
                <w:tcPr/>
                <w:p>
                  <w:pPr>
                    <w:pStyle w:val="Compact"/>
                    <w:jc w:val="right"/>
                    <w:jc w:val="center"/>
                  </w:pPr>
                  <w:r>
                    <w:t xml:space="preserve">NA</w:t>
                  </w:r>
                </w:p>
              </w:tc>
              <w:tc>
                <w:tcPr/>
                <w:p>
                  <w:pPr>
                    <w:pStyle w:val="Compact"/>
                    <w:jc w:val="right"/>
                    <w:jc w:val="center"/>
                  </w:pPr>
                  <w:r>
                    <w:t xml:space="preserve">0.566</w:t>
                  </w:r>
                </w:p>
              </w:tc>
              <w:tc>
                <w:tcPr/>
                <w:p>
                  <w:pPr>
                    <w:pStyle w:val="Compact"/>
                    <w:jc w:val="right"/>
                    <w:jc w:val="center"/>
                  </w:pPr>
                  <w:r>
                    <w:t xml:space="preserve">0.540</w:t>
                  </w:r>
                </w:p>
              </w:tc>
              <w:tc>
                <w:tcPr/>
                <w:p>
                  <w:pPr>
                    <w:pStyle w:val="Compact"/>
                    <w:jc w:val="right"/>
                    <w:jc w:val="center"/>
                  </w:pPr>
                  <w:r>
                    <w:t xml:space="preserve">0.562</w:t>
                  </w:r>
                </w:p>
              </w:tc>
              <w:tc>
                <w:tcPr/>
                <w:p>
                  <w:pPr>
                    <w:pStyle w:val="Compact"/>
                    <w:jc w:val="right"/>
                    <w:jc w:val="center"/>
                  </w:pPr>
                  <w:r>
                    <w:t xml:space="preserve">0.566</w:t>
                  </w:r>
                </w:p>
              </w:tc>
              <w:tc>
                <w:tcPr/>
                <w:p>
                  <w:pPr>
                    <w:pStyle w:val="Compact"/>
                    <w:jc w:val="right"/>
                    <w:jc w:val="center"/>
                  </w:pPr>
                  <w:r>
                    <w:t xml:space="preserve">0.537</w:t>
                  </w:r>
                </w:p>
              </w:tc>
              <w:tc>
                <w:tcPr/>
                <w:p>
                  <w:pPr>
                    <w:pStyle w:val="Compact"/>
                    <w:jc w:val="right"/>
                    <w:jc w:val="center"/>
                  </w:pPr>
                  <w:r>
                    <w:t xml:space="preserve">0.439</w:t>
                  </w:r>
                </w:p>
              </w:tc>
              <w:tc>
                <w:tcPr/>
                <w:p>
                  <w:pPr>
                    <w:pStyle w:val="Compact"/>
                    <w:jc w:val="right"/>
                    <w:jc w:val="center"/>
                  </w:pPr>
                  <w:r>
                    <w:t xml:space="preserve">0.518</w:t>
                  </w:r>
                </w:p>
              </w:tc>
              <w:tc>
                <w:tcPr/>
                <w:p>
                  <w:pPr>
                    <w:pStyle w:val="Compact"/>
                    <w:jc w:val="right"/>
                    <w:jc w:val="center"/>
                  </w:pPr>
                  <w:r>
                    <w:t xml:space="preserve">0.540</w:t>
                  </w:r>
                </w:p>
              </w:tc>
              <w:tc>
                <w:tcPr/>
                <w:p>
                  <w:pPr>
                    <w:pStyle w:val="Compact"/>
                    <w:jc w:val="right"/>
                    <w:jc w:val="center"/>
                  </w:pPr>
                  <w:r>
                    <w:t xml:space="preserve">0.531</w:t>
                  </w:r>
                </w:p>
              </w:tc>
              <w:tc>
                <w:tcPr/>
                <w:p>
                  <w:pPr>
                    <w:pStyle w:val="Compact"/>
                    <w:jc w:val="right"/>
                    <w:jc w:val="center"/>
                  </w:pPr>
                  <w:r>
                    <w:t xml:space="preserve">0.565</w:t>
                  </w:r>
                </w:p>
              </w:tc>
              <w:tc>
                <w:tcPr/>
                <w:p>
                  <w:pPr>
                    <w:pStyle w:val="Compact"/>
                    <w:jc w:val="right"/>
                    <w:jc w:val="center"/>
                  </w:pPr>
                  <w:r>
                    <w:t xml:space="preserve">0.565</w:t>
                  </w:r>
                </w:p>
              </w:tc>
              <w:tc>
                <w:tcPr/>
                <w:p>
                  <w:pPr>
                    <w:pStyle w:val="Compact"/>
                    <w:jc w:val="right"/>
                    <w:jc w:val="center"/>
                  </w:pPr>
                  <w:r>
                    <w:t xml:space="preserve">0.576</w:t>
                  </w:r>
                </w:p>
              </w:tc>
              <w:tc>
                <w:tcPr/>
                <w:p>
                  <w:pPr>
                    <w:pStyle w:val="Compact"/>
                    <w:jc w:val="right"/>
                    <w:jc w:val="center"/>
                  </w:pPr>
                  <w:r>
                    <w:t xml:space="preserve">0.567</w:t>
                  </w:r>
                </w:p>
              </w:tc>
              <w:tc>
                <w:tcPr/>
                <w:p>
                  <w:pPr>
                    <w:pStyle w:val="Compact"/>
                    <w:jc w:val="right"/>
                    <w:jc w:val="center"/>
                  </w:pPr>
                  <w:r>
                    <w:t xml:space="preserve">0.473</w:t>
                  </w:r>
                </w:p>
              </w:tc>
              <w:tc>
                <w:tcPr/>
                <w:p>
                  <w:pPr>
                    <w:pStyle w:val="Compact"/>
                    <w:jc w:val="right"/>
                    <w:jc w:val="center"/>
                  </w:pPr>
                  <w:r>
                    <w:t xml:space="preserve">0.573</w:t>
                  </w:r>
                </w:p>
              </w:tc>
              <w:tc>
                <w:tcPr/>
                <w:p>
                  <w:pPr>
                    <w:pStyle w:val="Compact"/>
                    <w:jc w:val="right"/>
                    <w:jc w:val="center"/>
                  </w:pPr>
                  <w:r>
                    <w:t xml:space="preserve">0.493</w:t>
                  </w:r>
                </w:p>
              </w:tc>
              <w:tc>
                <w:tcPr/>
                <w:p>
                  <w:pPr>
                    <w:pStyle w:val="Compact"/>
                    <w:jc w:val="right"/>
                    <w:jc w:val="center"/>
                  </w:pPr>
                  <w:r>
                    <w:t xml:space="preserve">0.534</w:t>
                  </w:r>
                </w:p>
              </w:tc>
              <w:tc>
                <w:tcPr/>
                <w:p>
                  <w:pPr>
                    <w:pStyle w:val="Compact"/>
                    <w:jc w:val="right"/>
                    <w:jc w:val="center"/>
                  </w:pPr>
                  <w:r>
                    <w:t xml:space="preserve">0.541</w:t>
                  </w:r>
                </w:p>
              </w:tc>
              <w:tc>
                <w:tcPr/>
                <w:p>
                  <w:pPr>
                    <w:pStyle w:val="Compact"/>
                    <w:jc w:val="right"/>
                    <w:jc w:val="center"/>
                  </w:pPr>
                  <w:r>
                    <w:t xml:space="preserve">0.559</w:t>
                  </w:r>
                </w:p>
              </w:tc>
              <w:tc>
                <w:tcPr/>
                <w:p>
                  <w:pPr>
                    <w:pStyle w:val="Compact"/>
                    <w:jc w:val="right"/>
                    <w:jc w:val="center"/>
                  </w:pPr>
                  <w:r>
                    <w:t xml:space="preserve">0.577</w:t>
                  </w:r>
                </w:p>
              </w:tc>
            </w:tr>
            <w:tr>
              <w:tc>
                <w:tcPr/>
                <w:p>
                  <w:pPr>
                    <w:pStyle w:val="Compact"/>
                    <w:jc w:val="left"/>
                    <w:jc w:val="center"/>
                  </w:pPr>
                  <w:r>
                    <w:t xml:space="preserve">child_iron</w:t>
                  </w:r>
                </w:p>
              </w:tc>
              <w:tc>
                <w:tcPr/>
                <w:p>
                  <w:pPr>
                    <w:pStyle w:val="Compact"/>
                    <w:jc w:val="left"/>
                    <w:jc w:val="center"/>
                  </w:pPr>
                  <w:r>
                    <w:t xml:space="preserve">Ghana</w:t>
                  </w:r>
                </w:p>
              </w:tc>
              <w:tc>
                <w:tcPr/>
                <w:p>
                  <w:pPr>
                    <w:pStyle w:val="Compact"/>
                    <w:jc w:val="right"/>
                    <w:jc w:val="center"/>
                  </w:pPr>
                  <w:r>
                    <w:t xml:space="preserve">NA</w:t>
                  </w:r>
                </w:p>
              </w:tc>
              <w:tc>
                <w:tcPr/>
                <w:p>
                  <w:pPr>
                    <w:pStyle w:val="Compact"/>
                    <w:jc w:val="right"/>
                    <w:jc w:val="center"/>
                  </w:pPr>
                  <w:r>
                    <w:t xml:space="preserve">0.536</w:t>
                  </w:r>
                </w:p>
              </w:tc>
              <w:tc>
                <w:tcPr/>
                <w:p>
                  <w:pPr>
                    <w:pStyle w:val="Compact"/>
                    <w:jc w:val="right"/>
                    <w:jc w:val="center"/>
                  </w:pPr>
                  <w:r>
                    <w:t xml:space="preserve">0.524</w:t>
                  </w:r>
                </w:p>
              </w:tc>
              <w:tc>
                <w:tcPr/>
                <w:p>
                  <w:pPr>
                    <w:pStyle w:val="Compact"/>
                    <w:jc w:val="right"/>
                    <w:jc w:val="center"/>
                  </w:pPr>
                  <w:r>
                    <w:t xml:space="preserve">0.544</w:t>
                  </w:r>
                </w:p>
              </w:tc>
              <w:tc>
                <w:tcPr/>
                <w:p>
                  <w:pPr>
                    <w:pStyle w:val="Compact"/>
                    <w:jc w:val="right"/>
                    <w:jc w:val="center"/>
                  </w:pPr>
                  <w:r>
                    <w:t xml:space="preserve">0.467</w:t>
                  </w:r>
                </w:p>
              </w:tc>
              <w:tc>
                <w:tcPr/>
                <w:p>
                  <w:pPr>
                    <w:pStyle w:val="Compact"/>
                    <w:jc w:val="right"/>
                    <w:jc w:val="center"/>
                  </w:pPr>
                  <w:r>
                    <w:t xml:space="preserve">0.054</w:t>
                  </w:r>
                </w:p>
              </w:tc>
              <w:tc>
                <w:tcPr/>
                <w:p>
                  <w:pPr>
                    <w:pStyle w:val="Compact"/>
                    <w:jc w:val="right"/>
                    <w:jc w:val="center"/>
                  </w:pPr>
                  <w:r>
                    <w:t xml:space="preserve">-0.212</w:t>
                  </w:r>
                </w:p>
              </w:tc>
              <w:tc>
                <w:tcPr/>
                <w:p>
                  <w:pPr>
                    <w:pStyle w:val="Compact"/>
                    <w:jc w:val="right"/>
                    <w:jc w:val="center"/>
                  </w:pPr>
                  <w:r>
                    <w:t xml:space="preserve">0.280</w:t>
                  </w:r>
                </w:p>
              </w:tc>
              <w:tc>
                <w:tcPr/>
                <w:p>
                  <w:pPr>
                    <w:pStyle w:val="Compact"/>
                    <w:jc w:val="right"/>
                    <w:jc w:val="center"/>
                  </w:pPr>
                  <w:r>
                    <w:t xml:space="preserve">0.524</w:t>
                  </w:r>
                </w:p>
              </w:tc>
              <w:tc>
                <w:tcPr/>
                <w:p>
                  <w:pPr>
                    <w:pStyle w:val="Compact"/>
                    <w:jc w:val="right"/>
                    <w:jc w:val="center"/>
                  </w:pPr>
                  <w:r>
                    <w:t xml:space="preserve">0.474</w:t>
                  </w:r>
                </w:p>
              </w:tc>
              <w:tc>
                <w:tcPr/>
                <w:p>
                  <w:pPr>
                    <w:pStyle w:val="Compact"/>
                    <w:jc w:val="right"/>
                    <w:jc w:val="center"/>
                  </w:pPr>
                  <w:r>
                    <w:t xml:space="preserve">0.425</w:t>
                  </w:r>
                </w:p>
              </w:tc>
              <w:tc>
                <w:tcPr/>
                <w:p>
                  <w:pPr>
                    <w:pStyle w:val="Compact"/>
                    <w:jc w:val="right"/>
                    <w:jc w:val="center"/>
                  </w:pPr>
                  <w:r>
                    <w:t xml:space="preserve">0.158</w:t>
                  </w:r>
                </w:p>
              </w:tc>
              <w:tc>
                <w:tcPr/>
                <w:p>
                  <w:pPr>
                    <w:pStyle w:val="Compact"/>
                    <w:jc w:val="right"/>
                    <w:jc w:val="center"/>
                  </w:pPr>
                  <w:r>
                    <w:t xml:space="preserve">0.248</w:t>
                  </w:r>
                </w:p>
              </w:tc>
              <w:tc>
                <w:tcPr/>
                <w:p>
                  <w:pPr>
                    <w:pStyle w:val="Compact"/>
                    <w:jc w:val="right"/>
                    <w:jc w:val="center"/>
                  </w:pPr>
                  <w:r>
                    <w:t xml:space="preserve">0.587</w:t>
                  </w:r>
                </w:p>
              </w:tc>
              <w:tc>
                <w:tcPr/>
                <w:p>
                  <w:pPr>
                    <w:pStyle w:val="Compact"/>
                    <w:jc w:val="right"/>
                    <w:jc w:val="center"/>
                  </w:pPr>
                  <w:r>
                    <w:t xml:space="preserve">0.622</w:t>
                  </w:r>
                </w:p>
              </w:tc>
              <w:tc>
                <w:tcPr/>
                <w:p>
                  <w:pPr>
                    <w:pStyle w:val="Compact"/>
                    <w:jc w:val="right"/>
                    <w:jc w:val="center"/>
                  </w:pPr>
                  <w:r>
                    <w:t xml:space="preserve">0.600</w:t>
                  </w:r>
                </w:p>
              </w:tc>
              <w:tc>
                <w:tcPr/>
                <w:p>
                  <w:pPr>
                    <w:pStyle w:val="Compact"/>
                    <w:jc w:val="right"/>
                    <w:jc w:val="center"/>
                  </w:pPr>
                  <w:r>
                    <w:t xml:space="preserve">0.600</w:t>
                  </w:r>
                </w:p>
              </w:tc>
              <w:tc>
                <w:tcPr/>
                <w:p>
                  <w:pPr>
                    <w:pStyle w:val="Compact"/>
                    <w:jc w:val="right"/>
                    <w:jc w:val="center"/>
                  </w:pPr>
                  <w:r>
                    <w:t xml:space="preserve">0.577</w:t>
                  </w:r>
                </w:p>
              </w:tc>
              <w:tc>
                <w:tcPr/>
                <w:p>
                  <w:pPr>
                    <w:pStyle w:val="Compact"/>
                    <w:jc w:val="right"/>
                    <w:jc w:val="center"/>
                  </w:pPr>
                  <w:r>
                    <w:t xml:space="preserve">0.593</w:t>
                  </w:r>
                </w:p>
              </w:tc>
              <w:tc>
                <w:tcPr/>
                <w:p>
                  <w:pPr>
                    <w:pStyle w:val="Compact"/>
                    <w:jc w:val="right"/>
                    <w:jc w:val="center"/>
                  </w:pPr>
                  <w:r>
                    <w:t xml:space="preserve">0.421</w:t>
                  </w:r>
                </w:p>
              </w:tc>
              <w:tc>
                <w:tcPr/>
                <w:p>
                  <w:pPr>
                    <w:pStyle w:val="Compact"/>
                    <w:jc w:val="right"/>
                    <w:jc w:val="center"/>
                  </w:pPr>
                  <w:r>
                    <w:t xml:space="preserve">0.556</w:t>
                  </w:r>
                </w:p>
              </w:tc>
            </w:tr>
            <w:tr>
              <w:tc>
                <w:tcPr/>
                <w:p>
                  <w:pPr>
                    <w:pStyle w:val="Compact"/>
                    <w:jc w:val="left"/>
                    <w:jc w:val="center"/>
                  </w:pPr>
                  <w:r>
                    <w:t xml:space="preserve">child_iron</w:t>
                  </w:r>
                </w:p>
              </w:tc>
              <w:tc>
                <w:tcPr/>
                <w:p>
                  <w:pPr>
                    <w:pStyle w:val="Compact"/>
                    <w:jc w:val="left"/>
                    <w:jc w:val="center"/>
                  </w:pPr>
                  <w:r>
                    <w:t xml:space="preserve">SierraLeone</w:t>
                  </w:r>
                </w:p>
              </w:tc>
              <w:tc>
                <w:tcPr/>
                <w:p>
                  <w:pPr>
                    <w:pStyle w:val="Compact"/>
                    <w:jc w:val="right"/>
                    <w:jc w:val="center"/>
                  </w:pPr>
                  <w:r>
                    <w:t xml:space="preserve">NA</w:t>
                  </w:r>
                </w:p>
              </w:tc>
              <w:tc>
                <w:tcPr/>
                <w:p>
                  <w:pPr>
                    <w:pStyle w:val="Compact"/>
                    <w:jc w:val="right"/>
                    <w:jc w:val="center"/>
                  </w:pPr>
                  <w:r>
                    <w:t xml:space="preserve">-0.340</w:t>
                  </w:r>
                </w:p>
              </w:tc>
              <w:tc>
                <w:tcPr/>
                <w:p>
                  <w:pPr>
                    <w:pStyle w:val="Compact"/>
                    <w:jc w:val="right"/>
                    <w:jc w:val="center"/>
                  </w:pPr>
                  <w:r>
                    <w:t xml:space="preserve">-0.075</w:t>
                  </w:r>
                </w:p>
              </w:tc>
              <w:tc>
                <w:tcPr/>
                <w:p>
                  <w:pPr>
                    <w:pStyle w:val="Compact"/>
                    <w:jc w:val="right"/>
                    <w:jc w:val="center"/>
                  </w:pPr>
                  <w:r>
                    <w:t xml:space="preserve">-0.341</w:t>
                  </w:r>
                </w:p>
              </w:tc>
              <w:tc>
                <w:tcPr/>
                <w:p>
                  <w:pPr>
                    <w:pStyle w:val="Compact"/>
                    <w:jc w:val="right"/>
                    <w:jc w:val="center"/>
                  </w:pPr>
                  <w:r>
                    <w:t xml:space="preserve">-0.450</w:t>
                  </w:r>
                </w:p>
              </w:tc>
              <w:tc>
                <w:tcPr/>
                <w:p>
                  <w:pPr>
                    <w:pStyle w:val="Compact"/>
                    <w:jc w:val="right"/>
                    <w:jc w:val="center"/>
                  </w:pPr>
                  <w:r>
                    <w:t xml:space="preserve">NA</w:t>
                  </w:r>
                </w:p>
              </w:tc>
              <w:tc>
                <w:tcPr/>
                <w:p>
                  <w:pPr>
                    <w:pStyle w:val="Compact"/>
                    <w:jc w:val="right"/>
                    <w:jc w:val="center"/>
                  </w:pPr>
                  <w:r>
                    <w:t xml:space="preserve">0.428</w:t>
                  </w:r>
                </w:p>
              </w:tc>
              <w:tc>
                <w:tcPr/>
                <w:p>
                  <w:pPr>
                    <w:pStyle w:val="Compact"/>
                    <w:jc w:val="right"/>
                    <w:jc w:val="center"/>
                  </w:pPr>
                  <w:r>
                    <w:t xml:space="preserve">-0.365</w:t>
                  </w:r>
                </w:p>
              </w:tc>
              <w:tc>
                <w:tcPr/>
                <w:p>
                  <w:pPr>
                    <w:pStyle w:val="Compact"/>
                    <w:jc w:val="right"/>
                    <w:jc w:val="center"/>
                  </w:pPr>
                  <w:r>
                    <w:t xml:space="preserve">-0.125</w:t>
                  </w:r>
                </w:p>
              </w:tc>
              <w:tc>
                <w:tcPr/>
                <w:p>
                  <w:pPr>
                    <w:pStyle w:val="Compact"/>
                    <w:jc w:val="right"/>
                    <w:jc w:val="center"/>
                  </w:pPr>
                  <w:r>
                    <w:t xml:space="preserve">-0.287</w:t>
                  </w:r>
                </w:p>
              </w:tc>
              <w:tc>
                <w:tcPr/>
                <w:p>
                  <w:pPr>
                    <w:pStyle w:val="Compact"/>
                    <w:jc w:val="right"/>
                    <w:jc w:val="center"/>
                  </w:pPr>
                  <w:r>
                    <w:t xml:space="preserve">-0.269</w:t>
                  </w:r>
                </w:p>
              </w:tc>
              <w:tc>
                <w:tcPr/>
                <w:p>
                  <w:pPr>
                    <w:pStyle w:val="Compact"/>
                    <w:jc w:val="right"/>
                    <w:jc w:val="center"/>
                  </w:pPr>
                  <w:r>
                    <w:t xml:space="preserve">0.069</w:t>
                  </w:r>
                </w:p>
              </w:tc>
              <w:tc>
                <w:tcPr/>
                <w:p>
                  <w:pPr>
                    <w:pStyle w:val="Compact"/>
                    <w:jc w:val="right"/>
                    <w:jc w:val="center"/>
                  </w:pPr>
                  <w:r>
                    <w:t xml:space="preserve">0.007</w:t>
                  </w:r>
                </w:p>
              </w:tc>
              <w:tc>
                <w:tcPr/>
                <w:p>
                  <w:pPr>
                    <w:pStyle w:val="Compact"/>
                    <w:jc w:val="right"/>
                    <w:jc w:val="center"/>
                  </w:pPr>
                  <w:r>
                    <w:t xml:space="preserve">0.301</w:t>
                  </w:r>
                </w:p>
              </w:tc>
              <w:tc>
                <w:tcPr/>
                <w:p>
                  <w:pPr>
                    <w:pStyle w:val="Compact"/>
                    <w:jc w:val="right"/>
                    <w:jc w:val="center"/>
                  </w:pPr>
                  <w:r>
                    <w:t xml:space="preserve">0.448</w:t>
                  </w:r>
                </w:p>
              </w:tc>
              <w:tc>
                <w:tcPr/>
                <w:p>
                  <w:pPr>
                    <w:pStyle w:val="Compact"/>
                    <w:jc w:val="right"/>
                    <w:jc w:val="center"/>
                  </w:pPr>
                  <w:r>
                    <w:t xml:space="preserve">0.299</w:t>
                  </w:r>
                </w:p>
              </w:tc>
              <w:tc>
                <w:tcPr/>
                <w:p>
                  <w:pPr>
                    <w:pStyle w:val="Compact"/>
                    <w:jc w:val="right"/>
                    <w:jc w:val="center"/>
                  </w:pPr>
                  <w:r>
                    <w:t xml:space="preserve">0.252</w:t>
                  </w:r>
                </w:p>
              </w:tc>
              <w:tc>
                <w:tcPr/>
                <w:p>
                  <w:pPr>
                    <w:pStyle w:val="Compact"/>
                    <w:jc w:val="right"/>
                    <w:jc w:val="center"/>
                  </w:pPr>
                  <w:r>
                    <w:t xml:space="preserve">0.313</w:t>
                  </w:r>
                </w:p>
              </w:tc>
              <w:tc>
                <w:tcPr/>
                <w:p>
                  <w:pPr>
                    <w:pStyle w:val="Compact"/>
                    <w:jc w:val="right"/>
                    <w:jc w:val="center"/>
                  </w:pPr>
                  <w:r>
                    <w:t xml:space="preserve">-0.182</w:t>
                  </w:r>
                </w:p>
              </w:tc>
              <w:tc>
                <w:tcPr/>
                <w:p>
                  <w:pPr>
                    <w:pStyle w:val="Compact"/>
                    <w:jc w:val="right"/>
                    <w:jc w:val="center"/>
                  </w:pPr>
                  <w:r>
                    <w:t xml:space="preserve">-0.019</w:t>
                  </w:r>
                </w:p>
              </w:tc>
              <w:tc>
                <w:tcPr/>
                <w:p>
                  <w:pPr>
                    <w:pStyle w:val="Compact"/>
                    <w:jc w:val="right"/>
                    <w:jc w:val="center"/>
                  </w:pPr>
                  <w:r>
                    <w:t xml:space="preserve">-0.257</w:t>
                  </w:r>
                </w:p>
              </w:tc>
            </w:tr>
            <w:tr>
              <w:tc>
                <w:tcPr/>
                <w:p>
                  <w:pPr>
                    <w:pStyle w:val="Compact"/>
                    <w:jc w:val="left"/>
                    <w:jc w:val="center"/>
                  </w:pPr>
                  <w:r>
                    <w:t xml:space="preserve">child_iron</w:t>
                  </w:r>
                </w:p>
              </w:tc>
              <w:tc>
                <w:tcPr/>
                <w:p>
                  <w:pPr>
                    <w:pStyle w:val="Compact"/>
                    <w:jc w:val="left"/>
                    <w:jc w:val="center"/>
                  </w:pPr>
                  <w:r>
                    <w:t xml:space="preserve">Malawi</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0.227</w:t>
                  </w:r>
                </w:p>
              </w:tc>
              <w:tc>
                <w:tcPr/>
                <w:p>
                  <w:pPr>
                    <w:pStyle w:val="Compact"/>
                    <w:jc w:val="right"/>
                    <w:jc w:val="center"/>
                  </w:pPr>
                  <w:r>
                    <w:t xml:space="preserve">NA</w:t>
                  </w:r>
                </w:p>
              </w:tc>
              <w:tc>
                <w:tcPr/>
                <w:p>
                  <w:pPr>
                    <w:pStyle w:val="Compact"/>
                    <w:jc w:val="right"/>
                    <w:jc w:val="center"/>
                  </w:pPr>
                  <w:r>
                    <w:t xml:space="preserve">0.323</w:t>
                  </w:r>
                </w:p>
              </w:tc>
              <w:tc>
                <w:tcPr/>
                <w:p>
                  <w:pPr>
                    <w:pStyle w:val="Compact"/>
                    <w:jc w:val="right"/>
                    <w:jc w:val="center"/>
                  </w:pPr>
                  <w:r>
                    <w:t xml:space="preserve">NA</w:t>
                  </w:r>
                </w:p>
              </w:tc>
              <w:tc>
                <w:tcPr/>
                <w:p>
                  <w:pPr>
                    <w:pStyle w:val="Compact"/>
                    <w:jc w:val="right"/>
                    <w:jc w:val="center"/>
                  </w:pPr>
                  <w:r>
                    <w:t xml:space="preserve">-0.122</w:t>
                  </w:r>
                </w:p>
              </w:tc>
              <w:tc>
                <w:tcPr/>
                <w:p>
                  <w:pPr>
                    <w:pStyle w:val="Compact"/>
                    <w:jc w:val="right"/>
                    <w:jc w:val="center"/>
                  </w:pPr>
                  <w:r>
                    <w:t xml:space="preserve">0.154</w:t>
                  </w:r>
                </w:p>
              </w:tc>
              <w:tc>
                <w:tcPr/>
                <w:p>
                  <w:pPr>
                    <w:pStyle w:val="Compact"/>
                    <w:jc w:val="right"/>
                    <w:jc w:val="center"/>
                  </w:pPr>
                  <w:r>
                    <w:t xml:space="preserve">0.286</w:t>
                  </w:r>
                </w:p>
              </w:tc>
              <w:tc>
                <w:tcPr/>
                <w:p>
                  <w:pPr>
                    <w:pStyle w:val="Compact"/>
                    <w:jc w:val="right"/>
                    <w:jc w:val="center"/>
                  </w:pPr>
                  <w:r>
                    <w:t xml:space="preserve">0.231</w:t>
                  </w:r>
                </w:p>
              </w:tc>
              <w:tc>
                <w:tcPr/>
                <w:p>
                  <w:pPr>
                    <w:pStyle w:val="Compact"/>
                    <w:jc w:val="right"/>
                    <w:jc w:val="center"/>
                  </w:pPr>
                  <w:r>
                    <w:t xml:space="preserve">0.337</w:t>
                  </w:r>
                </w:p>
              </w:tc>
              <w:tc>
                <w:tcPr/>
                <w:p>
                  <w:pPr>
                    <w:pStyle w:val="Compact"/>
                    <w:jc w:val="right"/>
                    <w:jc w:val="center"/>
                  </w:pPr>
                  <w:r>
                    <w:t xml:space="preserve">0.189</w:t>
                  </w:r>
                </w:p>
              </w:tc>
              <w:tc>
                <w:tcPr/>
                <w:p>
                  <w:pPr>
                    <w:pStyle w:val="Compact"/>
                    <w:jc w:val="right"/>
                    <w:jc w:val="center"/>
                  </w:pPr>
                  <w:r>
                    <w:t xml:space="preserve">0.021</w:t>
                  </w:r>
                </w:p>
              </w:tc>
              <w:tc>
                <w:tcPr/>
                <w:p>
                  <w:pPr>
                    <w:pStyle w:val="Compact"/>
                    <w:jc w:val="right"/>
                    <w:jc w:val="center"/>
                  </w:pPr>
                  <w:r>
                    <w:t xml:space="preserve">0.198</w:t>
                  </w:r>
                </w:p>
              </w:tc>
              <w:tc>
                <w:tcPr/>
                <w:p>
                  <w:pPr>
                    <w:pStyle w:val="Compact"/>
                    <w:jc w:val="right"/>
                    <w:jc w:val="center"/>
                  </w:pPr>
                  <w:r>
                    <w:t xml:space="preserve">0.148</w:t>
                  </w:r>
                </w:p>
              </w:tc>
              <w:tc>
                <w:tcPr/>
                <w:p>
                  <w:pPr>
                    <w:pStyle w:val="Compact"/>
                    <w:jc w:val="right"/>
                    <w:jc w:val="center"/>
                  </w:pPr>
                  <w:r>
                    <w:t xml:space="preserve">NA</w:t>
                  </w:r>
                </w:p>
              </w:tc>
              <w:tc>
                <w:tcPr/>
                <w:p>
                  <w:pPr>
                    <w:pStyle w:val="Compact"/>
                    <w:jc w:val="right"/>
                    <w:jc w:val="center"/>
                  </w:pPr>
                  <w:r>
                    <w:t xml:space="preserve">-0.104</w:t>
                  </w:r>
                </w:p>
              </w:tc>
              <w:tc>
                <w:tcPr/>
                <w:p>
                  <w:pPr>
                    <w:pStyle w:val="Compact"/>
                    <w:jc w:val="right"/>
                    <w:jc w:val="center"/>
                  </w:pPr>
                  <w:r>
                    <w:t xml:space="preserve">NA</w:t>
                  </w:r>
                </w:p>
              </w:tc>
              <w:tc>
                <w:tcPr/>
                <w:p>
                  <w:pPr>
                    <w:pStyle w:val="Compact"/>
                    <w:jc w:val="right"/>
                    <w:jc w:val="center"/>
                  </w:pPr>
                  <w:r>
                    <w:t xml:space="preserve">0.070</w:t>
                  </w:r>
                </w:p>
              </w:tc>
              <w:tc>
                <w:tcPr/>
                <w:p>
                  <w:pPr>
                    <w:pStyle w:val="Compact"/>
                    <w:jc w:val="right"/>
                    <w:jc w:val="center"/>
                  </w:pPr>
                  <w:r>
                    <w:t xml:space="preserve">-0.041</w:t>
                  </w:r>
                </w:p>
              </w:tc>
              <w:tc>
                <w:tcPr/>
                <w:p>
                  <w:pPr>
                    <w:pStyle w:val="Compact"/>
                    <w:jc w:val="right"/>
                    <w:jc w:val="center"/>
                  </w:pPr>
                  <w:r>
                    <w:t xml:space="preserve">0.167</w:t>
                  </w:r>
                </w:p>
              </w:tc>
            </w:tr>
            <w:tr>
              <w:tc>
                <w:tcPr/>
                <w:p>
                  <w:pPr>
                    <w:pStyle w:val="Compact"/>
                    <w:jc w:val="left"/>
                    <w:jc w:val="center"/>
                  </w:pPr>
                  <w:r>
                    <w:t xml:space="preserve">women_iron</w:t>
                  </w:r>
                </w:p>
              </w:tc>
              <w:tc>
                <w:tcPr/>
                <w:p>
                  <w:pPr>
                    <w:pStyle w:val="Compact"/>
                    <w:jc w:val="left"/>
                    <w:jc w:val="center"/>
                  </w:pPr>
                  <w:r>
                    <w:t xml:space="preserve">Gambia</w:t>
                  </w:r>
                </w:p>
              </w:tc>
              <w:tc>
                <w:tcPr/>
                <w:p>
                  <w:pPr>
                    <w:pStyle w:val="Compact"/>
                    <w:jc w:val="right"/>
                    <w:jc w:val="center"/>
                  </w:pPr>
                  <w:r>
                    <w:t xml:space="preserve">NA</w:t>
                  </w:r>
                </w:p>
              </w:tc>
              <w:tc>
                <w:tcPr/>
                <w:p>
                  <w:pPr>
                    <w:pStyle w:val="Compact"/>
                    <w:jc w:val="right"/>
                    <w:jc w:val="center"/>
                  </w:pPr>
                  <w:r>
                    <w:t xml:space="preserve">0.110</w:t>
                  </w:r>
                </w:p>
              </w:tc>
              <w:tc>
                <w:tcPr/>
                <w:p>
                  <w:pPr>
                    <w:pStyle w:val="Compact"/>
                    <w:jc w:val="right"/>
                    <w:jc w:val="center"/>
                  </w:pPr>
                  <w:r>
                    <w:t xml:space="preserve">0.227</w:t>
                  </w:r>
                </w:p>
              </w:tc>
              <w:tc>
                <w:tcPr/>
                <w:p>
                  <w:pPr>
                    <w:pStyle w:val="Compact"/>
                    <w:jc w:val="right"/>
                    <w:jc w:val="center"/>
                  </w:pPr>
                  <w:r>
                    <w:t xml:space="preserve">0.422</w:t>
                  </w:r>
                </w:p>
              </w:tc>
              <w:tc>
                <w:tcPr/>
                <w:p>
                  <w:pPr>
                    <w:pStyle w:val="Compact"/>
                    <w:jc w:val="right"/>
                    <w:jc w:val="center"/>
                  </w:pPr>
                  <w:r>
                    <w:t xml:space="preserve">-0.055</w:t>
                  </w:r>
                </w:p>
              </w:tc>
              <w:tc>
                <w:tcPr/>
                <w:p>
                  <w:pPr>
                    <w:pStyle w:val="Compact"/>
                    <w:jc w:val="right"/>
                    <w:jc w:val="center"/>
                  </w:pPr>
                  <w:r>
                    <w:t xml:space="preserve">0.320</w:t>
                  </w:r>
                </w:p>
              </w:tc>
              <w:tc>
                <w:tcPr/>
                <w:p>
                  <w:pPr>
                    <w:pStyle w:val="Compact"/>
                    <w:jc w:val="right"/>
                    <w:jc w:val="center"/>
                  </w:pPr>
                  <w:r>
                    <w:t xml:space="preserve">-0.645</w:t>
                  </w:r>
                </w:p>
              </w:tc>
              <w:tc>
                <w:tcPr/>
                <w:p>
                  <w:pPr>
                    <w:pStyle w:val="Compact"/>
                    <w:jc w:val="right"/>
                    <w:jc w:val="center"/>
                  </w:pPr>
                  <w:r>
                    <w:t xml:space="preserve">0.007</w:t>
                  </w:r>
                </w:p>
              </w:tc>
              <w:tc>
                <w:tcPr/>
                <w:p>
                  <w:pPr>
                    <w:pStyle w:val="Compact"/>
                    <w:jc w:val="right"/>
                    <w:jc w:val="center"/>
                  </w:pPr>
                  <w:r>
                    <w:t xml:space="preserve">0.227</w:t>
                  </w:r>
                </w:p>
              </w:tc>
              <w:tc>
                <w:tcPr/>
                <w:p>
                  <w:pPr>
                    <w:pStyle w:val="Compact"/>
                    <w:jc w:val="right"/>
                    <w:jc w:val="center"/>
                  </w:pPr>
                  <w:r>
                    <w:t xml:space="preserve">0.071</w:t>
                  </w:r>
                </w:p>
              </w:tc>
              <w:tc>
                <w:tcPr/>
                <w:p>
                  <w:pPr>
                    <w:pStyle w:val="Compact"/>
                    <w:jc w:val="right"/>
                    <w:jc w:val="center"/>
                  </w:pPr>
                  <w:r>
                    <w:t xml:space="preserve">0.239</w:t>
                  </w:r>
                </w:p>
              </w:tc>
              <w:tc>
                <w:tcPr/>
                <w:p>
                  <w:pPr>
                    <w:pStyle w:val="Compact"/>
                    <w:jc w:val="right"/>
                    <w:jc w:val="center"/>
                  </w:pPr>
                  <w:r>
                    <w:t xml:space="preserve">0.328</w:t>
                  </w:r>
                </w:p>
              </w:tc>
              <w:tc>
                <w:tcPr/>
                <w:p>
                  <w:pPr>
                    <w:pStyle w:val="Compact"/>
                    <w:jc w:val="right"/>
                    <w:jc w:val="center"/>
                  </w:pPr>
                  <w:r>
                    <w:t xml:space="preserve">0.169</w:t>
                  </w:r>
                </w:p>
              </w:tc>
              <w:tc>
                <w:tcPr/>
                <w:p>
                  <w:pPr>
                    <w:pStyle w:val="Compact"/>
                    <w:jc w:val="right"/>
                    <w:jc w:val="center"/>
                  </w:pPr>
                  <w:r>
                    <w:t xml:space="preserve">0.128</w:t>
                  </w:r>
                </w:p>
              </w:tc>
              <w:tc>
                <w:tcPr/>
                <w:p>
                  <w:pPr>
                    <w:pStyle w:val="Compact"/>
                    <w:jc w:val="right"/>
                    <w:jc w:val="center"/>
                  </w:pPr>
                  <w:r>
                    <w:t xml:space="preserve">0.144</w:t>
                  </w:r>
                </w:p>
              </w:tc>
              <w:tc>
                <w:tcPr/>
                <w:p>
                  <w:pPr>
                    <w:pStyle w:val="Compact"/>
                    <w:jc w:val="right"/>
                    <w:jc w:val="center"/>
                  </w:pPr>
                  <w:r>
                    <w:t xml:space="preserve">0.751</w:t>
                  </w:r>
                </w:p>
              </w:tc>
              <w:tc>
                <w:tcPr/>
                <w:p>
                  <w:pPr>
                    <w:pStyle w:val="Compact"/>
                    <w:jc w:val="right"/>
                    <w:jc w:val="center"/>
                  </w:pPr>
                  <w:r>
                    <w:t xml:space="preserve">0.215</w:t>
                  </w:r>
                </w:p>
              </w:tc>
              <w:tc>
                <w:tcPr/>
                <w:p>
                  <w:pPr>
                    <w:pStyle w:val="Compact"/>
                    <w:jc w:val="right"/>
                    <w:jc w:val="center"/>
                  </w:pPr>
                  <w:r>
                    <w:t xml:space="preserve">0.722</w:t>
                  </w:r>
                </w:p>
              </w:tc>
              <w:tc>
                <w:tcPr/>
                <w:p>
                  <w:pPr>
                    <w:pStyle w:val="Compact"/>
                    <w:jc w:val="right"/>
                    <w:jc w:val="center"/>
                  </w:pPr>
                  <w:r>
                    <w:t xml:space="preserve">0.627</w:t>
                  </w:r>
                </w:p>
              </w:tc>
              <w:tc>
                <w:tcPr/>
                <w:p>
                  <w:pPr>
                    <w:pStyle w:val="Compact"/>
                    <w:jc w:val="right"/>
                    <w:jc w:val="center"/>
                  </w:pPr>
                  <w:r>
                    <w:t xml:space="preserve">0.265</w:t>
                  </w:r>
                </w:p>
              </w:tc>
              <w:tc>
                <w:tcPr/>
                <w:p>
                  <w:pPr>
                    <w:pStyle w:val="Compact"/>
                    <w:jc w:val="right"/>
                    <w:jc w:val="center"/>
                  </w:pPr>
                  <w:r>
                    <w:t xml:space="preserve">0.440</w:t>
                  </w:r>
                </w:p>
              </w:tc>
            </w:tr>
            <w:tr>
              <w:tc>
                <w:tcPr/>
                <w:p>
                  <w:pPr>
                    <w:pStyle w:val="Compact"/>
                    <w:jc w:val="left"/>
                    <w:jc w:val="center"/>
                  </w:pPr>
                  <w:r>
                    <w:t xml:space="preserve">women_iron</w:t>
                  </w:r>
                </w:p>
              </w:tc>
              <w:tc>
                <w:tcPr/>
                <w:p>
                  <w:pPr>
                    <w:pStyle w:val="Compact"/>
                    <w:jc w:val="left"/>
                    <w:jc w:val="center"/>
                  </w:pPr>
                  <w:r>
                    <w:t xml:space="preserve">Ghana</w:t>
                  </w:r>
                </w:p>
              </w:tc>
              <w:tc>
                <w:tcPr/>
                <w:p>
                  <w:pPr>
                    <w:pStyle w:val="Compact"/>
                    <w:jc w:val="right"/>
                    <w:jc w:val="center"/>
                  </w:pPr>
                  <w:r>
                    <w:t xml:space="preserve">NA</w:t>
                  </w:r>
                </w:p>
              </w:tc>
              <w:tc>
                <w:tcPr/>
                <w:p>
                  <w:pPr>
                    <w:pStyle w:val="Compact"/>
                    <w:jc w:val="right"/>
                    <w:jc w:val="center"/>
                  </w:pPr>
                  <w:r>
                    <w:t xml:space="preserve">0.262</w:t>
                  </w:r>
                </w:p>
              </w:tc>
              <w:tc>
                <w:tcPr/>
                <w:p>
                  <w:pPr>
                    <w:pStyle w:val="Compact"/>
                    <w:jc w:val="right"/>
                    <w:jc w:val="center"/>
                  </w:pPr>
                  <w:r>
                    <w:t xml:space="preserve">0.258</w:t>
                  </w:r>
                </w:p>
              </w:tc>
              <w:tc>
                <w:tcPr/>
                <w:p>
                  <w:pPr>
                    <w:pStyle w:val="Compact"/>
                    <w:jc w:val="right"/>
                    <w:jc w:val="center"/>
                  </w:pPr>
                  <w:r>
                    <w:t xml:space="preserve">0.290</w:t>
                  </w:r>
                </w:p>
              </w:tc>
              <w:tc>
                <w:tcPr/>
                <w:p>
                  <w:pPr>
                    <w:pStyle w:val="Compact"/>
                    <w:jc w:val="right"/>
                    <w:jc w:val="center"/>
                  </w:pPr>
                  <w:r>
                    <w:t xml:space="preserve">0.257</w:t>
                  </w:r>
                </w:p>
              </w:tc>
              <w:tc>
                <w:tcPr/>
                <w:p>
                  <w:pPr>
                    <w:pStyle w:val="Compact"/>
                    <w:jc w:val="right"/>
                    <w:jc w:val="center"/>
                  </w:pPr>
                  <w:r>
                    <w:t xml:space="preserve">0.039</w:t>
                  </w:r>
                </w:p>
              </w:tc>
              <w:tc>
                <w:tcPr/>
                <w:p>
                  <w:pPr>
                    <w:pStyle w:val="Compact"/>
                    <w:jc w:val="right"/>
                    <w:jc w:val="center"/>
                  </w:pPr>
                  <w:r>
                    <w:t xml:space="preserve">0.382</w:t>
                  </w:r>
                </w:p>
              </w:tc>
              <w:tc>
                <w:tcPr/>
                <w:p>
                  <w:pPr>
                    <w:pStyle w:val="Compact"/>
                    <w:jc w:val="right"/>
                    <w:jc w:val="center"/>
                  </w:pPr>
                  <w:r>
                    <w:t xml:space="preserve">0.252</w:t>
                  </w:r>
                </w:p>
              </w:tc>
              <w:tc>
                <w:tcPr/>
                <w:p>
                  <w:pPr>
                    <w:pStyle w:val="Compact"/>
                    <w:jc w:val="right"/>
                    <w:jc w:val="center"/>
                  </w:pPr>
                  <w:r>
                    <w:t xml:space="preserve">0.258</w:t>
                  </w:r>
                </w:p>
              </w:tc>
              <w:tc>
                <w:tcPr/>
                <w:p>
                  <w:pPr>
                    <w:pStyle w:val="Compact"/>
                    <w:jc w:val="right"/>
                    <w:jc w:val="center"/>
                  </w:pPr>
                  <w:r>
                    <w:t xml:space="preserve">0.300</w:t>
                  </w:r>
                </w:p>
              </w:tc>
              <w:tc>
                <w:tcPr/>
                <w:p>
                  <w:pPr>
                    <w:pStyle w:val="Compact"/>
                    <w:jc w:val="right"/>
                    <w:jc w:val="center"/>
                  </w:pPr>
                  <w:r>
                    <w:t xml:space="preserve">0.219</w:t>
                  </w:r>
                </w:p>
              </w:tc>
              <w:tc>
                <w:tcPr/>
                <w:p>
                  <w:pPr>
                    <w:pStyle w:val="Compact"/>
                    <w:jc w:val="right"/>
                    <w:jc w:val="center"/>
                  </w:pPr>
                  <w:r>
                    <w:t xml:space="preserve">0.341</w:t>
                  </w:r>
                </w:p>
              </w:tc>
              <w:tc>
                <w:tcPr/>
                <w:p>
                  <w:pPr>
                    <w:pStyle w:val="Compact"/>
                    <w:jc w:val="right"/>
                    <w:jc w:val="center"/>
                  </w:pPr>
                  <w:r>
                    <w:t xml:space="preserve">0.218</w:t>
                  </w:r>
                </w:p>
              </w:tc>
              <w:tc>
                <w:tcPr/>
                <w:p>
                  <w:pPr>
                    <w:pStyle w:val="Compact"/>
                    <w:jc w:val="right"/>
                    <w:jc w:val="center"/>
                  </w:pPr>
                  <w:r>
                    <w:t xml:space="preserve">0.179</w:t>
                  </w:r>
                </w:p>
              </w:tc>
              <w:tc>
                <w:tcPr/>
                <w:p>
                  <w:pPr>
                    <w:pStyle w:val="Compact"/>
                    <w:jc w:val="right"/>
                    <w:jc w:val="center"/>
                  </w:pPr>
                  <w:r>
                    <w:t xml:space="preserve">0.204</w:t>
                  </w:r>
                </w:p>
              </w:tc>
              <w:tc>
                <w:tcPr/>
                <w:p>
                  <w:pPr>
                    <w:pStyle w:val="Compact"/>
                    <w:jc w:val="right"/>
                    <w:jc w:val="center"/>
                  </w:pPr>
                  <w:r>
                    <w:t xml:space="preserve">0.268</w:t>
                  </w:r>
                </w:p>
              </w:tc>
              <w:tc>
                <w:tcPr/>
                <w:p>
                  <w:pPr>
                    <w:pStyle w:val="Compact"/>
                    <w:jc w:val="right"/>
                    <w:jc w:val="center"/>
                  </w:pPr>
                  <w:r>
                    <w:t xml:space="preserve">0.268</w:t>
                  </w:r>
                </w:p>
              </w:tc>
              <w:tc>
                <w:tcPr/>
                <w:p>
                  <w:pPr>
                    <w:pStyle w:val="Compact"/>
                    <w:jc w:val="right"/>
                    <w:jc w:val="center"/>
                  </w:pPr>
                  <w:r>
                    <w:t xml:space="preserve">0.253</w:t>
                  </w:r>
                </w:p>
              </w:tc>
              <w:tc>
                <w:tcPr/>
                <w:p>
                  <w:pPr>
                    <w:pStyle w:val="Compact"/>
                    <w:jc w:val="right"/>
                    <w:jc w:val="center"/>
                  </w:pPr>
                  <w:r>
                    <w:t xml:space="preserve">0.301</w:t>
                  </w:r>
                </w:p>
              </w:tc>
              <w:tc>
                <w:tcPr/>
                <w:p>
                  <w:pPr>
                    <w:pStyle w:val="Compact"/>
                    <w:jc w:val="right"/>
                    <w:jc w:val="center"/>
                  </w:pPr>
                  <w:r>
                    <w:t xml:space="preserve">0.317</w:t>
                  </w:r>
                </w:p>
              </w:tc>
              <w:tc>
                <w:tcPr/>
                <w:p>
                  <w:pPr>
                    <w:pStyle w:val="Compact"/>
                    <w:jc w:val="right"/>
                    <w:jc w:val="center"/>
                  </w:pPr>
                  <w:r>
                    <w:t xml:space="preserve">0.352</w:t>
                  </w:r>
                </w:p>
              </w:tc>
            </w:tr>
            <w:tr>
              <w:tc>
                <w:tcPr/>
                <w:p>
                  <w:pPr>
                    <w:pStyle w:val="Compact"/>
                    <w:jc w:val="left"/>
                    <w:jc w:val="center"/>
                  </w:pPr>
                  <w:r>
                    <w:t xml:space="preserve">women_iron</w:t>
                  </w:r>
                </w:p>
              </w:tc>
              <w:tc>
                <w:tcPr/>
                <w:p>
                  <w:pPr>
                    <w:pStyle w:val="Compact"/>
                    <w:jc w:val="left"/>
                    <w:jc w:val="center"/>
                  </w:pPr>
                  <w:r>
                    <w:t xml:space="preserve">SierraLeone</w:t>
                  </w:r>
                </w:p>
              </w:tc>
              <w:tc>
                <w:tcPr/>
                <w:p>
                  <w:pPr>
                    <w:pStyle w:val="Compact"/>
                    <w:jc w:val="right"/>
                    <w:jc w:val="center"/>
                  </w:pPr>
                  <w:r>
                    <w:t xml:space="preserve">NA</w:t>
                  </w:r>
                </w:p>
              </w:tc>
              <w:tc>
                <w:tcPr/>
                <w:p>
                  <w:pPr>
                    <w:pStyle w:val="Compact"/>
                    <w:jc w:val="right"/>
                    <w:jc w:val="center"/>
                  </w:pPr>
                  <w:r>
                    <w:t xml:space="preserve">-0.246</w:t>
                  </w:r>
                </w:p>
              </w:tc>
              <w:tc>
                <w:tcPr/>
                <w:p>
                  <w:pPr>
                    <w:pStyle w:val="Compact"/>
                    <w:jc w:val="right"/>
                    <w:jc w:val="center"/>
                  </w:pPr>
                  <w:r>
                    <w:t xml:space="preserve">-0.201</w:t>
                  </w:r>
                </w:p>
              </w:tc>
              <w:tc>
                <w:tcPr/>
                <w:p>
                  <w:pPr>
                    <w:pStyle w:val="Compact"/>
                    <w:jc w:val="right"/>
                    <w:jc w:val="center"/>
                  </w:pPr>
                  <w:r>
                    <w:t xml:space="preserve">-0.170</w:t>
                  </w:r>
                </w:p>
              </w:tc>
              <w:tc>
                <w:tcPr/>
                <w:p>
                  <w:pPr>
                    <w:pStyle w:val="Compact"/>
                    <w:jc w:val="right"/>
                    <w:jc w:val="center"/>
                  </w:pPr>
                  <w:r>
                    <w:t xml:space="preserve">-0.196</w:t>
                  </w:r>
                </w:p>
              </w:tc>
              <w:tc>
                <w:tcPr/>
                <w:p>
                  <w:pPr>
                    <w:pStyle w:val="Compact"/>
                    <w:jc w:val="right"/>
                    <w:jc w:val="center"/>
                  </w:pPr>
                  <w:r>
                    <w:t xml:space="preserve">-0.305</w:t>
                  </w:r>
                </w:p>
              </w:tc>
              <w:tc>
                <w:tcPr/>
                <w:p>
                  <w:pPr>
                    <w:pStyle w:val="Compact"/>
                    <w:jc w:val="right"/>
                    <w:jc w:val="center"/>
                  </w:pPr>
                  <w:r>
                    <w:t xml:space="preserve">-0.002</w:t>
                  </w:r>
                </w:p>
              </w:tc>
              <w:tc>
                <w:tcPr/>
                <w:p>
                  <w:pPr>
                    <w:pStyle w:val="Compact"/>
                    <w:jc w:val="right"/>
                    <w:jc w:val="center"/>
                  </w:pPr>
                  <w:r>
                    <w:t xml:space="preserve">NA</w:t>
                  </w:r>
                </w:p>
              </w:tc>
              <w:tc>
                <w:tcPr/>
                <w:p>
                  <w:pPr>
                    <w:pStyle w:val="Compact"/>
                    <w:jc w:val="right"/>
                    <w:jc w:val="center"/>
                  </w:pPr>
                  <w:r>
                    <w:t xml:space="preserve">-0.201</w:t>
                  </w:r>
                </w:p>
              </w:tc>
              <w:tc>
                <w:tcPr/>
                <w:p>
                  <w:pPr>
                    <w:pStyle w:val="Compact"/>
                    <w:jc w:val="right"/>
                    <w:jc w:val="center"/>
                  </w:pPr>
                  <w:r>
                    <w:t xml:space="preserve">-0.124</w:t>
                  </w:r>
                </w:p>
              </w:tc>
              <w:tc>
                <w:tcPr/>
                <w:p>
                  <w:pPr>
                    <w:pStyle w:val="Compact"/>
                    <w:jc w:val="right"/>
                    <w:jc w:val="center"/>
                  </w:pPr>
                  <w:r>
                    <w:t xml:space="preserve">-0.057</w:t>
                  </w:r>
                </w:p>
              </w:tc>
              <w:tc>
                <w:tcPr/>
                <w:p>
                  <w:pPr>
                    <w:pStyle w:val="Compact"/>
                    <w:jc w:val="right"/>
                    <w:jc w:val="center"/>
                  </w:pPr>
                  <w:r>
                    <w:t xml:space="preserve">-0.168</w:t>
                  </w:r>
                </w:p>
              </w:tc>
              <w:tc>
                <w:tcPr/>
                <w:p>
                  <w:pPr>
                    <w:pStyle w:val="Compact"/>
                    <w:jc w:val="right"/>
                    <w:jc w:val="center"/>
                  </w:pPr>
                  <w:r>
                    <w:t xml:space="preserve">0.318</w:t>
                  </w:r>
                </w:p>
              </w:tc>
              <w:tc>
                <w:tcPr/>
                <w:p>
                  <w:pPr>
                    <w:pStyle w:val="Compact"/>
                    <w:jc w:val="right"/>
                    <w:jc w:val="center"/>
                  </w:pPr>
                  <w:r>
                    <w:t xml:space="preserve">0.361</w:t>
                  </w:r>
                </w:p>
              </w:tc>
              <w:tc>
                <w:tcPr/>
                <w:p>
                  <w:pPr>
                    <w:pStyle w:val="Compact"/>
                    <w:jc w:val="right"/>
                    <w:jc w:val="center"/>
                  </w:pPr>
                  <w:r>
                    <w:t xml:space="preserve">0.411</w:t>
                  </w:r>
                </w:p>
              </w:tc>
              <w:tc>
                <w:tcPr/>
                <w:p>
                  <w:pPr>
                    <w:pStyle w:val="Compact"/>
                    <w:jc w:val="right"/>
                    <w:jc w:val="center"/>
                  </w:pPr>
                  <w:r>
                    <w:t xml:space="preserve">0.219</w:t>
                  </w:r>
                </w:p>
              </w:tc>
              <w:tc>
                <w:tcPr/>
                <w:p>
                  <w:pPr>
                    <w:pStyle w:val="Compact"/>
                    <w:jc w:val="right"/>
                    <w:jc w:val="center"/>
                  </w:pPr>
                  <w:r>
                    <w:t xml:space="preserve">0.219</w:t>
                  </w:r>
                </w:p>
              </w:tc>
              <w:tc>
                <w:tcPr/>
                <w:p>
                  <w:pPr>
                    <w:pStyle w:val="Compact"/>
                    <w:jc w:val="right"/>
                    <w:jc w:val="center"/>
                  </w:pPr>
                  <w:r>
                    <w:t xml:space="preserve">0.301</w:t>
                  </w:r>
                </w:p>
              </w:tc>
              <w:tc>
                <w:tcPr/>
                <w:p>
                  <w:pPr>
                    <w:pStyle w:val="Compact"/>
                    <w:jc w:val="right"/>
                    <w:jc w:val="center"/>
                  </w:pPr>
                  <w:r>
                    <w:t xml:space="preserve">-0.215</w:t>
                  </w:r>
                </w:p>
              </w:tc>
              <w:tc>
                <w:tcPr/>
                <w:p>
                  <w:pPr>
                    <w:pStyle w:val="Compact"/>
                    <w:jc w:val="right"/>
                    <w:jc w:val="center"/>
                  </w:pPr>
                  <w:r>
                    <w:t xml:space="preserve">-0.034</w:t>
                  </w:r>
                </w:p>
              </w:tc>
              <w:tc>
                <w:tcPr/>
                <w:p>
                  <w:pPr>
                    <w:pStyle w:val="Compact"/>
                    <w:jc w:val="right"/>
                    <w:jc w:val="center"/>
                  </w:pPr>
                  <w:r>
                    <w:t xml:space="preserve">-0.364</w:t>
                  </w:r>
                </w:p>
              </w:tc>
            </w:tr>
            <w:tr>
              <w:tc>
                <w:tcPr/>
                <w:p>
                  <w:pPr>
                    <w:pStyle w:val="Compact"/>
                    <w:jc w:val="left"/>
                    <w:jc w:val="center"/>
                  </w:pPr>
                  <w:r>
                    <w:t xml:space="preserve">women_iron</w:t>
                  </w:r>
                </w:p>
              </w:tc>
              <w:tc>
                <w:tcPr/>
                <w:p>
                  <w:pPr>
                    <w:pStyle w:val="Compact"/>
                    <w:jc w:val="left"/>
                    <w:jc w:val="center"/>
                  </w:pPr>
                  <w:r>
                    <w:t xml:space="preserve">Malawi</w:t>
                  </w:r>
                </w:p>
              </w:tc>
              <w:tc>
                <w:tcPr/>
                <w:p>
                  <w:pPr>
                    <w:pStyle w:val="Compact"/>
                    <w:jc w:val="right"/>
                    <w:jc w:val="center"/>
                  </w:pPr>
                  <w:r>
                    <w:t xml:space="preserve">NA</w:t>
                  </w:r>
                </w:p>
              </w:tc>
              <w:tc>
                <w:tcPr/>
                <w:p>
                  <w:pPr>
                    <w:pStyle w:val="Compact"/>
                    <w:jc w:val="right"/>
                    <w:jc w:val="center"/>
                  </w:pPr>
                  <w:r>
                    <w:t xml:space="preserve">0.039</w:t>
                  </w:r>
                </w:p>
              </w:tc>
              <w:tc>
                <w:tcPr/>
                <w:p>
                  <w:pPr>
                    <w:pStyle w:val="Compact"/>
                    <w:jc w:val="right"/>
                    <w:jc w:val="center"/>
                  </w:pPr>
                  <w:r>
                    <w:t xml:space="preserve">0.116</w:t>
                  </w:r>
                </w:p>
              </w:tc>
              <w:tc>
                <w:tcPr/>
                <w:p>
                  <w:pPr>
                    <w:pStyle w:val="Compact"/>
                    <w:jc w:val="right"/>
                    <w:jc w:val="center"/>
                  </w:pPr>
                  <w:r>
                    <w:t xml:space="preserve">0.047</w:t>
                  </w:r>
                </w:p>
              </w:tc>
              <w:tc>
                <w:tcPr/>
                <w:p>
                  <w:pPr>
                    <w:pStyle w:val="Compact"/>
                    <w:jc w:val="right"/>
                    <w:jc w:val="center"/>
                  </w:pPr>
                  <w:r>
                    <w:t xml:space="preserve">0.044</w:t>
                  </w:r>
                </w:p>
              </w:tc>
              <w:tc>
                <w:tcPr/>
                <w:p>
                  <w:pPr>
                    <w:pStyle w:val="Compact"/>
                    <w:jc w:val="right"/>
                    <w:jc w:val="center"/>
                  </w:pPr>
                  <w:r>
                    <w:t xml:space="preserve">0.017</w:t>
                  </w:r>
                </w:p>
              </w:tc>
              <w:tc>
                <w:tcPr/>
                <w:p>
                  <w:pPr>
                    <w:pStyle w:val="Compact"/>
                    <w:jc w:val="right"/>
                    <w:jc w:val="center"/>
                  </w:pPr>
                  <w:r>
                    <w:t xml:space="preserve">0.085</w:t>
                  </w:r>
                </w:p>
              </w:tc>
              <w:tc>
                <w:tcPr/>
                <w:p>
                  <w:pPr>
                    <w:pStyle w:val="Compact"/>
                    <w:jc w:val="right"/>
                    <w:jc w:val="center"/>
                  </w:pPr>
                  <w:r>
                    <w:t xml:space="preserve">0.057</w:t>
                  </w:r>
                </w:p>
              </w:tc>
              <w:tc>
                <w:tcPr/>
                <w:p>
                  <w:pPr>
                    <w:pStyle w:val="Compact"/>
                    <w:jc w:val="right"/>
                    <w:jc w:val="center"/>
                  </w:pPr>
                  <w:r>
                    <w:t xml:space="preserve">0.077</w:t>
                  </w:r>
                </w:p>
              </w:tc>
              <w:tc>
                <w:tcPr/>
                <w:p>
                  <w:pPr>
                    <w:pStyle w:val="Compact"/>
                    <w:jc w:val="right"/>
                    <w:jc w:val="center"/>
                  </w:pPr>
                  <w:r>
                    <w:t xml:space="preserve">0.041</w:t>
                  </w:r>
                </w:p>
              </w:tc>
              <w:tc>
                <w:tcPr/>
                <w:p>
                  <w:pPr>
                    <w:pStyle w:val="Compact"/>
                    <w:jc w:val="right"/>
                    <w:jc w:val="center"/>
                  </w:pPr>
                  <w:r>
                    <w:t xml:space="preserve">0.035</w:t>
                  </w:r>
                </w:p>
              </w:tc>
              <w:tc>
                <w:tcPr/>
                <w:p>
                  <w:pPr>
                    <w:pStyle w:val="Compact"/>
                    <w:jc w:val="right"/>
                    <w:jc w:val="center"/>
                  </w:pPr>
                  <w:r>
                    <w:t xml:space="preserve">0.041</w:t>
                  </w:r>
                </w:p>
              </w:tc>
              <w:tc>
                <w:tcPr/>
                <w:p>
                  <w:pPr>
                    <w:pStyle w:val="Compact"/>
                    <w:jc w:val="right"/>
                    <w:jc w:val="center"/>
                  </w:pPr>
                  <w:r>
                    <w:t xml:space="preserve">0.172</w:t>
                  </w:r>
                </w:p>
              </w:tc>
              <w:tc>
                <w:tcPr/>
                <w:p>
                  <w:pPr>
                    <w:pStyle w:val="Compact"/>
                    <w:jc w:val="right"/>
                    <w:jc w:val="center"/>
                  </w:pPr>
                  <w:r>
                    <w:t xml:space="preserve">0.034</w:t>
                  </w:r>
                </w:p>
              </w:tc>
              <w:tc>
                <w:tcPr/>
                <w:p>
                  <w:pPr>
                    <w:pStyle w:val="Compact"/>
                    <w:jc w:val="right"/>
                    <w:jc w:val="center"/>
                  </w:pPr>
                  <w:r>
                    <w:t xml:space="preserve">-0.010</w:t>
                  </w:r>
                </w:p>
              </w:tc>
              <w:tc>
                <w:tcPr/>
                <w:p>
                  <w:pPr>
                    <w:pStyle w:val="Compact"/>
                    <w:jc w:val="right"/>
                    <w:jc w:val="center"/>
                  </w:pPr>
                  <w:r>
                    <w:t xml:space="preserve">0.123</w:t>
                  </w:r>
                </w:p>
              </w:tc>
              <w:tc>
                <w:tcPr/>
                <w:p>
                  <w:pPr>
                    <w:pStyle w:val="Compact"/>
                    <w:jc w:val="right"/>
                    <w:jc w:val="center"/>
                  </w:pPr>
                  <w:r>
                    <w:t xml:space="preserve">0.123</w:t>
                  </w:r>
                </w:p>
              </w:tc>
              <w:tc>
                <w:tcPr/>
                <w:p>
                  <w:pPr>
                    <w:pStyle w:val="Compact"/>
                    <w:jc w:val="right"/>
                    <w:jc w:val="center"/>
                  </w:pPr>
                  <w:r>
                    <w:t xml:space="preserve">NA</w:t>
                  </w:r>
                </w:p>
              </w:tc>
              <w:tc>
                <w:tcPr/>
                <w:p>
                  <w:pPr>
                    <w:pStyle w:val="Compact"/>
                    <w:jc w:val="right"/>
                    <w:jc w:val="center"/>
                  </w:pPr>
                  <w:r>
                    <w:t xml:space="preserve">-0.027</w:t>
                  </w:r>
                </w:p>
              </w:tc>
              <w:tc>
                <w:tcPr/>
                <w:p>
                  <w:pPr>
                    <w:pStyle w:val="Compact"/>
                    <w:jc w:val="right"/>
                    <w:jc w:val="center"/>
                  </w:pPr>
                  <w:r>
                    <w:t xml:space="preserve">0.077</w:t>
                  </w:r>
                </w:p>
              </w:tc>
              <w:tc>
                <w:tcPr/>
                <w:p>
                  <w:pPr>
                    <w:pStyle w:val="Compact"/>
                    <w:jc w:val="right"/>
                    <w:jc w:val="center"/>
                  </w:pPr>
                  <w:r>
                    <w:t xml:space="preserve">0.042</w:t>
                  </w:r>
                </w:p>
              </w:tc>
            </w:tr>
          </w:tbl>
          <w:bookmarkEnd w:id="45"/>
          <w:p/>
        </w:tc>
      </w:tr>
    </w:tbl>
    <w:bookmarkEnd w:id="46"/>
    <w:bookmarkStart w:id="51" w:name="Xc593a192c9af1d169522948dc5bcf261635606a"/>
    <w:p>
      <w:pPr>
        <w:pStyle w:val="Heading2"/>
      </w:pPr>
      <w:r>
        <w:t xml:space="preserve">3.7 Supplementary all-methods comparison on a representative outcome</w:t>
      </w:r>
    </w:p>
    <w:p>
      <w:pPr>
        <w:pStyle w:val="FirstParagraph"/>
      </w:pPr>
      <w:r>
        <w:t xml:space="preserve">To provide a comprehensive supplementary comparison, we ran every method</w:t>
      </w:r>
      <w:r>
        <w:t xml:space="preserve"> </w:t>
      </w:r>
      <w:r>
        <w:t xml:space="preserve">and SuperLearner library variant tested in this work on a single</w:t>
      </w:r>
      <w:r>
        <w:t xml:space="preserve"> </w:t>
      </w:r>
      <w:r>
        <w:t xml:space="preserve">representative outcome — child iron deficiency, chosen because it has</w:t>
      </w:r>
      <w:r>
        <w:t xml:space="preserve"> </w:t>
      </w:r>
      <w:r>
        <w:t xml:space="preserve">the strongest transportable signal in our data and biomarker</w:t>
      </w:r>
      <w:r>
        <w:t xml:space="preserve"> </w:t>
      </w:r>
      <w:r>
        <w:t xml:space="preserve">measurements in all four countries. Two evaluation tracks were used:</w:t>
      </w:r>
      <w:r>
        <w:t xml:space="preserve"> </w:t>
      </w:r>
      <w:r>
        <w:t xml:space="preserve">within-country five-fold cross-validation on each country’s admin-2</w:t>
      </w:r>
      <w:r>
        <w:t xml:space="preserve"> </w:t>
      </w:r>
      <w:r>
        <w:t xml:space="preserve">polygons (separately per country) and leave-one-country-out</w:t>
      </w:r>
      <w:r>
        <w:t xml:space="preserve"> </w:t>
      </w:r>
      <w:r>
        <w:t xml:space="preserve">transportability across the four-country pool (</w:t>
      </w:r>
      <w:hyperlink w:anchor="fig-all-methods-iron">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fig-all-methods-iron"/>
          <w:p>
            <w:pPr>
              <w:pStyle w:val="Compact"/>
              <w:jc w:val="center"/>
            </w:pPr>
            <w:r>
              <w:drawing>
                <wp:inline>
                  <wp:extent cx="5334000" cy="2872153"/>
                  <wp:effectExtent b="0" l="0" r="0" t="0"/>
                  <wp:docPr descr="" title="" id="48" name="Picture"/>
                  <a:graphic>
                    <a:graphicData uri="http://schemas.openxmlformats.org/drawingml/2006/picture">
                      <pic:pic>
                        <pic:nvPicPr>
                          <pic:cNvPr descr="../results/figures/all_methods_child_iron.png" id="49" name="Picture"/>
                          <pic:cNvPicPr>
                            <a:picLocks noChangeArrowheads="1" noChangeAspect="1"/>
                          </pic:cNvPicPr>
                        </pic:nvPicPr>
                        <pic:blipFill>
                          <a:blip r:embed="rId47"/>
                          <a:stretch>
                            <a:fillRect/>
                          </a:stretch>
                        </pic:blipFill>
                        <pic:spPr bwMode="auto">
                          <a:xfrm>
                            <a:off x="0" y="0"/>
                            <a:ext cx="5334000" cy="2872153"/>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Supplementary all-methods comparison for child iron deficiency. (a) Within-country 5-fold cross-validation Pearson r per method, with one dot per country and X-marks denoting the mean across the four countries. (b) Leave-one-country-out transportability Pearson r per method, with one dot per held-out country. Methods are ordered by mean LOCO r. The supplementary figure source data are in results/tables/all_methods_child_iron.csv.</w:t>
            </w:r>
          </w:p>
          <w:bookmarkEnd w:id="50"/>
        </w:tc>
      </w:tr>
    </w:tbl>
    <w:p>
      <w:pPr>
        <w:pStyle w:val="BodyText"/>
      </w:pPr>
      <w:r>
        <w:t xml:space="preserve">For LOCO, spatial smoothing on admin-2 polygon centroids (mean Pearson r</w:t>
      </w:r>
      <w:r>
        <w:t xml:space="preserve"> </w:t>
      </w:r>
      <w:r>
        <w:t xml:space="preserve">= 0.48) and spatial + top-8 SoilGrids covariates (0.46) were the two</w:t>
      </w:r>
      <w:r>
        <w:t xml:space="preserve"> </w:t>
      </w:r>
      <w:r>
        <w:t xml:space="preserve">strongest methods, both substantially outperforming the prescreened</w:t>
      </w:r>
      <w:r>
        <w:t xml:space="preserve"> </w:t>
      </w:r>
      <w:r>
        <w:t xml:space="preserve">SuperLearner ensemble (0.22) and the simpler invariance-filter and OLS</w:t>
      </w:r>
      <w:r>
        <w:t xml:space="preserve"> </w:t>
      </w:r>
      <w:r>
        <w:t xml:space="preserve">recipes (0.39 each). Within-country, the picture flips: nonparametric</w:t>
      </w:r>
      <w:r>
        <w:t xml:space="preserve"> </w:t>
      </w:r>
      <w:r>
        <w:t xml:space="preserve">flexibility helps when training data is in-distribution, with random</w:t>
      </w:r>
      <w:r>
        <w:t xml:space="preserve"> </w:t>
      </w:r>
      <w:r>
        <w:t xml:space="preserve">forest (mean Pearson r = 0.23 across four countries) and the</w:t>
      </w:r>
      <w:r>
        <w:t xml:space="preserve"> </w:t>
      </w:r>
      <w:r>
        <w:t xml:space="preserve">prescreened SuperLearner (0.17) outperforming the linear methods, while</w:t>
      </w:r>
      <w:r>
        <w:t xml:space="preserve"> </w:t>
      </w:r>
      <w:r>
        <w:t xml:space="preserve">spatial-only and spatial + soil predict best on the two countries with</w:t>
      </w:r>
      <w:r>
        <w:t xml:space="preserve"> </w:t>
      </w:r>
      <w:r>
        <w:t xml:space="preserve">enough admin-2 polygons (Ghana and Malawi) but are unstable on the</w:t>
      </w:r>
      <w:r>
        <w:t xml:space="preserve"> </w:t>
      </w:r>
      <w:r>
        <w:t xml:space="preserve">small (n = 14) Sierra Leone CV split. The conclusion is consistent</w:t>
      </w:r>
      <w:r>
        <w:t xml:space="preserve"> </w:t>
      </w:r>
      <w:r>
        <w:t xml:space="preserve">across outcomes (see Methods §Estimation strategies and the exploratory</w:t>
      </w:r>
      <w:r>
        <w:t xml:space="preserve"> </w:t>
      </w:r>
      <w:r>
        <w:t xml:space="preserve">findings logs,</w:t>
      </w:r>
      <w:r>
        <w:t xml:space="preserve"> </w:t>
      </w:r>
      <w:r>
        <w:rPr>
          <w:rStyle w:val="VerbatimChar"/>
        </w:rPr>
        <w:t xml:space="preserve">archive/docs/exploratory_loco_findings.md</w:t>
      </w:r>
      <w:r>
        <w:t xml:space="preserve">): non-linear ensembles help</w:t>
      </w:r>
      <w:r>
        <w:t xml:space="preserve"> </w:t>
      </w:r>
      <w:r>
        <w:t xml:space="preserve">within-country, parsimonious linear models with soil micronutrient features</w:t>
      </w:r>
      <w:r>
        <w:t xml:space="preserve"> </w:t>
      </w:r>
      <w:r>
        <w:t xml:space="preserve">help out-of-country.</w:t>
      </w:r>
    </w:p>
    <w:bookmarkEnd w:id="51"/>
    <w:bookmarkStart w:id="52" w:name="Xa2e5746a53e3a889f7b3d910dbcfb5a5009b7e7"/>
    <w:p>
      <w:pPr>
        <w:pStyle w:val="Heading2"/>
      </w:pPr>
      <w:r>
        <w:t xml:space="preserve">3.8 Predictor domain contributions and learner-stack composition</w:t>
      </w:r>
    </w:p>
    <w:p>
      <w:pPr>
        <w:pStyle w:val="FirstParagraph"/>
      </w:pPr>
      <w:r>
        <w:t xml:space="preserve">Domain ablation — refitting with each predictor domain removed and recording the</w:t>
      </w:r>
      <w:r>
        <w:t xml:space="preserve"> </w:t>
      </w:r>
      <w:r>
        <w:t xml:space="preserve">change in binary AUC — initially appeared to show large contributions, with mean</w:t>
      </w:r>
      <w:r>
        <w:t xml:space="preserve"> </w:t>
      </w:r>
      <w:r>
        <w:t xml:space="preserve">drops of 0.10–0.15 attributed to survey indicators, infant-and-child-mortality,</w:t>
      </w:r>
      <w:r>
        <w:t xml:space="preserve"> </w:t>
      </w:r>
      <w:r>
        <w:t xml:space="preserve">HIV/AIDS and agriculture. Those figures are artifacts and we report the</w:t>
      </w:r>
      <w:r>
        <w:t xml:space="preserve"> </w:t>
      </w:r>
      <w:r>
        <w:t xml:space="preserve">diagnosis rather than the numbers. In two cells — Ghana women’s vitamin A (1.5%</w:t>
      </w:r>
      <w:r>
        <w:t xml:space="preserve"> </w:t>
      </w:r>
      <w:r>
        <w:t xml:space="preserve">prevalence) and Malawi women’s B12 (2.3%) — removing</w:t>
      </w:r>
      <w:r>
        <w:t xml:space="preserve"> </w:t>
      </w:r>
      <w:r>
        <w:rPr>
          <w:i/>
          <w:iCs/>
        </w:rPr>
        <w:t xml:space="preserve">any</w:t>
      </w:r>
      <w:r>
        <w:t xml:space="preserve"> </w:t>
      </w:r>
      <w:r>
        <w:t xml:space="preserve">domain, including a</w:t>
      </w:r>
      <w:r>
        <w:t xml:space="preserve"> </w:t>
      </w:r>
      <w:r>
        <w:t xml:space="preserve">domain consisting of a single variable, collapsed AUC from 0.889 and 0.911 to</w:t>
      </w:r>
      <w:r>
        <w:t xml:space="preserve"> </w:t>
      </w:r>
      <w:r>
        <w:t xml:space="preserve">exactly 0.500. That is the ensemble failing to fit at all once a predictor is</w:t>
      </w:r>
      <w:r>
        <w:t xml:space="preserve"> </w:t>
      </w:r>
      <w:r>
        <w:t xml:space="preserve">withdrawn, not information being lost, and it is the same rare-outcome fragility</w:t>
      </w:r>
      <w:r>
        <w:t xml:space="preserve"> </w:t>
      </w:r>
      <w:r>
        <w:t xml:space="preserve">that appears elsewhere in these results. Those two cells contribute 35 of 332</w:t>
      </w:r>
      <w:r>
        <w:t xml:space="preserve"> </w:t>
      </w:r>
      <w:r>
        <w:t xml:space="preserve">ablation rows at losses of 0.39–0.41 and inflate every domain’s mean.</w:t>
      </w:r>
    </w:p>
    <w:p>
      <w:pPr>
        <w:pStyle w:val="BodyText"/>
      </w:pPr>
      <w:r>
        <w:t xml:space="preserve">Excluding them, domain removal costs almost nothing. The median AUC drop is</w:t>
      </w:r>
      <w:r>
        <w:t xml:space="preserve"> </w:t>
      </w:r>
      <w:r>
        <w:t xml:space="preserve">0.029 for environment (57 variables), 0.004 for climate (21), and</w:t>
      </w:r>
      <w:r>
        <w:t xml:space="preserve"> </w:t>
      </w:r>
      <m:oMath>
        <m:r>
          <m:rPr>
            <m:sty m:val="p"/>
          </m:rPr>
          <m:t>≤</m:t>
        </m:r>
      </m:oMath>
      <w:r>
        <w:t xml:space="preserve"> </w:t>
      </w:r>
      <w:r>
        <w:t xml:space="preserve">0.001</w:t>
      </w:r>
      <w:r>
        <w:t xml:space="preserve"> </w:t>
      </w:r>
      <w:r>
        <w:t xml:space="preserve">for every other domain;</w:t>
      </w:r>
      <w:r>
        <w:t xml:space="preserve"> </w:t>
      </w:r>
      <w:r>
        <w:rPr>
          <w:b/>
          <w:bCs/>
        </w:rPr>
        <w:t xml:space="preserve">141 of 332 domain removals improved AUC</w:t>
      </w:r>
      <w:r>
        <w:t xml:space="preserve">. At the</w:t>
      </w:r>
      <w:r>
        <w:t xml:space="preserve"> </w:t>
      </w:r>
      <w:r>
        <w:t xml:space="preserve">single-variable level,</w:t>
      </w:r>
      <w:r>
        <w:t xml:space="preserve"> </w:t>
      </w:r>
      <w:r>
        <w:rPr>
          <w:b/>
          <w:bCs/>
        </w:rPr>
        <w:t xml:space="preserve">266 of 720 permutation importance drops were</w:t>
      </w:r>
      <w:r>
        <w:rPr>
          <w:b/>
          <w:bCs/>
        </w:rPr>
        <w:t xml:space="preserve"> </w:t>
      </w:r>
      <m:oMath>
        <m:r>
          <m:rPr>
            <m:sty m:val="p"/>
          </m:rPr>
          <m:t>≤</m:t>
        </m:r>
        <m:r>
          <m:t>0</m:t>
        </m:r>
      </m:oMath>
      <w:r>
        <w:t xml:space="preserve">,</w:t>
      </w:r>
      <w:r>
        <w:t xml:space="preserve"> </w:t>
      </w:r>
      <w:r>
        <w:t xml:space="preserve">the median top-five drop was 0.008 AUC, and eighteen different variables took</w:t>
      </w:r>
      <w:r>
        <w:t xml:space="preserve"> </w:t>
      </w:r>
      <w:r>
        <w:t xml:space="preserve">first rank across the 24 cells — no predictor is consistently important. SHAP</w:t>
      </w:r>
      <w:r>
        <w:t xml:space="preserve"> </w:t>
      </w:r>
      <w:r>
        <w:t xml:space="preserve">attributions agree, with top contributions of approximately 0.004 on the</w:t>
      </w:r>
      <w:r>
        <w:t xml:space="preserve"> </w:t>
      </w:r>
      <w:r>
        <w:t xml:space="preserve">probability scale.</w:t>
      </w:r>
    </w:p>
    <w:p>
      <w:pPr>
        <w:pStyle w:val="BodyText"/>
      </w:pPr>
      <w:r>
        <w:t xml:space="preserve">Calibration of the binary classifiers was poor before post-hoc</w:t>
      </w:r>
      <w:r>
        <w:t xml:space="preserve"> </w:t>
      </w:r>
      <w:r>
        <w:t xml:space="preserve">correction (median slope 0.44, IQR 0.10–0.76), consistent with</w:t>
      </w:r>
      <w:r>
        <w:t xml:space="preserve"> </w:t>
      </w:r>
      <w:hyperlink w:anchor="tbl-calibration">
        <w:r>
          <w:rPr>
            <w:rStyle w:val="Hyperlink"/>
          </w:rPr>
          <w:t xml:space="preserve">Table 7</w:t>
        </w:r>
      </w:hyperlink>
      <w:r>
        <w:t xml:space="preserve"> </w:t>
      </w:r>
      <w:r>
        <w:t xml:space="preserve">below — predictions are systematically over-extreme relative to observed risk</w:t>
      </w:r>
      <w:r>
        <w:t xml:space="preserve"> </w:t>
      </w:r>
      <w:r>
        <w:t xml:space="preserve">and require shrinkage before use.</w:t>
      </w:r>
    </w:p>
    <w:bookmarkEnd w:id="52"/>
    <w:bookmarkStart w:id="53" w:name="sec-fdr"/>
    <w:p>
      <w:pPr>
        <w:pStyle w:val="Heading2"/>
      </w:pPr>
      <w:r>
        <w:t xml:space="preserve">3.9 Is any predictor associated with the outcomes?</w:t>
      </w:r>
    </w:p>
    <w:p>
      <w:pPr>
        <w:pStyle w:val="FirstParagraph"/>
      </w:pPr>
      <w:r>
        <w:t xml:space="preserve">The preceding results — models that barely beat a national-mean null, matched by</w:t>
      </w:r>
      <w:r>
        <w:t xml:space="preserve"> </w:t>
      </w:r>
      <w:r>
        <w:t xml:space="preserve">a covariate-free spatial smoother — raise a blunter question than importance</w:t>
      </w:r>
      <w:r>
        <w:t xml:space="preserve"> </w:t>
      </w:r>
      <w:r>
        <w:t xml:space="preserve">ranking can answer: is any predictor associated with district prevalence at all?</w:t>
      </w:r>
    </w:p>
    <w:p>
      <w:pPr>
        <w:pStyle w:val="BodyText"/>
      </w:pPr>
      <w:r>
        <w:t xml:space="preserve">We tested every harmonised predictor against district prevalence in every cell</w:t>
      </w:r>
      <w:r>
        <w:t xml:space="preserve"> </w:t>
      </w:r>
      <w:r>
        <w:t xml:space="preserve">(7,104 predictor</w:t>
      </w:r>
      <w:r>
        <w:t xml:space="preserve"> </w:t>
      </w:r>
      <m:oMath>
        <m:r>
          <m:rPr>
            <m:sty m:val="p"/>
          </m:rPr>
          <m:t>×</m:t>
        </m:r>
      </m:oMath>
      <w:r>
        <w:t xml:space="preserve"> </w:t>
      </w:r>
      <w:r>
        <w:t xml:space="preserve">cell tests) under two nulls. The naive correlation test</w:t>
      </w:r>
      <w:r>
        <w:t xml:space="preserve"> </w:t>
      </w:r>
      <w:r>
        <w:t xml:space="preserve">treats districts as independent. Because they are not — two smooth surfaces</w:t>
      </w:r>
      <w:r>
        <w:t xml:space="preserve"> </w:t>
      </w:r>
      <w:r>
        <w:t xml:space="preserve">correlate by construction — we also used a restricted permutation that shuffles</w:t>
      </w:r>
      <w:r>
        <w:t xml:space="preserve"> </w:t>
      </w:r>
      <w:r>
        <w:t xml:space="preserve">the outcome</w:t>
      </w:r>
      <w:r>
        <w:t xml:space="preserve"> </w:t>
      </w:r>
      <w:r>
        <w:rPr>
          <w:i/>
          <w:iCs/>
        </w:rPr>
        <w:t xml:space="preserve">within</w:t>
      </w:r>
      <w:r>
        <w:t xml:space="preserve"> </w:t>
      </w:r>
      <w:r>
        <w:t xml:space="preserve">admin-1 regions, holding the regional pattern fixed and</w:t>
      </w:r>
      <w:r>
        <w:t xml:space="preserve"> </w:t>
      </w:r>
      <w:r>
        <w:t xml:space="preserve">asking what a predictor adds on top of geography.</w:t>
      </w:r>
    </w:p>
    <w:p>
      <w:pPr>
        <w:pStyle w:val="BodyText"/>
      </w:pPr>
      <w:r>
        <w:t xml:space="preserve">Under the naive test 1,209 tests (17.0%) reached</w:t>
      </w:r>
      <w:r>
        <w:t xml:space="preserve"> </w:t>
      </w:r>
      <m:oMath>
        <m:r>
          <m:t>p</m:t>
        </m:r>
        <m:r>
          <m:rPr>
            <m:sty m:val="p"/>
          </m:rPr>
          <m:t>&lt;</m:t>
        </m:r>
        <m:r>
          <m:t>0.05</m:t>
        </m:r>
      </m:oMath>
      <w:r>
        <w:t xml:space="preserve"> </w:t>
      </w:r>
      <w:r>
        <w:t xml:space="preserve">against 355 expected by</w:t>
      </w:r>
      <w:r>
        <w:t xml:space="preserve"> </w:t>
      </w:r>
      <w:r>
        <w:t xml:space="preserve">chance, a 3.4-fold enrichment, and 310 survived Benjamini–Hochberg control across</w:t>
      </w:r>
      <w:r>
        <w:t xml:space="preserve"> </w:t>
      </w:r>
      <w:r>
        <w:t xml:space="preserve">all cells. Under the spatially restricted null the enrichment fell to 1.5-fold</w:t>
      </w:r>
      <w:r>
        <w:t xml:space="preserve"> </w:t>
      </w:r>
      <w:r>
        <w:t xml:space="preserve">(519 tests, 7.3%) and</w:t>
      </w:r>
      <w:r>
        <w:t xml:space="preserve"> </w:t>
      </w:r>
      <w:r>
        <w:rPr>
          <w:b/>
          <w:bCs/>
        </w:rPr>
        <w:t xml:space="preserve">no predictor survived FDR control in any cell</w:t>
      </w:r>
      <w:r>
        <w:t xml:space="preserve">, either</w:t>
      </w:r>
      <w:r>
        <w:t xml:space="preserve"> </w:t>
      </w:r>
      <w:r>
        <w:t xml:space="preserve">within-cell or globally. The strongest associations are mechanistically</w:t>
      </w:r>
      <w:r>
        <w:t xml:space="preserve"> </w:t>
      </w:r>
      <w:r>
        <w:t xml:space="preserve">plausible and still fail multiplicity: Gambian women’s iron against women’s</w:t>
      </w:r>
      <w:r>
        <w:t xml:space="preserve"> </w:t>
      </w:r>
      <w:r>
        <w:t xml:space="preserve">secondary education (</w:t>
      </w:r>
      <m:oMath>
        <m:r>
          <m:t>r</m:t>
        </m:r>
        <m:r>
          <m:rPr>
            <m:sty m:val="p"/>
          </m:rPr>
          <m:t>=</m:t>
        </m:r>
        <m:r>
          <m:rPr>
            <m:sty m:val="p"/>
          </m:rPr>
          <m:t>−</m:t>
        </m:r>
        <m:r>
          <m:t>0.76</m:t>
        </m:r>
      </m:oMath>
      <w:r>
        <w:t xml:space="preserve">,</w:t>
      </w:r>
      <w:r>
        <w:t xml:space="preserve"> </w:t>
      </w:r>
      <m:oMath>
        <m:sSub>
          <m:e>
            <m:r>
              <m:t>p</m:t>
            </m:r>
          </m:e>
          <m:sub>
            <m:r>
              <m:rPr>
                <m:nor/>
                <m:sty m:val="p"/>
              </m:rPr>
              <m:t>perm</m:t>
            </m:r>
          </m:sub>
        </m:sSub>
        <m:r>
          <m:rPr>
            <m:sty m:val="p"/>
          </m:rPr>
          <m:t>=</m:t>
        </m:r>
        <m:r>
          <m:t>0.002</m:t>
        </m:r>
      </m:oMath>
      <w:r>
        <w:t xml:space="preserve">,</w:t>
      </w:r>
      <w:r>
        <w:t xml:space="preserve"> </w:t>
      </w:r>
      <m:oMath>
        <m:r>
          <m:t>q</m:t>
        </m:r>
        <m:r>
          <m:rPr>
            <m:sty m:val="p"/>
          </m:rPr>
          <m:t>=</m:t>
        </m:r>
        <m:r>
          <m:t>0.20</m:t>
        </m:r>
      </m:oMath>
      <w:r>
        <w:t xml:space="preserve">) and Gambian</w:t>
      </w:r>
      <w:r>
        <w:t xml:space="preserve"> </w:t>
      </w:r>
      <w:r>
        <w:t xml:space="preserve">women’s vitamin A against 2019 precipitation (</w:t>
      </w:r>
      <m:oMath>
        <m:r>
          <m:t>r</m:t>
        </m:r>
        <m:r>
          <m:rPr>
            <m:sty m:val="p"/>
          </m:rPr>
          <m:t>=</m:t>
        </m:r>
        <m:r>
          <m:rPr>
            <m:sty m:val="p"/>
          </m:rPr>
          <m:t>−</m:t>
        </m:r>
        <m:r>
          <m:t>0.64</m:t>
        </m:r>
      </m:oMath>
      <w:r>
        <w:t xml:space="preserve">).</w:t>
      </w:r>
    </w:p>
    <w:p>
      <w:pPr>
        <w:pStyle w:val="BodyText"/>
      </w:pPr>
      <w:r>
        <w:t xml:space="preserve">Penalised regression gives the same answer from the multivariable side. Elastic</w:t>
      </w:r>
      <w:r>
        <w:t xml:space="preserve"> </w:t>
      </w:r>
      <w:r>
        <w:t xml:space="preserve">net with cross-validated</w:t>
      </w:r>
      <w:r>
        <w:t xml:space="preserve"> </w:t>
      </w:r>
      <m:oMath>
        <m:sSub>
          <m:e>
            <m:r>
              <m:t>λ</m:t>
            </m:r>
          </m:e>
          <m:sub>
            <m:r>
              <m:t>1</m:t>
            </m:r>
            <m:r>
              <m:rPr>
                <m:nor/>
                <m:sty m:val="p"/>
              </m:rPr>
              <m:t>se</m:t>
            </m:r>
          </m:sub>
        </m:sSub>
      </m:oMath>
      <w:r>
        <w:t xml:space="preserve"> </w:t>
      </w:r>
      <w:r>
        <w:t xml:space="preserve">retained a median of</w:t>
      </w:r>
      <w:r>
        <w:t xml:space="preserve"> </w:t>
      </w:r>
      <w:r>
        <w:rPr>
          <w:b/>
          <w:bCs/>
        </w:rPr>
        <w:t xml:space="preserve">zero</w:t>
      </w:r>
      <w:r>
        <w:t xml:space="preserve"> </w:t>
      </w:r>
      <w:r>
        <w:t xml:space="preserve">predictors, with</w:t>
      </w:r>
      <w:r>
        <w:t xml:space="preserve"> </w:t>
      </w:r>
      <w:r>
        <w:rPr>
          <w:b/>
          <w:bCs/>
        </w:rPr>
        <w:t xml:space="preserve">13 of 18 cells retaining none</w:t>
      </w:r>
      <w:r>
        <w:t xml:space="preserve"> </w:t>
      </w:r>
      <w:r>
        <w:t xml:space="preserve">and mean deviance explained of</w:t>
      </w:r>
      <w:r>
        <w:t xml:space="preserve"> </w:t>
      </w:r>
      <w:r>
        <w:t xml:space="preserve">0.063. Every cell that retained predictors was an iron outcome except one</w:t>
      </w:r>
      <w:r>
        <w:t xml:space="preserve"> </w:t>
      </w:r>
      <w:r>
        <w:t xml:space="preserve">(Ghana child vitamin A); Malawi retained nothing across all eight of its</w:t>
      </w:r>
      <w:r>
        <w:t xml:space="preserve"> </w:t>
      </w:r>
      <w:r>
        <w:t xml:space="preserve">outcomes despite having the largest district sample (87).</w:t>
      </w:r>
    </w:p>
    <w:p>
      <w:pPr>
        <w:pStyle w:val="BodyText"/>
      </w:pPr>
      <w:r>
        <w:t xml:space="preserve">These two analyses should be read narrowly. The restricted permutation is</w:t>
      </w:r>
      <w:r>
        <w:t xml:space="preserve"> </w:t>
      </w:r>
      <w:r>
        <w:t xml:space="preserve">deliberately conservative and does not test the same quantity as the</w:t>
      </w:r>
      <w:r>
        <w:t xml:space="preserve"> </w:t>
      </w:r>
      <w:r>
        <w:t xml:space="preserve">leave-one-region-out models, which predict held-out regions and therefore draw</w:t>
      </w:r>
      <w:r>
        <w:t xml:space="preserve"> </w:t>
      </w:r>
      <w:r>
        <w:t xml:space="preserve">on between-region variation. The honest summary is that between-region</w:t>
      </w:r>
      <w:r>
        <w:t xml:space="preserve"> </w:t>
      </w:r>
      <w:r>
        <w:t xml:space="preserve">association exists but is confounded with spatial smoothness, while within</w:t>
      </w:r>
      <w:r>
        <w:t xml:space="preserve"> </w:t>
      </w:r>
      <w:r>
        <w:t xml:space="preserve">region — beyond what geography already supplies — we cannot demonstrate signal.</w:t>
      </w:r>
      <w:r>
        <w:t xml:space="preserve"> </w:t>
      </w:r>
      <w:r>
        <w:t xml:space="preserve">That is precisely why a covariate-free spatial smoother matches the full</w:t>
      </w:r>
      <w:r>
        <w:t xml:space="preserve"> </w:t>
      </w:r>
      <w:r>
        <w:t xml:space="preserve">294-predictor set at admin-2, and the two findings have one explanation.</w:t>
      </w:r>
    </w:p>
    <w:bookmarkEnd w:id="53"/>
    <w:bookmarkStart w:id="54" w:name="sec-resolution"/>
    <w:p>
      <w:pPr>
        <w:pStyle w:val="Heading2"/>
      </w:pPr>
      <w:r>
        <w:t xml:space="preserve">3.10 Does the geographic unit change the answer?</w:t>
      </w:r>
    </w:p>
    <w:p>
      <w:pPr>
        <w:pStyle w:val="FirstParagraph"/>
      </w:pPr>
      <w:r>
        <w:t xml:space="preserve">If the binding constraint is the precision of the district target rather than</w:t>
      </w:r>
      <w:r>
        <w:t xml:space="preserve"> </w:t>
      </w:r>
      <w:r>
        <w:t xml:space="preserve">the modelling, then coarsening the unit should help: admin-1 regions pool more</w:t>
      </w:r>
      <w:r>
        <w:t xml:space="preserve"> </w:t>
      </w:r>
      <w:r>
        <w:t xml:space="preserve">respondents, so the target is measured better, even though far fewer units</w:t>
      </w:r>
      <w:r>
        <w:t xml:space="preserve"> </w:t>
      </w:r>
      <w:r>
        <w:t xml:space="preserve">remain. We tested this by running the same three arms — a training-mean null, a</w:t>
      </w:r>
      <w:r>
        <w:t xml:space="preserve"> </w:t>
      </w:r>
      <w:r>
        <w:t xml:space="preserve">covariate-free spatial smoother, and the covariate ensemble — through identical</w:t>
      </w:r>
      <w:r>
        <w:t xml:space="preserve"> </w:t>
      </w:r>
      <w:r>
        <w:t xml:space="preserve">leave-one-unit-out folds at both resolutions, holding learner, screening,</w:t>
      </w:r>
      <w:r>
        <w:t xml:space="preserve"> </w:t>
      </w:r>
      <w:r>
        <w:t xml:space="preserve">weighting and scoring fixed so that only the unit changes.</w:t>
      </w:r>
    </w:p>
    <w:p>
      <w:pPr>
        <w:pStyle w:val="BodyText"/>
      </w:pPr>
      <w:r>
        <w:t xml:space="preserve">At admin-2 the covariate ensemble and the spatial smoother are barely</w:t>
      </w:r>
      <w:r>
        <w:t xml:space="preserve"> </w:t>
      </w:r>
      <w:r>
        <w:t xml:space="preserve">distinguishable (mean</w:t>
      </w:r>
      <w:r>
        <w:t xml:space="preserve"> </w:t>
      </w:r>
      <m:oMath>
        <m:r>
          <m:t>r</m:t>
        </m:r>
      </m:oMath>
      <w:r>
        <w:t xml:space="preserve"> </w:t>
      </w:r>
      <w:r>
        <w:t xml:space="preserve">0.156 vs 0.137), and the smoother has the lower mean</w:t>
      </w:r>
      <w:r>
        <w:t xml:space="preserve"> </w:t>
      </w:r>
      <w:r>
        <w:t xml:space="preserve">absolute error (9.39 vs 10.51 pp); covariates beat geography in only 6 of 24</w:t>
      </w:r>
      <w:r>
        <w:t xml:space="preserve"> </w:t>
      </w:r>
      <w:r>
        <w:t xml:space="preserve">cells. At admin-1 the ensemble roughly triples its rank correlation and pulls</w:t>
      </w:r>
      <w:r>
        <w:t xml:space="preserve"> </w:t>
      </w:r>
      <w:r>
        <w:t xml:space="preserve">clearly ahead (0.437 vs 0.209, 7 of 14 cells). Only Ghana (16 regions) and</w:t>
      </w:r>
      <w:r>
        <w:t xml:space="preserve"> </w:t>
      </w:r>
      <w:r>
        <w:t xml:space="preserve">Malawi (27) are estimable at admin-1; The Gambia (6 regions) and Sierra Leone</w:t>
      </w:r>
      <w:r>
        <w:t xml:space="preserve"> </w:t>
      </w:r>
      <w:r>
        <w:t xml:space="preserve">(4) fall below any reasonable threshold for leave-one-out estimation and are</w:t>
      </w:r>
      <w:r>
        <w:t xml:space="preserve"> </w:t>
      </w:r>
      <w:r>
        <w:t xml:space="preserve">reported as not estimable rather than dropped silently.</w:t>
      </w:r>
    </w:p>
    <w:p>
      <w:pPr>
        <w:pStyle w:val="BodyText"/>
      </w:pPr>
      <w:r>
        <w:t xml:space="preserve">A hybrid that selects the unit</w:t>
      </w:r>
      <w:r>
        <w:t xml:space="preserve"> </w:t>
      </w:r>
      <w:r>
        <w:rPr>
          <w:b/>
          <w:bCs/>
        </w:rPr>
        <w:t xml:space="preserve">a priori from the number of regions</w:t>
      </w:r>
      <w:r>
        <w:t xml:space="preserve"> </w:t>
      </w:r>
      <w:r>
        <w:t xml:space="preserve">— admin-1</w:t>
      </w:r>
      <w:r>
        <w:t xml:space="preserve"> </w:t>
      </w:r>
      <w:r>
        <w:t xml:space="preserve">where a country has at least eight, admin-2 otherwise, a rule that depends only</w:t>
      </w:r>
      <w:r>
        <w:t xml:space="preserve"> </w:t>
      </w:r>
      <w:r>
        <w:t xml:space="preserve">on how a country is subdivided and never on performance — reaches mean</w:t>
      </w:r>
      <w:r>
        <w:t xml:space="preserve"> </w:t>
      </w:r>
      <m:oMath>
        <m:r>
          <m:t>r</m:t>
        </m:r>
      </m:oMath>
      <w:r>
        <w:t xml:space="preserve"> </w:t>
      </w:r>
      <w:r>
        <w:t xml:space="preserve">0.304</w:t>
      </w:r>
      <w:r>
        <w:t xml:space="preserve"> </w:t>
      </w:r>
      <w:r>
        <w:t xml:space="preserve">and 7.25 pp across all 24 cells, roughly double the admin-2-everywhere</w:t>
      </w:r>
      <w:r>
        <w:t xml:space="preserve"> </w:t>
      </w:r>
      <w:r>
        <w:t xml:space="preserve">correlation while retaining all four countries. Selecting the unit by which</w:t>
      </w:r>
      <w:r>
        <w:t xml:space="preserve"> </w:t>
      </w:r>
      <w:r>
        <w:t xml:space="preserve">performed better would be selection on the test data, of exactly the kind</w:t>
      </w:r>
      <w:r>
        <w:t xml:space="preserve"> </w:t>
      </w:r>
      <w:r>
        <w:t xml:space="preserve">quantified in</w:t>
      </w:r>
      <w:r>
        <w:t xml:space="preserve"> </w:t>
      </w:r>
      <w:hyperlink w:anchor="sec-fdr">
        <w:r>
          <w:rPr>
            <w:rStyle w:val="Hyperlink"/>
          </w:rPr>
          <w:t xml:space="preserve">Section 3.9</w:t>
        </w:r>
      </w:hyperlink>
      <w:r>
        <w:t xml:space="preserve">.</w:t>
      </w:r>
    </w:p>
    <w:p>
      <w:pPr>
        <w:pStyle w:val="BodyText"/>
      </w:pPr>
      <w:r>
        <w:t xml:space="preserve">The most programmatically legible form of this result classifies districts into</w:t>
      </w:r>
      <w:r>
        <w:t xml:space="preserve"> </w:t>
      </w:r>
      <w:r>
        <w:t xml:space="preserve">the WHO public-health categories for child vitamin A. At admin-2 the covariate</w:t>
      </w:r>
      <w:r>
        <w:t xml:space="preserve"> </w:t>
      </w:r>
      <w:r>
        <w:t xml:space="preserve">model assigns the correct category 33% of the time against</w:t>
      </w:r>
      <w:r>
        <w:t xml:space="preserve"> </w:t>
      </w:r>
      <w:r>
        <w:rPr>
          <w:b/>
          <w:bCs/>
        </w:rPr>
        <w:t xml:space="preserve">32% for assigning</w:t>
      </w:r>
      <w:r>
        <w:rPr>
          <w:b/>
          <w:bCs/>
        </w:rPr>
        <w:t xml:space="preserve"> </w:t>
      </w:r>
      <w:r>
        <w:rPr>
          <w:b/>
          <w:bCs/>
        </w:rPr>
        <w:t xml:space="preserve">every district the national prevalence</w:t>
      </w:r>
      <w:r>
        <w:t xml:space="preserve"> </w:t>
      </w:r>
      <w:r>
        <w:t xml:space="preserve">— no better than the null. At admin-1</w:t>
      </w:r>
      <w:r>
        <w:t xml:space="preserve"> </w:t>
      </w:r>
      <w:r>
        <w:t xml:space="preserve">the same comparison is 56% against 35%. The admin-1 figure reproduces the 56%</w:t>
      </w:r>
      <w:r>
        <w:t xml:space="preserve"> </w:t>
      </w:r>
      <w:r>
        <w:t xml:space="preserve">reported in an earlier project presentation.</w:t>
      </w:r>
    </w:p>
    <w:p>
      <w:pPr>
        <w:pStyle w:val="BodyText"/>
      </w:pPr>
      <w:r>
        <w:t xml:space="preserve">We attach two cautions. The largest admin-1 gains occur on the rarest outcomes,</w:t>
      </w:r>
      <w:r>
        <w:t xml:space="preserve"> </w:t>
      </w:r>
      <w:r>
        <w:t xml:space="preserve">where admin-2 districts contain 0–2 cases and admin-1 regions are the first unit</w:t>
      </w:r>
      <w:r>
        <w:t xml:space="preserve"> </w:t>
      </w:r>
      <w:r>
        <w:t xml:space="preserve">at which cases accumulate; much of the advantage is therefore a sample-size</w:t>
      </w:r>
      <w:r>
        <w:t xml:space="preserve"> </w:t>
      </w:r>
      <w:r>
        <w:t xml:space="preserve">effect rather than evidence that covariates are more informative at that scale.</w:t>
      </w:r>
      <w:r>
        <w:t xml:space="preserve"> </w:t>
      </w:r>
      <w:r>
        <w:t xml:space="preserve">And on absolute error rather than ranking, covariates beat geography in only 7</w:t>
      </w:r>
      <w:r>
        <w:t xml:space="preserve"> </w:t>
      </w:r>
      <w:r>
        <w:t xml:space="preserve">of 14 admin-1 cells.</w:t>
      </w:r>
    </w:p>
    <w:bookmarkEnd w:id="54"/>
    <w:bookmarkStart w:id="55" w:name="sec-continuous"/>
    <w:p>
      <w:pPr>
        <w:pStyle w:val="Heading2"/>
      </w:pPr>
      <w:r>
        <w:t xml:space="preserve">3.11 Modelling the biomarker rather than the binary</w:t>
      </w:r>
    </w:p>
    <w:p>
      <w:pPr>
        <w:pStyle w:val="FirstParagraph"/>
      </w:pPr>
      <w:r>
        <w:t xml:space="preserve">Every district outcome above is a prevalence — the share of respondents below a</w:t>
      </w:r>
      <w:r>
        <w:t xml:space="preserve"> </w:t>
      </w:r>
      <w:r>
        <w:t xml:space="preserve">cutoff — and dichotomising discards information, most severely when the outcome</w:t>
      </w:r>
      <w:r>
        <w:t xml:space="preserve"> </w:t>
      </w:r>
      <w:r>
        <w:t xml:space="preserve">is rare. We therefore tested modelling the district mean of the log biomarker</w:t>
      </w:r>
      <w:r>
        <w:t xml:space="preserve"> </w:t>
      </w:r>
      <w:r>
        <w:t xml:space="preserve">and converting to prevalence afterwards, against the binary model, in 22 cells</w:t>
      </w:r>
      <w:r>
        <w:t xml:space="preserve"> </w:t>
      </w:r>
      <w:r>
        <w:t xml:space="preserve">under identical leave-one-region-out folds, covariates and learner stack.</w:t>
      </w:r>
    </w:p>
    <w:p>
      <w:pPr>
        <w:pStyle w:val="BodyText"/>
      </w:pPr>
      <w:r>
        <w:t xml:space="preserve">Converting a</w:t>
      </w:r>
      <w:r>
        <w:t xml:space="preserve"> </w:t>
      </w:r>
      <w:r>
        <w:rPr>
          <w:i/>
          <w:iCs/>
        </w:rPr>
        <w:t xml:space="preserve">predicted</w:t>
      </w:r>
      <w:r>
        <w:t xml:space="preserve"> </w:t>
      </w:r>
      <w:r>
        <w:t xml:space="preserve">mean gave a mean absolute error of 10.80 pp against</w:t>
      </w:r>
      <w:r>
        <w:t xml:space="preserve"> </w:t>
      </w:r>
      <w:r>
        <w:t xml:space="preserve">9.40 pp for the binary model, with a marginally better rank correlation (0.196</w:t>
      </w:r>
      <w:r>
        <w:t xml:space="preserve"> </w:t>
      </w:r>
      <w:r>
        <w:t xml:space="preserve">vs 0.168). Neither beat a national-mean null (8.06 pp), which the binary model</w:t>
      </w:r>
      <w:r>
        <w:t xml:space="preserve"> </w:t>
      </w:r>
      <w:r>
        <w:t xml:space="preserve">beat in 4 of 22 cells and the continuous model in 2.</w:t>
      </w:r>
    </w:p>
    <w:p>
      <w:pPr>
        <w:pStyle w:val="BodyText"/>
      </w:pPr>
      <w:r>
        <w:t xml:space="preserve">The informative arm is a third one, which converts the</w:t>
      </w:r>
      <w:r>
        <w:t xml:space="preserve"> </w:t>
      </w:r>
      <w:r>
        <w:rPr>
          <w:i/>
          <w:iCs/>
        </w:rPr>
        <w:t xml:space="preserve">observed</w:t>
      </w:r>
      <w:r>
        <w:t xml:space="preserve"> </w:t>
      </w:r>
      <w:r>
        <w:t xml:space="preserve">district mean</w:t>
      </w:r>
      <w:r>
        <w:t xml:space="preserve"> </w:t>
      </w:r>
      <w:r>
        <w:t xml:space="preserve">through the same transformation and therefore performs no prediction at all.</w:t>
      </w:r>
      <w:r>
        <w:t xml:space="preserve"> </w:t>
      </w:r>
      <w:r>
        <w:t xml:space="preserve">It achieves 7.49 pp and</w:t>
      </w:r>
      <w:r>
        <w:t xml:space="preserve"> </w:t>
      </w:r>
      <m:oMath>
        <m:r>
          <m:t>r</m:t>
        </m:r>
        <m:r>
          <m:rPr>
            <m:sty m:val="p"/>
          </m:rPr>
          <m:t>=</m:t>
        </m:r>
        <m:r>
          <m:t>0.672</m:t>
        </m:r>
      </m:oMath>
      <w:r>
        <w:t xml:space="preserve">, beating every other arm including the null</w:t>
      </w:r>
      <w:r>
        <w:t xml:space="preserve"> </w:t>
      </w:r>
      <w:r>
        <w:t xml:space="preserve">and beating the binary model in 14 of 22 cells. The mean-to-prevalence</w:t>
      </w:r>
      <w:r>
        <w:t xml:space="preserve"> </w:t>
      </w:r>
      <w:r>
        <w:t xml:space="preserve">conversion is therefore not the limitation: a well-predicted district mean would</w:t>
      </w:r>
      <w:r>
        <w:t xml:space="preserve"> </w:t>
      </w:r>
      <w:r>
        <w:t xml:space="preserve">convert to prevalence more accurately than anything the current models produce.</w:t>
      </w:r>
      <w:r>
        <w:t xml:space="preserve"> </w:t>
      </w:r>
      <w:r>
        <w:t xml:space="preserve">The deficit lies entirely in predicting the mean, which fails for the same</w:t>
      </w:r>
      <w:r>
        <w:t xml:space="preserve"> </w:t>
      </w:r>
      <w:r>
        <w:t xml:space="preserve">reason prevalence prediction fails — in 9 of 22 cells the root-mean-square error</w:t>
      </w:r>
      <w:r>
        <w:t xml:space="preserve"> </w:t>
      </w:r>
      <w:r>
        <w:t xml:space="preserve">of the predicted district mean exceeded the between-district standard deviation.</w:t>
      </w:r>
      <w:r>
        <w:t xml:space="preserve"> </w:t>
      </w:r>
      <w:r>
        <w:t xml:space="preserve">A fourth arm using each district’s own within-district standard deviation rather</w:t>
      </w:r>
      <w:r>
        <w:t xml:space="preserve"> </w:t>
      </w:r>
      <w:r>
        <w:t xml:space="preserve">than a pooled one raised rank correlation from 0.196 to 0.434; that arm uses</w:t>
      </w:r>
      <w:r>
        <w:t xml:space="preserve"> </w:t>
      </w:r>
      <w:r>
        <w:t xml:space="preserve">held-out information and is reported only as a bound, but it indicates that</w:t>
      </w:r>
      <w:r>
        <w:t xml:space="preserve"> </w:t>
      </w:r>
      <w:r>
        <w:t xml:space="preserve">within-district spread carries information a single pooled standard deviation</w:t>
      </w:r>
      <w:r>
        <w:t xml:space="preserve"> </w:t>
      </w:r>
      <w:r>
        <w:t xml:space="preserve">discards.</w:t>
      </w:r>
    </w:p>
    <w:p>
      <w:pPr>
        <w:pStyle w:val="BodyText"/>
      </w:pPr>
      <w:r>
        <w:t xml:space="preserve">Stratifying by prevalence supports the motivating intuition with one</w:t>
      </w:r>
      <w:r>
        <w:t xml:space="preserve"> </w:t>
      </w:r>
      <w:r>
        <w:t xml:space="preserve">qualification. For outcomes below 5% prevalence the continuous route reduced</w:t>
      </w:r>
      <w:r>
        <w:t xml:space="preserve"> </w:t>
      </w:r>
      <w:r>
        <w:t xml:space="preserve">mean absolute error from 4.61 to 2.99 pp, while for mid-range and common</w:t>
      </w:r>
      <w:r>
        <w:t xml:space="preserve"> </w:t>
      </w:r>
      <w:r>
        <w:t xml:space="preserve">outcomes it was worse (8.77 to 11.86 pp and 15.25 to 16.84 pp). That average is</w:t>
      </w:r>
      <w:r>
        <w:t xml:space="preserve"> </w:t>
      </w:r>
      <w:r>
        <w:t xml:space="preserve">dominated by a single cell: Sierra Leone women’s B12, at 0.61% prevalence, where</w:t>
      </w:r>
      <w:r>
        <w:t xml:space="preserve"> </w:t>
      </w:r>
      <w:r>
        <w:t xml:space="preserve">the binary model produced a 7.67 pp error — implausible for an outcome of that</w:t>
      </w:r>
      <w:r>
        <w:t xml:space="preserve"> </w:t>
      </w:r>
      <w:r>
        <w:t xml:space="preserve">magnitude — against 0.53 pp for the continuous route. Excluding it, the</w:t>
      </w:r>
      <w:r>
        <w:t xml:space="preserve"> </w:t>
      </w:r>
      <w:r>
        <w:t xml:space="preserve">continuous approach wins three of the remaining five rare cells by modest</w:t>
      </w:r>
      <w:r>
        <w:t xml:space="preserve"> </w:t>
      </w:r>
      <w:r>
        <w:t xml:space="preserve">margins. We therefore regard modelling the continuous biomarker as worthwhile</w:t>
      </w:r>
      <w:r>
        <w:t xml:space="preserve"> </w:t>
      </w:r>
      <w:r>
        <w:t xml:space="preserve">specifically for rare outcomes, where the binary model can fail badly, and not</w:t>
      </w:r>
      <w:r>
        <w:t xml:space="preserve"> </w:t>
      </w:r>
      <w:r>
        <w:t xml:space="preserve">as a general replacement.</w:t>
      </w:r>
    </w:p>
    <w:bookmarkEnd w:id="55"/>
    <w:bookmarkStart w:id="56" w:name="sec-zscore"/>
    <w:p>
      <w:pPr>
        <w:pStyle w:val="Heading2"/>
      </w:pPr>
      <w:r>
        <w:t xml:space="preserve">3.12 What the model should be asked to carry across a border</w:t>
      </w:r>
    </w:p>
    <w:p>
      <w:pPr>
        <w:pStyle w:val="FirstParagraph"/>
      </w:pPr>
      <w:r>
        <w:t xml:space="preserve">Since district ranking transports but the absolute level does not, a natural</w:t>
      </w:r>
      <w:r>
        <w:t xml:space="preserve"> </w:t>
      </w:r>
      <w:r>
        <w:t xml:space="preserve">step is to stop asking the model to carry the level at all. We tested two</w:t>
      </w:r>
      <w:r>
        <w:t xml:space="preserve"> </w:t>
      </w:r>
      <w:r>
        <w:t xml:space="preserve">versions of that idea and they gave opposite answers, which is itself</w:t>
      </w:r>
      <w:r>
        <w:t xml:space="preserve"> </w:t>
      </w:r>
      <w:r>
        <w:t xml:space="preserve">instructive.</w:t>
      </w:r>
    </w:p>
    <w:p>
      <w:pPr>
        <w:pStyle w:val="BodyText"/>
      </w:pPr>
      <w:r>
        <w:t xml:space="preserve">Fitting each district’s deviation from its own country’s national prevalence —</w:t>
      </w:r>
      <w:r>
        <w:t xml:space="preserve"> </w:t>
      </w:r>
      <w:r>
        <w:t xml:space="preserve">removing the level but leaving the between-country spread in the target —</w:t>
      </w:r>
      <w:r>
        <w:t xml:space="preserve"> </w:t>
      </w:r>
      <w:r>
        <w:t xml:space="preserve">does not help. Rank correlation fell from 0.201 to 0.140, and the apparent</w:t>
      </w:r>
      <w:r>
        <w:t xml:space="preserve"> </w:t>
      </w:r>
      <w:r>
        <w:t xml:space="preserve">improvement in absolute error was entirely attributable to being handed the</w:t>
      </w:r>
      <w:r>
        <w:t xml:space="preserve"> </w:t>
      </w:r>
      <w:r>
        <w:t xml:space="preserve">held-out country’s national prevalence: an arm that predicts that national</w:t>
      </w:r>
      <w:r>
        <w:t xml:space="preserve"> </w:t>
      </w:r>
      <w:r>
        <w:t xml:space="preserve">figure for every district, using no covariates whatsoever, achieved a lower</w:t>
      </w:r>
      <w:r>
        <w:t xml:space="preserve"> </w:t>
      </w:r>
      <w:r>
        <w:t xml:space="preserve">mean absolute error (9.85 pp) and lower bias (5.68 pp) than any covariate arm,</w:t>
      </w:r>
      <w:r>
        <w:t xml:space="preserve"> </w:t>
      </w:r>
      <w:r>
        <w:t xml:space="preserve">and the deviation model beat it in only 4 of 16 cells.</w:t>
      </w:r>
    </w:p>
    <w:p>
      <w:pPr>
        <w:pStyle w:val="BodyText"/>
      </w:pPr>
      <w:r>
        <w:t xml:space="preserve">Removing the between-country</w:t>
      </w:r>
      <w:r>
        <w:t xml:space="preserve"> </w:t>
      </w:r>
      <w:r>
        <w:rPr>
          <w:i/>
          <w:iCs/>
        </w:rPr>
        <w:t xml:space="preserve">spread</w:t>
      </w:r>
      <w:r>
        <w:t xml:space="preserve"> </w:t>
      </w:r>
      <w:r>
        <w:t xml:space="preserve">as well is what works. Fitting the</w:t>
      </w:r>
      <w:r>
        <w:t xml:space="preserve"> </w:t>
      </w:r>
      <w:r>
        <w:t xml:space="preserve">within-country z-score of the transformed prevalence makes both level and</w:t>
      </w:r>
      <w:r>
        <w:t xml:space="preserve"> </w:t>
      </w:r>
      <w:r>
        <w:t xml:space="preserve">spread structurally unlearnable, so the model can carry only spatial pattern;</w:t>
      </w:r>
      <w:r>
        <w:t xml:space="preserve"> </w:t>
      </w:r>
      <w:r>
        <w:t xml:space="preserve">both are restored at prediction time from an anchor. Across the four shared</w:t>
      </w:r>
      <w:r>
        <w:t xml:space="preserve"> </w:t>
      </w:r>
      <w:r>
        <w:t xml:space="preserve">outcomes this raised mean Spearman correlation from 0.146 to 0.199 (+0.053,</w:t>
      </w:r>
      <w:r>
        <w:t xml:space="preserve"> </w:t>
      </w:r>
      <w:r>
        <w:t xml:space="preserve">better in 3 of 4 outcomes), and reduced mean absolute error from 13.8 to 10.0</w:t>
      </w:r>
      <w:r>
        <w:t xml:space="preserve"> </w:t>
      </w:r>
      <w:r>
        <w:t xml:space="preserve">pp and mean absolute national bias from 10.2 to 5.9 pp.</w:t>
      </w:r>
    </w:p>
    <w:p>
      <w:pPr>
        <w:pStyle w:val="BodyText"/>
      </w:pPr>
      <w:r>
        <w:t xml:space="preserve">Those two families of improvement have different standing and should not be</w:t>
      </w:r>
      <w:r>
        <w:t xml:space="preserve"> </w:t>
      </w:r>
      <w:r>
        <w:t xml:space="preserve">quoted together. Rescaling by a positive constant and adding an offset cannot</w:t>
      </w:r>
      <w:r>
        <w:t xml:space="preserve"> </w:t>
      </w:r>
      <w:r>
        <w:t xml:space="preserve">reorder predictions, so the rank gain follows from fitting a different target</w:t>
      </w:r>
      <w:r>
        <w:t xml:space="preserve"> </w:t>
      </w:r>
      <w:r>
        <w:t xml:space="preserve">and is a property of the model. The larger error and bias gains follow mostly</w:t>
      </w:r>
      <w:r>
        <w:t xml:space="preserve"> </w:t>
      </w:r>
      <w:r>
        <w:t xml:space="preserve">from the anchor, which requires the held-out country’s national prevalence —</w:t>
      </w:r>
      <w:r>
        <w:t xml:space="preserve"> </w:t>
      </w:r>
      <w:r>
        <w:t xml:space="preserve">a realistic requirement, since a national figure typically exists where</w:t>
      </w:r>
      <w:r>
        <w:t xml:space="preserve"> </w:t>
      </w:r>
      <w:r>
        <w:t xml:space="preserve">district-level biomarker data does not, but an assumption about deployment</w:t>
      </w:r>
      <w:r>
        <w:t xml:space="preserve"> </w:t>
      </w:r>
      <w:r>
        <w:t xml:space="preserve">rather than evidence that the covariates improved.</w:t>
      </w:r>
    </w:p>
    <w:p>
      <w:pPr>
        <w:pStyle w:val="BodyText"/>
      </w:pPr>
      <w:r>
        <w:t xml:space="preserve">Two further changes suggested by the same exploratory work did not replicate on</w:t>
      </w:r>
      <w:r>
        <w:t xml:space="preserve"> </w:t>
      </w:r>
      <w:r>
        <w:t xml:space="preserve">the harmonised covariate set and we report them as negative results. Fitting on</w:t>
      </w:r>
      <w:r>
        <w:t xml:space="preserve"> </w:t>
      </w:r>
      <w:r>
        <w:t xml:space="preserve">the raw prevalence scale rather than the clamped logit scale, which had been</w:t>
      </w:r>
      <w:r>
        <w:t xml:space="preserve"> </w:t>
      </w:r>
      <w:r>
        <w:t xml:space="preserve">expected to help because 8 of 24 cells have more than 40% of districts observed</w:t>
      </w:r>
      <w:r>
        <w:t xml:space="preserve"> </w:t>
      </w:r>
      <w:r>
        <w:t xml:space="preserve">at exactly zero prevalence, gave −0.020 mean Spearman (better in 2 of 4).</w:t>
      </w:r>
      <w:r>
        <w:t xml:space="preserve"> </w:t>
      </w:r>
      <w:r>
        <w:t xml:space="preserve">Adding district centroid coordinates to the predictor set gave 0.000 (better in</w:t>
      </w:r>
      <w:r>
        <w:t xml:space="preserve"> </w:t>
      </w:r>
      <w:r>
        <w:t xml:space="preserve">1 of 4); with a top-30 correlation prescreen over 294 predictors, two</w:t>
      </w:r>
      <w:r>
        <w:t xml:space="preserve"> </w:t>
      </w:r>
      <w:r>
        <w:t xml:space="preserve">coordinate columns rarely survive selection, whereas the exploratory result had</w:t>
      </w:r>
      <w:r>
        <w:t xml:space="preserve"> </w:t>
      </w:r>
      <w:r>
        <w:t xml:space="preserve">come from a curated 16-variable set in which coordinates were a large share of</w:t>
      </w:r>
      <w:r>
        <w:t xml:space="preserve"> </w:t>
      </w:r>
      <w:r>
        <w:t xml:space="preserve">the model.</w:t>
      </w:r>
    </w:p>
    <w:p>
      <w:pPr>
        <w:pStyle w:val="BodyText"/>
      </w:pPr>
      <w:r>
        <w:t xml:space="preserve">We also directly tested whether the full-mode SuperLearner’s 13th candidate</w:t>
      </w:r>
      <w:r>
        <w:t xml:space="preserve"> </w:t>
      </w:r>
      <w:r>
        <w:t xml:space="preserve">learner, a Gaussian process (</w:t>
      </w:r>
      <w:r>
        <w:rPr>
          <w:rStyle w:val="VerbatimChar"/>
        </w:rPr>
        <w:t xml:space="preserve">kernlab::gausspr</w:t>
      </w:r>
      <w:r>
        <w:t xml:space="preserve">), was worth its</w:t>
      </w:r>
      <w:r>
        <w:t xml:space="preserve"> </w:t>
      </w:r>
      <m:oMath>
        <m:r>
          <m:t>O</m:t>
        </m:r>
        <m:d>
          <m:dPr>
            <m:begChr m:val="("/>
            <m:endChr m:val=")"/>
            <m:sepChr m:val=""/>
            <m:grow/>
          </m:dPr>
          <m:e>
            <m:sSup>
              <m:e>
                <m:r>
                  <m:t>n</m:t>
                </m:r>
              </m:e>
              <m:sup>
                <m:r>
                  <m:t>3</m:t>
                </m:r>
              </m:sup>
            </m:sSup>
          </m:e>
        </m:d>
      </m:oMath>
      <w:r>
        <w:t xml:space="preserve"> </w:t>
      </w:r>
      <w:r>
        <w:t xml:space="preserve">computational cost, which made the largest pooled LOCO fits</w:t>
      </w:r>
      <w:r>
        <w:t xml:space="preserve"> </w:t>
      </w:r>
      <w:r>
        <w:t xml:space="preserve">(10,011 and 13,107 rows) effectively non-terminating. Refitting Ghana child</w:t>
      </w:r>
      <w:r>
        <w:t xml:space="preserve"> </w:t>
      </w:r>
      <w:r>
        <w:t xml:space="preserve">iron — arbitrarily chosen as a representative, well-powered cell — with and</w:t>
      </w:r>
      <w:r>
        <w:t xml:space="preserve"> </w:t>
      </w:r>
      <w:r>
        <w:t xml:space="preserve">without the Gaussian process in the candidate library gave an identical</w:t>
      </w:r>
      <w:r>
        <w:t xml:space="preserve"> </w:t>
      </w:r>
      <w:r>
        <w:t xml:space="preserve">binary AUC to 16 decimal places (0.7015504) and a negligible continuous-r</w:t>
      </w:r>
      <w:r>
        <w:t xml:space="preserve"> </w:t>
      </w:r>
      <w:r>
        <w:t xml:space="preserve">difference (0.2488 vs 0.2540): the Gaussian process received effectively</w:t>
      </w:r>
      <w:r>
        <w:t xml:space="preserve"> </w:t>
      </w:r>
      <w:r>
        <w:t xml:space="preserve">zero ensemble weight. We therefore dropped it from the full-mode stack</w:t>
      </w:r>
      <w:r>
        <w:t xml:space="preserve"> </w:t>
      </w:r>
      <w:r>
        <w:t xml:space="preserve">(Methods), retaining the check as a pipeline target rather than removing the</w:t>
      </w:r>
      <w:r>
        <w:t xml:space="preserve"> </w:t>
      </w:r>
      <w:r>
        <w:t xml:space="preserve">learner on assumption alone.</w:t>
      </w:r>
    </w:p>
    <w:bookmarkEnd w:id="56"/>
    <w:bookmarkStart w:id="58" w:name="Xe586b5600423ed014283786ef1ebd073c15fc43"/>
    <w:p>
      <w:pPr>
        <w:pStyle w:val="Heading2"/>
      </w:pPr>
      <w:r>
        <w:t xml:space="preserve">3.13 Calibration and reliability of binary classifiers</w:t>
      </w:r>
    </w:p>
    <w:p>
      <w:pPr>
        <w:pStyle w:val="FirstParagraph"/>
      </w:pPr>
      <w:r>
        <w:t xml:space="preserve">For binary deficiency classifiers, several diagnostic flags emerged</w:t>
      </w:r>
      <w:r>
        <w:t xml:space="preserve"> </w:t>
      </w:r>
      <w:r>
        <w:t xml:space="preserve">(</w:t>
      </w:r>
      <w:hyperlink w:anchor="tbl-calibration">
        <w:r>
          <w:rPr>
            <w:rStyle w:val="Hyperlink"/>
          </w:rPr>
          <w:t xml:space="preserve">Table 7</w:t>
        </w:r>
      </w:hyperlink>
      <w:r>
        <w:t xml:space="preserve">). The Brier skill score was negative — indicating</w:t>
      </w:r>
      <w:r>
        <w:t xml:space="preserve"> </w:t>
      </w:r>
      <w:r>
        <w:t xml:space="preserve">predictions worse than the no-skill baseline — for 12 of 24</w:t>
      </w:r>
      <w:r>
        <w:t xml:space="preserve"> </w:t>
      </w:r>
      <w:r>
        <w:t xml:space="preserve">country–outcome combinations, though in most the deficit was small (Brier</w:t>
      </w:r>
      <w:r>
        <w:t xml:space="preserve"> </w:t>
      </w:r>
      <w:r>
        <w:t xml:space="preserve">skill &gt; −0.04 for 9 of the 12). Post-hoc Platt recalibration (see Methods) eliminated the</w:t>
      </w:r>
      <w:r>
        <w:t xml:space="preserve"> </w:t>
      </w:r>
      <w:r>
        <w:t xml:space="preserve">negative values entirely: all 24 calibrated classifiers achieved</w:t>
      </w:r>
      <w:r>
        <w:t xml:space="preserve"> </w:t>
      </w:r>
      <w:r>
        <w:t xml:space="preserve">non-negative Brier skill. Calibration slopes were</w:t>
      </w:r>
      <w:r>
        <w:t xml:space="preserve"> </w:t>
      </w:r>
      <w:r>
        <w:t xml:space="preserve">strongly inverted</w:t>
      </w:r>
      <w:r>
        <w:t xml:space="preserve"> </w:t>
      </w:r>
      <w:r>
        <w:t xml:space="preserve">(&lt; 0) for 5 of 24 models — in Gambia, Ghana (×2), Sierra Leone, and Malawi —</w:t>
      </w:r>
      <w:r>
        <w:t xml:space="preserve"> </w:t>
      </w:r>
      <w:r>
        <w:t xml:space="preserve">particularly at very low prevalence (vitamin A in women, vitamin B12 in</w:t>
      </w:r>
      <w:r>
        <w:t xml:space="preserve"> </w:t>
      </w:r>
      <w:r>
        <w:t xml:space="preserve">women) where AUC remained high (&gt; 0.7 for two of the five: Ghana women’s</w:t>
      </w:r>
      <w:r>
        <w:t xml:space="preserve"> </w:t>
      </w:r>
      <w:r>
        <w:t xml:space="preserve">vitamin A 0.75, Sierra Leone women’s B12 0.75) but Brier skill was near zero.</w:t>
      </w:r>
      <w:r>
        <w:t xml:space="preserve"> </w:t>
      </w:r>
      <w:r>
        <w:t xml:space="preserve">This pattern — high AUC concealing poor calibration — is a known</w:t>
      </w:r>
      <w:r>
        <w:t xml:space="preserve"> </w:t>
      </w:r>
      <w:r>
        <w:t xml:space="preserve">artefact of imbalanced binary classification and we therefore</w:t>
      </w:r>
      <w:r>
        <w:t xml:space="preserve"> </w:t>
      </w:r>
      <w:r>
        <w:t xml:space="preserve">recommend that decision thresholds derived from these models be</w:t>
      </w:r>
      <w:r>
        <w:t xml:space="preserve"> </w:t>
      </w:r>
      <w:r>
        <w:t xml:space="preserve">calibrated against observed prevalence before deployment</w:t>
      </w:r>
      <w:r>
        <w:t xml:space="preserve"> </w:t>
      </w:r>
      <w:r>
        <w:t xml:space="preserve">(Niculescu-Mizil and Caruana 2005; Smeden et al. 2019)</w:t>
      </w:r>
      <w:r>
        <w:t xml:space="preserve">.</w:t>
      </w:r>
    </w:p>
    <w:tbl>
      <w:tblPr>
        <w:tblStyle w:val="Table"/>
        <w:tblW w:type="pct" w:w="5000"/>
        <w:tblLayout w:type="fixed"/>
        <w:tblLook w:firstRow="0" w:lastRow="0" w:firstColumn="0" w:lastColumn="0" w:noHBand="0" w:noVBand="0" w:val="0000"/>
      </w:tblPr>
      <w:tblGrid>
        <w:gridCol w:w="7920"/>
      </w:tblGrid>
      <w:tr>
        <w:tc>
          <w:tcPr/>
          <w:bookmarkStart w:id="57" w:name="tbl-calibration"/>
          <w:p>
            <w:pPr>
              <w:jc w:val="center"/>
            </w:pPr>
            <w:pPr>
              <w:jc w:val="start"/>
              <w:spacing w:before="200"/>
              <w:pStyle w:val="ImageCaption"/>
            </w:pPr>
            <w:r>
              <w:t xml:space="preserve">Table 7: Binary classifier calibration. Brier skill &gt; 0 indicates information gain over a no-skill baseline. From results/tables/diagnostics_binary.csv.</w:t>
            </w:r>
          </w:p>
          <w:tbl>
            <w:tblPr>
              <w:tblStyle w:val="Table"/>
              <w:tblW w:type="pct" w:w="5000"/>
              <w:tblLayout w:type="fixed"/>
              <w:tblLook w:firstRow="1" w:lastRow="0" w:firstColumn="0" w:lastColumn="0" w:noHBand="0" w:noVBand="0" w:val="0020"/>
            </w:tblPr>
            <w:tblGrid>
              <w:gridCol w:w="1536"/>
              <w:gridCol w:w="1536"/>
              <w:gridCol w:w="709"/>
              <w:gridCol w:w="591"/>
              <w:gridCol w:w="1418"/>
              <w:gridCol w:w="1418"/>
              <w:gridCol w:w="709"/>
            </w:tblGrid>
            <w:tr>
              <w:trPr>
                <w:tblHeader w:val="on"/>
              </w:trPr>
              <w:tc>
                <w:tcPr/>
                <w:p>
                  <w:pPr>
                    <w:pStyle w:val="Compact"/>
                    <w:jc w:val="left"/>
                    <w:jc w:val="center"/>
                  </w:pPr>
                  <w:r>
                    <w:t xml:space="preserve">Country</w:t>
                  </w:r>
                </w:p>
              </w:tc>
              <w:tc>
                <w:tcPr/>
                <w:p>
                  <w:pPr>
                    <w:pStyle w:val="Compact"/>
                    <w:jc w:val="left"/>
                    <w:jc w:val="center"/>
                  </w:pPr>
                  <w:r>
                    <w:t xml:space="preserve">Outcome</w:t>
                  </w:r>
                </w:p>
              </w:tc>
              <w:tc>
                <w:tcPr/>
                <w:p>
                  <w:pPr>
                    <w:pStyle w:val="Compact"/>
                    <w:jc w:val="left"/>
                    <w:jc w:val="center"/>
                  </w:pPr>
                  <w:r>
                    <w:t xml:space="preserve">Prev</w:t>
                  </w:r>
                </w:p>
              </w:tc>
              <w:tc>
                <w:tcPr/>
                <w:p>
                  <w:pPr>
                    <w:pStyle w:val="Compact"/>
                    <w:jc w:val="left"/>
                    <w:jc w:val="center"/>
                  </w:pPr>
                  <w:r>
                    <w:t xml:space="preserve">AUC</w:t>
                  </w:r>
                </w:p>
              </w:tc>
              <w:tc>
                <w:tcPr/>
                <w:p>
                  <w:pPr>
                    <w:pStyle w:val="Compact"/>
                    <w:jc w:val="left"/>
                    <w:jc w:val="center"/>
                  </w:pPr>
                  <w:r>
                    <w:t xml:space="preserve">Brier skill</w:t>
                  </w:r>
                </w:p>
              </w:tc>
              <w:tc>
                <w:tcPr/>
                <w:p>
                  <w:pPr>
                    <w:pStyle w:val="Compact"/>
                    <w:jc w:val="left"/>
                    <w:jc w:val="center"/>
                  </w:pPr>
                  <w:r>
                    <w:t xml:space="preserve">Calib slope</w:t>
                  </w:r>
                </w:p>
              </w:tc>
              <w:tc>
                <w:tcPr/>
                <w:p>
                  <w:pPr>
                    <w:pStyle w:val="Compact"/>
                    <w:jc w:val="left"/>
                    <w:jc w:val="center"/>
                  </w:pPr>
                  <w:r>
                    <w:t xml:space="preserve">ECE</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left"/>
                    <w:jc w:val="center"/>
                  </w:pPr>
                  <w:r>
                    <w:t xml:space="preserve">20.1%</w:t>
                  </w:r>
                </w:p>
              </w:tc>
              <w:tc>
                <w:tcPr/>
                <w:p>
                  <w:pPr>
                    <w:pStyle w:val="Compact"/>
                    <w:jc w:val="left"/>
                    <w:jc w:val="center"/>
                  </w:pPr>
                  <w:r>
                    <w:t xml:space="preserve">0.62</w:t>
                  </w:r>
                </w:p>
              </w:tc>
              <w:tc>
                <w:tcPr/>
                <w:p>
                  <w:pPr>
                    <w:pStyle w:val="Compact"/>
                    <w:jc w:val="left"/>
                    <w:jc w:val="center"/>
                  </w:pPr>
                  <w:r>
                    <w:t xml:space="preserve">-0.012</w:t>
                  </w:r>
                </w:p>
              </w:tc>
              <w:tc>
                <w:tcPr/>
                <w:p>
                  <w:pPr>
                    <w:pStyle w:val="Compact"/>
                    <w:jc w:val="left"/>
                    <w:jc w:val="center"/>
                  </w:pPr>
                  <w:r>
                    <w:t xml:space="preserve">+0.40</w:t>
                  </w:r>
                </w:p>
              </w:tc>
              <w:tc>
                <w:tcPr/>
                <w:p>
                  <w:pPr>
                    <w:pStyle w:val="Compact"/>
                    <w:jc w:val="left"/>
                    <w:jc w:val="center"/>
                  </w:pPr>
                  <w:r>
                    <w:t xml:space="preserve">0.065</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left"/>
                    <w:jc w:val="center"/>
                  </w:pPr>
                  <w:r>
                    <w:t xml:space="preserve">2.7%</w:t>
                  </w:r>
                </w:p>
              </w:tc>
              <w:tc>
                <w:tcPr/>
                <w:p>
                  <w:pPr>
                    <w:pStyle w:val="Compact"/>
                    <w:jc w:val="left"/>
                    <w:jc w:val="center"/>
                  </w:pPr>
                  <w:r>
                    <w:t xml:space="preserve">0.73</w:t>
                  </w:r>
                </w:p>
              </w:tc>
              <w:tc>
                <w:tcPr/>
                <w:p>
                  <w:pPr>
                    <w:pStyle w:val="Compact"/>
                    <w:jc w:val="left"/>
                    <w:jc w:val="center"/>
                  </w:pPr>
                  <w:r>
                    <w:t xml:space="preserve">+0.017</w:t>
                  </w:r>
                </w:p>
              </w:tc>
              <w:tc>
                <w:tcPr/>
                <w:p>
                  <w:pPr>
                    <w:pStyle w:val="Compact"/>
                    <w:jc w:val="left"/>
                    <w:jc w:val="center"/>
                  </w:pPr>
                  <w:r>
                    <w:t xml:space="preserve">+1.32</w:t>
                  </w:r>
                </w:p>
              </w:tc>
              <w:tc>
                <w:tcPr/>
                <w:p>
                  <w:pPr>
                    <w:pStyle w:val="Compact"/>
                    <w:jc w:val="left"/>
                    <w:jc w:val="center"/>
                  </w:pPr>
                  <w:r>
                    <w:t xml:space="preserve">0.011</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left"/>
                    <w:jc w:val="center"/>
                  </w:pPr>
                  <w:r>
                    <w:t xml:space="preserve">41.9%</w:t>
                  </w:r>
                </w:p>
              </w:tc>
              <w:tc>
                <w:tcPr/>
                <w:p>
                  <w:pPr>
                    <w:pStyle w:val="Compact"/>
                    <w:jc w:val="left"/>
                    <w:jc w:val="center"/>
                  </w:pPr>
                  <w:r>
                    <w:t xml:space="preserve">0.52</w:t>
                  </w:r>
                </w:p>
              </w:tc>
              <w:tc>
                <w:tcPr/>
                <w:p>
                  <w:pPr>
                    <w:pStyle w:val="Compact"/>
                    <w:jc w:val="left"/>
                    <w:jc w:val="center"/>
                  </w:pPr>
                  <w:r>
                    <w:t xml:space="preserve">-0.001</w:t>
                  </w:r>
                </w:p>
              </w:tc>
              <w:tc>
                <w:tcPr/>
                <w:p>
                  <w:pPr>
                    <w:pStyle w:val="Compact"/>
                    <w:jc w:val="left"/>
                    <w:jc w:val="center"/>
                  </w:pPr>
                  <w:r>
                    <w:t xml:space="preserve">-3.51</w:t>
                  </w:r>
                </w:p>
              </w:tc>
              <w:tc>
                <w:tcPr/>
                <w:p>
                  <w:pPr>
                    <w:pStyle w:val="Compact"/>
                    <w:jc w:val="left"/>
                    <w:jc w:val="center"/>
                  </w:pPr>
                  <w:r>
                    <w:t xml:space="preserve">0.019</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left"/>
                    <w:jc w:val="center"/>
                  </w:pPr>
                  <w:r>
                    <w:t xml:space="preserve">31.2%</w:t>
                  </w:r>
                </w:p>
              </w:tc>
              <w:tc>
                <w:tcPr/>
                <w:p>
                  <w:pPr>
                    <w:pStyle w:val="Compact"/>
                    <w:jc w:val="left"/>
                    <w:jc w:val="center"/>
                  </w:pPr>
                  <w:r>
                    <w:t xml:space="preserve">0.58</w:t>
                  </w:r>
                </w:p>
              </w:tc>
              <w:tc>
                <w:tcPr/>
                <w:p>
                  <w:pPr>
                    <w:pStyle w:val="Compact"/>
                    <w:jc w:val="left"/>
                    <w:jc w:val="center"/>
                  </w:pPr>
                  <w:r>
                    <w:t xml:space="preserve">+0.004</w:t>
                  </w:r>
                </w:p>
              </w:tc>
              <w:tc>
                <w:tcPr/>
                <w:p>
                  <w:pPr>
                    <w:pStyle w:val="Compact"/>
                    <w:jc w:val="left"/>
                    <w:jc w:val="center"/>
                  </w:pPr>
                  <w:r>
                    <w:t xml:space="preserve">+0.43</w:t>
                  </w:r>
                </w:p>
              </w:tc>
              <w:tc>
                <w:tcPr/>
                <w:p>
                  <w:pPr>
                    <w:pStyle w:val="Compact"/>
                    <w:jc w:val="left"/>
                    <w:jc w:val="center"/>
                  </w:pPr>
                  <w:r>
                    <w:t xml:space="preserve">0.066</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left"/>
                    <w:jc w:val="center"/>
                  </w:pPr>
                  <w:r>
                    <w:t xml:space="preserve">14.9%</w:t>
                  </w:r>
                </w:p>
              </w:tc>
              <w:tc>
                <w:tcPr/>
                <w:p>
                  <w:pPr>
                    <w:pStyle w:val="Compact"/>
                    <w:jc w:val="left"/>
                    <w:jc w:val="center"/>
                  </w:pPr>
                  <w:r>
                    <w:t xml:space="preserve">0.59</w:t>
                  </w:r>
                </w:p>
              </w:tc>
              <w:tc>
                <w:tcPr/>
                <w:p>
                  <w:pPr>
                    <w:pStyle w:val="Compact"/>
                    <w:jc w:val="left"/>
                    <w:jc w:val="center"/>
                  </w:pPr>
                  <w:r>
                    <w:t xml:space="preserve">-0.009</w:t>
                  </w:r>
                </w:p>
              </w:tc>
              <w:tc>
                <w:tcPr/>
                <w:p>
                  <w:pPr>
                    <w:pStyle w:val="Compact"/>
                    <w:jc w:val="left"/>
                    <w:jc w:val="center"/>
                  </w:pPr>
                  <w:r>
                    <w:t xml:space="preserve">-3.90</w:t>
                  </w:r>
                </w:p>
              </w:tc>
              <w:tc>
                <w:tcPr/>
                <w:p>
                  <w:pPr>
                    <w:pStyle w:val="Compact"/>
                    <w:jc w:val="left"/>
                    <w:jc w:val="center"/>
                  </w:pPr>
                  <w:r>
                    <w:t xml:space="preserve">0.051</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left"/>
                    <w:jc w:val="center"/>
                  </w:pPr>
                  <w:r>
                    <w:t xml:space="preserve">1.5%</w:t>
                  </w:r>
                </w:p>
              </w:tc>
              <w:tc>
                <w:tcPr/>
                <w:p>
                  <w:pPr>
                    <w:pStyle w:val="Compact"/>
                    <w:jc w:val="left"/>
                    <w:jc w:val="center"/>
                  </w:pPr>
                  <w:r>
                    <w:t xml:space="preserve">0.53</w:t>
                  </w:r>
                </w:p>
              </w:tc>
              <w:tc>
                <w:tcPr/>
                <w:p>
                  <w:pPr>
                    <w:pStyle w:val="Compact"/>
                    <w:jc w:val="left"/>
                    <w:jc w:val="center"/>
                  </w:pPr>
                  <w:r>
                    <w:t xml:space="preserve">-0.027</w:t>
                  </w:r>
                </w:p>
              </w:tc>
              <w:tc>
                <w:tcPr/>
                <w:p>
                  <w:pPr>
                    <w:pStyle w:val="Compact"/>
                    <w:jc w:val="left"/>
                    <w:jc w:val="center"/>
                  </w:pPr>
                  <w:r>
                    <w:t xml:space="preserve">-0.13</w:t>
                  </w:r>
                </w:p>
              </w:tc>
              <w:tc>
                <w:tcPr/>
                <w:p>
                  <w:pPr>
                    <w:pStyle w:val="Compact"/>
                    <w:jc w:val="left"/>
                    <w:jc w:val="center"/>
                  </w:pPr>
                  <w:r>
                    <w:t xml:space="preserve">0.015</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left"/>
                    <w:jc w:val="center"/>
                  </w:pPr>
                  <w:r>
                    <w:t xml:space="preserve">23.9%</w:t>
                  </w:r>
                </w:p>
              </w:tc>
              <w:tc>
                <w:tcPr/>
                <w:p>
                  <w:pPr>
                    <w:pStyle w:val="Compact"/>
                    <w:jc w:val="left"/>
                    <w:jc w:val="center"/>
                  </w:pPr>
                  <w:r>
                    <w:t xml:space="preserve">0.68</w:t>
                  </w:r>
                </w:p>
              </w:tc>
              <w:tc>
                <w:tcPr/>
                <w:p>
                  <w:pPr>
                    <w:pStyle w:val="Compact"/>
                    <w:jc w:val="left"/>
                    <w:jc w:val="center"/>
                  </w:pPr>
                  <w:r>
                    <w:t xml:space="preserve">+0.074</w:t>
                  </w:r>
                </w:p>
              </w:tc>
              <w:tc>
                <w:tcPr/>
                <w:p>
                  <w:pPr>
                    <w:pStyle w:val="Compact"/>
                    <w:jc w:val="left"/>
                    <w:jc w:val="center"/>
                  </w:pPr>
                  <w:r>
                    <w:t xml:space="preserve">+0.81</w:t>
                  </w:r>
                </w:p>
              </w:tc>
              <w:tc>
                <w:tcPr/>
                <w:p>
                  <w:pPr>
                    <w:pStyle w:val="Compact"/>
                    <w:jc w:val="left"/>
                    <w:jc w:val="center"/>
                  </w:pPr>
                  <w:r>
                    <w:t xml:space="preserve">0.051</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left"/>
                    <w:jc w:val="center"/>
                  </w:pPr>
                  <w:r>
                    <w:t xml:space="preserve">8.5%</w:t>
                  </w:r>
                </w:p>
              </w:tc>
              <w:tc>
                <w:tcPr/>
                <w:p>
                  <w:pPr>
                    <w:pStyle w:val="Compact"/>
                    <w:jc w:val="left"/>
                    <w:jc w:val="center"/>
                  </w:pPr>
                  <w:r>
                    <w:t xml:space="preserve">0.61</w:t>
                  </w:r>
                </w:p>
              </w:tc>
              <w:tc>
                <w:tcPr/>
                <w:p>
                  <w:pPr>
                    <w:pStyle w:val="Compact"/>
                    <w:jc w:val="left"/>
                    <w:jc w:val="center"/>
                  </w:pPr>
                  <w:r>
                    <w:t xml:space="preserve">+0.004</w:t>
                  </w:r>
                </w:p>
              </w:tc>
              <w:tc>
                <w:tcPr/>
                <w:p>
                  <w:pPr>
                    <w:pStyle w:val="Compact"/>
                    <w:jc w:val="left"/>
                    <w:jc w:val="center"/>
                  </w:pPr>
                  <w:r>
                    <w:t xml:space="preserve">+0.64</w:t>
                  </w:r>
                </w:p>
              </w:tc>
              <w:tc>
                <w:tcPr/>
                <w:p>
                  <w:pPr>
                    <w:pStyle w:val="Compact"/>
                    <w:jc w:val="left"/>
                    <w:jc w:val="center"/>
                  </w:pPr>
                  <w:r>
                    <w:t xml:space="preserve">0.020</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left"/>
                    <w:jc w:val="center"/>
                  </w:pPr>
                  <w:r>
                    <w:t xml:space="preserve">54.7%</w:t>
                  </w:r>
                </w:p>
              </w:tc>
              <w:tc>
                <w:tcPr/>
                <w:p>
                  <w:pPr>
                    <w:pStyle w:val="Compact"/>
                    <w:jc w:val="left"/>
                    <w:jc w:val="center"/>
                  </w:pPr>
                  <w:r>
                    <w:t xml:space="preserve">0.59</w:t>
                  </w:r>
                </w:p>
              </w:tc>
              <w:tc>
                <w:tcPr/>
                <w:p>
                  <w:pPr>
                    <w:pStyle w:val="Compact"/>
                    <w:jc w:val="left"/>
                    <w:jc w:val="center"/>
                  </w:pPr>
                  <w:r>
                    <w:t xml:space="preserve">+0.032</w:t>
                  </w:r>
                </w:p>
              </w:tc>
              <w:tc>
                <w:tcPr/>
                <w:p>
                  <w:pPr>
                    <w:pStyle w:val="Compact"/>
                    <w:jc w:val="left"/>
                    <w:jc w:val="center"/>
                  </w:pPr>
                  <w:r>
                    <w:t xml:space="preserve">+0.67</w:t>
                  </w:r>
                </w:p>
              </w:tc>
              <w:tc>
                <w:tcPr/>
                <w:p>
                  <w:pPr>
                    <w:pStyle w:val="Compact"/>
                    <w:jc w:val="left"/>
                    <w:jc w:val="center"/>
                  </w:pPr>
                  <w:r>
                    <w:t xml:space="preserve">0.090</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left"/>
                    <w:jc w:val="center"/>
                  </w:pPr>
                  <w:r>
                    <w:t xml:space="preserve">8.5%</w:t>
                  </w:r>
                </w:p>
              </w:tc>
              <w:tc>
                <w:tcPr/>
                <w:p>
                  <w:pPr>
                    <w:pStyle w:val="Compact"/>
                    <w:jc w:val="left"/>
                    <w:jc w:val="center"/>
                  </w:pPr>
                  <w:r>
                    <w:t xml:space="preserve">0.69</w:t>
                  </w:r>
                </w:p>
              </w:tc>
              <w:tc>
                <w:tcPr/>
                <w:p>
                  <w:pPr>
                    <w:pStyle w:val="Compact"/>
                    <w:jc w:val="left"/>
                    <w:jc w:val="center"/>
                  </w:pPr>
                  <w:r>
                    <w:t xml:space="preserve">+0.090</w:t>
                  </w:r>
                </w:p>
              </w:tc>
              <w:tc>
                <w:tcPr/>
                <w:p>
                  <w:pPr>
                    <w:pStyle w:val="Compact"/>
                    <w:jc w:val="left"/>
                    <w:jc w:val="center"/>
                  </w:pPr>
                  <w:r>
                    <w:t xml:space="preserve">+1.14</w:t>
                  </w:r>
                </w:p>
              </w:tc>
              <w:tc>
                <w:tcPr/>
                <w:p>
                  <w:pPr>
                    <w:pStyle w:val="Compact"/>
                    <w:jc w:val="left"/>
                    <w:jc w:val="center"/>
                  </w:pPr>
                  <w:r>
                    <w:t xml:space="preserve">0.041</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left"/>
                    <w:jc w:val="center"/>
                  </w:pPr>
                  <w:r>
                    <w:t xml:space="preserve">12.6%</w:t>
                  </w:r>
                </w:p>
              </w:tc>
              <w:tc>
                <w:tcPr/>
                <w:p>
                  <w:pPr>
                    <w:pStyle w:val="Compact"/>
                    <w:jc w:val="left"/>
                    <w:jc w:val="center"/>
                  </w:pPr>
                  <w:r>
                    <w:t xml:space="preserve">0.49</w:t>
                  </w:r>
                </w:p>
              </w:tc>
              <w:tc>
                <w:tcPr/>
                <w:p>
                  <w:pPr>
                    <w:pStyle w:val="Compact"/>
                    <w:jc w:val="left"/>
                    <w:jc w:val="center"/>
                  </w:pPr>
                  <w:r>
                    <w:t xml:space="preserve">-0.035</w:t>
                  </w:r>
                </w:p>
              </w:tc>
              <w:tc>
                <w:tcPr/>
                <w:p>
                  <w:pPr>
                    <w:pStyle w:val="Compact"/>
                    <w:jc w:val="left"/>
                    <w:jc w:val="center"/>
                  </w:pPr>
                  <w:r>
                    <w:t xml:space="preserve">-0.15</w:t>
                  </w:r>
                </w:p>
              </w:tc>
              <w:tc>
                <w:tcPr/>
                <w:p>
                  <w:pPr>
                    <w:pStyle w:val="Compact"/>
                    <w:jc w:val="left"/>
                    <w:jc w:val="center"/>
                  </w:pPr>
                  <w:r>
                    <w:t xml:space="preserve">0.058</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left"/>
                    <w:jc w:val="center"/>
                  </w:pPr>
                  <w:r>
                    <w:t xml:space="preserve">1.8%</w:t>
                  </w:r>
                </w:p>
              </w:tc>
              <w:tc>
                <w:tcPr/>
                <w:p>
                  <w:pPr>
                    <w:pStyle w:val="Compact"/>
                    <w:jc w:val="left"/>
                    <w:jc w:val="center"/>
                  </w:pPr>
                  <w:r>
                    <w:t xml:space="preserve">0.66</w:t>
                  </w:r>
                </w:p>
              </w:tc>
              <w:tc>
                <w:tcPr/>
                <w:p>
                  <w:pPr>
                    <w:pStyle w:val="Compact"/>
                    <w:jc w:val="left"/>
                    <w:jc w:val="center"/>
                  </w:pPr>
                  <w:r>
                    <w:t xml:space="preserve">-0.007</w:t>
                  </w:r>
                </w:p>
              </w:tc>
              <w:tc>
                <w:tcPr/>
                <w:p>
                  <w:pPr>
                    <w:pStyle w:val="Compact"/>
                    <w:jc w:val="left"/>
                    <w:jc w:val="center"/>
                  </w:pPr>
                  <w:r>
                    <w:t xml:space="preserve">-2.61</w:t>
                  </w:r>
                </w:p>
              </w:tc>
              <w:tc>
                <w:tcPr/>
                <w:p>
                  <w:pPr>
                    <w:pStyle w:val="Compact"/>
                    <w:jc w:val="left"/>
                    <w:jc w:val="center"/>
                  </w:pPr>
                  <w:r>
                    <w:t xml:space="preserve">0.010</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left"/>
                    <w:jc w:val="center"/>
                  </w:pPr>
                  <w:r>
                    <w:t xml:space="preserve">5.8%</w:t>
                  </w:r>
                </w:p>
              </w:tc>
              <w:tc>
                <w:tcPr/>
                <w:p>
                  <w:pPr>
                    <w:pStyle w:val="Compact"/>
                    <w:jc w:val="left"/>
                    <w:jc w:val="center"/>
                  </w:pPr>
                  <w:r>
                    <w:t xml:space="preserve">0.57</w:t>
                  </w:r>
                </w:p>
              </w:tc>
              <w:tc>
                <w:tcPr/>
                <w:p>
                  <w:pPr>
                    <w:pStyle w:val="Compact"/>
                    <w:jc w:val="left"/>
                    <w:jc w:val="center"/>
                  </w:pPr>
                  <w:r>
                    <w:t xml:space="preserve">+0.000</w:t>
                  </w:r>
                </w:p>
              </w:tc>
              <w:tc>
                <w:tcPr/>
                <w:p>
                  <w:pPr>
                    <w:pStyle w:val="Compact"/>
                    <w:jc w:val="left"/>
                    <w:jc w:val="center"/>
                  </w:pPr>
                  <w:r>
                    <w:t xml:space="preserve">+0.36</w:t>
                  </w:r>
                </w:p>
              </w:tc>
              <w:tc>
                <w:tcPr/>
                <w:p>
                  <w:pPr>
                    <w:pStyle w:val="Compact"/>
                    <w:jc w:val="left"/>
                    <w:jc w:val="center"/>
                  </w:pPr>
                  <w:r>
                    <w:t xml:space="preserve">0.038</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left"/>
                    <w:jc w:val="center"/>
                  </w:pPr>
                  <w:r>
                    <w:t xml:space="preserve">9.4%</w:t>
                  </w:r>
                </w:p>
              </w:tc>
              <w:tc>
                <w:tcPr/>
                <w:p>
                  <w:pPr>
                    <w:pStyle w:val="Compact"/>
                    <w:jc w:val="left"/>
                    <w:jc w:val="center"/>
                  </w:pPr>
                  <w:r>
                    <w:t xml:space="preserve">0.57</w:t>
                  </w:r>
                </w:p>
              </w:tc>
              <w:tc>
                <w:tcPr/>
                <w:p>
                  <w:pPr>
                    <w:pStyle w:val="Compact"/>
                    <w:jc w:val="left"/>
                    <w:jc w:val="center"/>
                  </w:pPr>
                  <w:r>
                    <w:t xml:space="preserve">-0.003</w:t>
                  </w:r>
                </w:p>
              </w:tc>
              <w:tc>
                <w:tcPr/>
                <w:p>
                  <w:pPr>
                    <w:pStyle w:val="Compact"/>
                    <w:jc w:val="left"/>
                    <w:jc w:val="center"/>
                  </w:pPr>
                  <w:r>
                    <w:t xml:space="preserve">+0.54</w:t>
                  </w:r>
                </w:p>
              </w:tc>
              <w:tc>
                <w:tcPr/>
                <w:p>
                  <w:pPr>
                    <w:pStyle w:val="Compact"/>
                    <w:jc w:val="left"/>
                    <w:jc w:val="center"/>
                  </w:pPr>
                  <w:r>
                    <w:t xml:space="preserve">0.030</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left"/>
                    <w:jc w:val="center"/>
                  </w:pPr>
                  <w:r>
                    <w:t xml:space="preserve">79.4%</w:t>
                  </w:r>
                </w:p>
              </w:tc>
              <w:tc>
                <w:tcPr/>
                <w:p>
                  <w:pPr>
                    <w:pStyle w:val="Compact"/>
                    <w:jc w:val="left"/>
                    <w:jc w:val="center"/>
                  </w:pPr>
                  <w:r>
                    <w:t xml:space="preserve">0.56</w:t>
                  </w:r>
                </w:p>
              </w:tc>
              <w:tc>
                <w:tcPr/>
                <w:p>
                  <w:pPr>
                    <w:pStyle w:val="Compact"/>
                    <w:jc w:val="left"/>
                    <w:jc w:val="center"/>
                  </w:pPr>
                  <w:r>
                    <w:t xml:space="preserve">-0.070</w:t>
                  </w:r>
                </w:p>
              </w:tc>
              <w:tc>
                <w:tcPr/>
                <w:p>
                  <w:pPr>
                    <w:pStyle w:val="Compact"/>
                    <w:jc w:val="left"/>
                    <w:jc w:val="center"/>
                  </w:pPr>
                  <w:r>
                    <w:t xml:space="preserve">+0.19</w:t>
                  </w:r>
                </w:p>
              </w:tc>
              <w:tc>
                <w:tcPr/>
                <w:p>
                  <w:pPr>
                    <w:pStyle w:val="Compact"/>
                    <w:jc w:val="left"/>
                    <w:jc w:val="center"/>
                  </w:pPr>
                  <w:r>
                    <w:t xml:space="preserve">0.079</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left"/>
                    <w:jc w:val="center"/>
                  </w:pPr>
                  <w:r>
                    <w:t xml:space="preserve">0.5%</w:t>
                  </w:r>
                </w:p>
              </w:tc>
              <w:tc>
                <w:tcPr/>
                <w:p>
                  <w:pPr>
                    <w:pStyle w:val="Compact"/>
                    <w:jc w:val="left"/>
                    <w:jc w:val="center"/>
                  </w:pPr>
                  <w:r>
                    <w:t xml:space="preserve">0.75</w:t>
                  </w:r>
                </w:p>
              </w:tc>
              <w:tc>
                <w:tcPr/>
                <w:p>
                  <w:pPr>
                    <w:pStyle w:val="Compact"/>
                    <w:jc w:val="left"/>
                    <w:jc w:val="center"/>
                  </w:pPr>
                  <w:r>
                    <w:t xml:space="preserve">-0.002</w:t>
                  </w:r>
                </w:p>
              </w:tc>
              <w:tc>
                <w:tcPr/>
                <w:p>
                  <w:pPr>
                    <w:pStyle w:val="Compact"/>
                    <w:jc w:val="left"/>
                    <w:jc w:val="center"/>
                  </w:pPr>
                  <w:r>
                    <w:t xml:space="preserve">-3.34</w:t>
                  </w:r>
                </w:p>
              </w:tc>
              <w:tc>
                <w:tcPr/>
                <w:p>
                  <w:pPr>
                    <w:pStyle w:val="Compact"/>
                    <w:jc w:val="left"/>
                    <w:jc w:val="center"/>
                  </w:pPr>
                  <w:r>
                    <w:t xml:space="preserve">0.005</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left"/>
                    <w:jc w:val="center"/>
                  </w:pPr>
                  <w:r>
                    <w:t xml:space="preserve">9.3%</w:t>
                  </w:r>
                </w:p>
              </w:tc>
              <w:tc>
                <w:tcPr/>
                <w:p>
                  <w:pPr>
                    <w:pStyle w:val="Compact"/>
                    <w:jc w:val="left"/>
                    <w:jc w:val="center"/>
                  </w:pPr>
                  <w:r>
                    <w:t xml:space="preserve">0.59</w:t>
                  </w:r>
                </w:p>
              </w:tc>
              <w:tc>
                <w:tcPr/>
                <w:p>
                  <w:pPr>
                    <w:pStyle w:val="Compact"/>
                    <w:jc w:val="left"/>
                    <w:jc w:val="center"/>
                  </w:pPr>
                  <w:r>
                    <w:t xml:space="preserve">+0.002</w:t>
                  </w:r>
                </w:p>
              </w:tc>
              <w:tc>
                <w:tcPr/>
                <w:p>
                  <w:pPr>
                    <w:pStyle w:val="Compact"/>
                    <w:jc w:val="left"/>
                    <w:jc w:val="center"/>
                  </w:pPr>
                  <w:r>
                    <w:t xml:space="preserve">+0.45</w:t>
                  </w:r>
                </w:p>
              </w:tc>
              <w:tc>
                <w:tcPr/>
                <w:p>
                  <w:pPr>
                    <w:pStyle w:val="Compact"/>
                    <w:jc w:val="left"/>
                    <w:jc w:val="center"/>
                  </w:pPr>
                  <w:r>
                    <w:t xml:space="preserve">0.027</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left"/>
                    <w:jc w:val="center"/>
                  </w:pPr>
                  <w:r>
                    <w:t xml:space="preserve">1.3%</w:t>
                  </w:r>
                </w:p>
              </w:tc>
              <w:tc>
                <w:tcPr/>
                <w:p>
                  <w:pPr>
                    <w:pStyle w:val="Compact"/>
                    <w:jc w:val="left"/>
                    <w:jc w:val="center"/>
                  </w:pPr>
                  <w:r>
                    <w:t xml:space="preserve">0.64</w:t>
                  </w:r>
                </w:p>
              </w:tc>
              <w:tc>
                <w:tcPr/>
                <w:p>
                  <w:pPr>
                    <w:pStyle w:val="Compact"/>
                    <w:jc w:val="left"/>
                    <w:jc w:val="center"/>
                  </w:pPr>
                  <w:r>
                    <w:t xml:space="preserve">-0.019</w:t>
                  </w:r>
                </w:p>
              </w:tc>
              <w:tc>
                <w:tcPr/>
                <w:p>
                  <w:pPr>
                    <w:pStyle w:val="Compact"/>
                    <w:jc w:val="left"/>
                    <w:jc w:val="center"/>
                  </w:pPr>
                  <w:r>
                    <w:t xml:space="preserve">+0.33</w:t>
                  </w:r>
                </w:p>
              </w:tc>
              <w:tc>
                <w:tcPr/>
                <w:p>
                  <w:pPr>
                    <w:pStyle w:val="Compact"/>
                    <w:jc w:val="left"/>
                    <w:jc w:val="center"/>
                  </w:pPr>
                  <w:r>
                    <w:t xml:space="preserve">0.011</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left"/>
                    <w:jc w:val="center"/>
                  </w:pPr>
                  <w:r>
                    <w:t xml:space="preserve">9.6%</w:t>
                  </w:r>
                </w:p>
              </w:tc>
              <w:tc>
                <w:tcPr/>
                <w:p>
                  <w:pPr>
                    <w:pStyle w:val="Compact"/>
                    <w:jc w:val="left"/>
                    <w:jc w:val="center"/>
                  </w:pPr>
                  <w:r>
                    <w:t xml:space="preserve">0.56</w:t>
                  </w:r>
                </w:p>
              </w:tc>
              <w:tc>
                <w:tcPr/>
                <w:p>
                  <w:pPr>
                    <w:pStyle w:val="Compact"/>
                    <w:jc w:val="left"/>
                    <w:jc w:val="center"/>
                  </w:pPr>
                  <w:r>
                    <w:t xml:space="preserve">-0.004</w:t>
                  </w:r>
                </w:p>
              </w:tc>
              <w:tc>
                <w:tcPr/>
                <w:p>
                  <w:pPr>
                    <w:pStyle w:val="Compact"/>
                    <w:jc w:val="left"/>
                    <w:jc w:val="center"/>
                  </w:pPr>
                  <w:r>
                    <w:t xml:space="preserve">+0.38</w:t>
                  </w:r>
                </w:p>
              </w:tc>
              <w:tc>
                <w:tcPr/>
                <w:p>
                  <w:pPr>
                    <w:pStyle w:val="Compact"/>
                    <w:jc w:val="left"/>
                    <w:jc w:val="center"/>
                  </w:pPr>
                  <w:r>
                    <w:t xml:space="preserve">0.034</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left"/>
                    <w:jc w:val="center"/>
                  </w:pPr>
                  <w:r>
                    <w:t xml:space="preserve">10.0%</w:t>
                  </w:r>
                </w:p>
              </w:tc>
              <w:tc>
                <w:tcPr/>
                <w:p>
                  <w:pPr>
                    <w:pStyle w:val="Compact"/>
                    <w:jc w:val="left"/>
                    <w:jc w:val="center"/>
                  </w:pPr>
                  <w:r>
                    <w:t xml:space="preserve">0.55</w:t>
                  </w:r>
                </w:p>
              </w:tc>
              <w:tc>
                <w:tcPr/>
                <w:p>
                  <w:pPr>
                    <w:pStyle w:val="Compact"/>
                    <w:jc w:val="left"/>
                    <w:jc w:val="center"/>
                  </w:pPr>
                  <w:r>
                    <w:t xml:space="preserve">+0.003</w:t>
                  </w:r>
                </w:p>
              </w:tc>
              <w:tc>
                <w:tcPr/>
                <w:p>
                  <w:pPr>
                    <w:pStyle w:val="Compact"/>
                    <w:jc w:val="left"/>
                    <w:jc w:val="center"/>
                  </w:pPr>
                  <w:r>
                    <w:t xml:space="preserve">+0.52</w:t>
                  </w:r>
                </w:p>
              </w:tc>
              <w:tc>
                <w:tcPr/>
                <w:p>
                  <w:pPr>
                    <w:pStyle w:val="Compact"/>
                    <w:jc w:val="left"/>
                    <w:jc w:val="center"/>
                  </w:pPr>
                  <w:r>
                    <w:t xml:space="preserve">0.024</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left"/>
                    <w:jc w:val="center"/>
                  </w:pPr>
                  <w:r>
                    <w:t xml:space="preserve">20.8%</w:t>
                  </w:r>
                </w:p>
              </w:tc>
              <w:tc>
                <w:tcPr/>
                <w:p>
                  <w:pPr>
                    <w:pStyle w:val="Compact"/>
                    <w:jc w:val="left"/>
                    <w:jc w:val="center"/>
                  </w:pPr>
                  <w:r>
                    <w:t xml:space="preserve">0.68</w:t>
                  </w:r>
                </w:p>
              </w:tc>
              <w:tc>
                <w:tcPr/>
                <w:p>
                  <w:pPr>
                    <w:pStyle w:val="Compact"/>
                    <w:jc w:val="left"/>
                    <w:jc w:val="center"/>
                  </w:pPr>
                  <w:r>
                    <w:t xml:space="preserve">+0.045</w:t>
                  </w:r>
                </w:p>
              </w:tc>
              <w:tc>
                <w:tcPr/>
                <w:p>
                  <w:pPr>
                    <w:pStyle w:val="Compact"/>
                    <w:jc w:val="left"/>
                    <w:jc w:val="center"/>
                  </w:pPr>
                  <w:r>
                    <w:t xml:space="preserve">+0.65</w:t>
                  </w:r>
                </w:p>
              </w:tc>
              <w:tc>
                <w:tcPr/>
                <w:p>
                  <w:pPr>
                    <w:pStyle w:val="Compact"/>
                    <w:jc w:val="left"/>
                    <w:jc w:val="center"/>
                  </w:pPr>
                  <w:r>
                    <w:t xml:space="preserve">0.070</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left"/>
                    <w:jc w:val="center"/>
                  </w:pPr>
                  <w:r>
                    <w:t xml:space="preserve">2.7%</w:t>
                  </w:r>
                </w:p>
              </w:tc>
              <w:tc>
                <w:tcPr/>
                <w:p>
                  <w:pPr>
                    <w:pStyle w:val="Compact"/>
                    <w:jc w:val="left"/>
                    <w:jc w:val="center"/>
                  </w:pPr>
                  <w:r>
                    <w:t xml:space="preserve">0.73</w:t>
                  </w:r>
                </w:p>
              </w:tc>
              <w:tc>
                <w:tcPr/>
                <w:p>
                  <w:pPr>
                    <w:pStyle w:val="Compact"/>
                    <w:jc w:val="left"/>
                    <w:jc w:val="center"/>
                  </w:pPr>
                  <w:r>
                    <w:t xml:space="preserve">+0.011</w:t>
                  </w:r>
                </w:p>
              </w:tc>
              <w:tc>
                <w:tcPr/>
                <w:p>
                  <w:pPr>
                    <w:pStyle w:val="Compact"/>
                    <w:jc w:val="left"/>
                    <w:jc w:val="center"/>
                  </w:pPr>
                  <w:r>
                    <w:t xml:space="preserve">+1.06</w:t>
                  </w:r>
                </w:p>
              </w:tc>
              <w:tc>
                <w:tcPr/>
                <w:p>
                  <w:pPr>
                    <w:pStyle w:val="Compact"/>
                    <w:jc w:val="left"/>
                    <w:jc w:val="center"/>
                  </w:pPr>
                  <w:r>
                    <w:t xml:space="preserve">0.018</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left"/>
                    <w:jc w:val="center"/>
                  </w:pPr>
                  <w:r>
                    <w:t xml:space="preserve">59.1%</w:t>
                  </w:r>
                </w:p>
              </w:tc>
              <w:tc>
                <w:tcPr/>
                <w:p>
                  <w:pPr>
                    <w:pStyle w:val="Compact"/>
                    <w:jc w:val="left"/>
                    <w:jc w:val="center"/>
                  </w:pPr>
                  <w:r>
                    <w:t xml:space="preserve">0.45</w:t>
                  </w:r>
                </w:p>
              </w:tc>
              <w:tc>
                <w:tcPr/>
                <w:p>
                  <w:pPr>
                    <w:pStyle w:val="Compact"/>
                    <w:jc w:val="left"/>
                    <w:jc w:val="center"/>
                  </w:pPr>
                  <w:r>
                    <w:t xml:space="preserve">-0.004</w:t>
                  </w:r>
                </w:p>
              </w:tc>
              <w:tc>
                <w:tcPr/>
                <w:p>
                  <w:pPr>
                    <w:pStyle w:val="Compact"/>
                    <w:jc w:val="left"/>
                    <w:jc w:val="center"/>
                  </w:pPr>
                  <w:r>
                    <w:t xml:space="preserve">-4.17</w:t>
                  </w:r>
                </w:p>
              </w:tc>
              <w:tc>
                <w:tcPr/>
                <w:p>
                  <w:pPr>
                    <w:pStyle w:val="Compact"/>
                    <w:jc w:val="left"/>
                    <w:jc w:val="center"/>
                  </w:pPr>
                  <w:r>
                    <w:t xml:space="preserve">0.047</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left"/>
                    <w:jc w:val="center"/>
                  </w:pPr>
                  <w:r>
                    <w:t xml:space="preserve">61.9%</w:t>
                  </w:r>
                </w:p>
              </w:tc>
              <w:tc>
                <w:tcPr/>
                <w:p>
                  <w:pPr>
                    <w:pStyle w:val="Compact"/>
                    <w:jc w:val="left"/>
                    <w:jc w:val="center"/>
                  </w:pPr>
                  <w:r>
                    <w:t xml:space="preserve">0.43</w:t>
                  </w:r>
                </w:p>
              </w:tc>
              <w:tc>
                <w:tcPr/>
                <w:p>
                  <w:pPr>
                    <w:pStyle w:val="Compact"/>
                    <w:jc w:val="left"/>
                    <w:jc w:val="center"/>
                  </w:pPr>
                  <w:r>
                    <w:t xml:space="preserve">-0.008</w:t>
                  </w:r>
                </w:p>
              </w:tc>
              <w:tc>
                <w:tcPr/>
                <w:p>
                  <w:pPr>
                    <w:pStyle w:val="Compact"/>
                    <w:jc w:val="left"/>
                    <w:jc w:val="center"/>
                  </w:pPr>
                  <w:r>
                    <w:t xml:space="preserve">-3.75</w:t>
                  </w:r>
                </w:p>
              </w:tc>
              <w:tc>
                <w:tcPr/>
                <w:p>
                  <w:pPr>
                    <w:pStyle w:val="Compact"/>
                    <w:jc w:val="left"/>
                    <w:jc w:val="center"/>
                  </w:pPr>
                  <w:r>
                    <w:t xml:space="preserve">0.068</w:t>
                  </w:r>
                </w:p>
              </w:tc>
            </w:tr>
          </w:tbl>
          <w:bookmarkEnd w:id="57"/>
          <w:p/>
        </w:tc>
      </w:tr>
    </w:tbl>
    <w:bookmarkEnd w:id="58"/>
    <w:bookmarkStart w:id="62" w:name="X7519f55a912193215f6a0898c22ec7d335f2196"/>
    <w:p>
      <w:pPr>
        <w:pStyle w:val="Heading2"/>
      </w:pPr>
      <w:r>
        <w:t xml:space="preserve">3.14 Honest evaluation: the corrected analysis of record</w:t>
      </w:r>
    </w:p>
    <w:p>
      <w:pPr>
        <w:pStyle w:val="FirstParagraph"/>
      </w:pPr>
      <w:r>
        <w:t xml:space="preserve">The metrics in this section are the analysis of record, produced by the</w:t>
      </w:r>
      <w:r>
        <w:t xml:space="preserve"> </w:t>
      </w:r>
      <w:r>
        <w:t xml:space="preserve">leakage-free corrected (P1–P8) methods described in Methods; the</w:t>
      </w:r>
      <w:r>
        <w:t xml:space="preserve"> </w:t>
      </w:r>
      <w:r>
        <w:t xml:space="preserve">production-pipeline equivalents elsewhere are retained for comparison.</w:t>
      </w:r>
    </w:p>
    <w:p>
      <w:pPr>
        <w:pStyle w:val="BodyText"/>
      </w:pPr>
      <w:r>
        <w:rPr>
          <w:b/>
          <w:bCs/>
        </w:rPr>
        <w:t xml:space="preserve">Within-country discrimination shrinks under honest cross-validation.</w:t>
      </w:r>
      <w:r>
        <w:t xml:space="preserve"> </w:t>
      </w:r>
      <w:r>
        <w:t xml:space="preserve">Replacing random cross-validation and full-data preprocessing with</w:t>
      </w:r>
      <w:r>
        <w:t xml:space="preserve"> </w:t>
      </w:r>
      <w:r>
        <w:t xml:space="preserve">cluster-blocked and spatial-block folds and strictly in-fold preprocessing</w:t>
      </w:r>
      <w:r>
        <w:t xml:space="preserve"> </w:t>
      </w:r>
      <w:r>
        <w:t xml:space="preserve">lowers within-country discrimination, confirming that the optimistic design</w:t>
      </w:r>
      <w:r>
        <w:t xml:space="preserve"> </w:t>
      </w:r>
      <w:r>
        <w:t xml:space="preserve">overstated performance (</w:t>
      </w:r>
      <w:hyperlink w:anchor="tbl-cv-honesty">
        <w:r>
          <w:rPr>
            <w:rStyle w:val="Hyperlink"/>
          </w:rPr>
          <w:t xml:space="preserve">Table 8</w:t>
        </w:r>
      </w:hyperlink>
      <w:r>
        <w:t xml:space="preserve">). Across the four primary outcomes the</w:t>
      </w:r>
      <w:r>
        <w:t xml:space="preserve"> </w:t>
      </w:r>
      <w:r>
        <w:t xml:space="preserve">honest (cluster-block) AUC is typically a few points below the optimistic AUC</w:t>
      </w:r>
      <w:r>
        <w:t xml:space="preserve"> </w:t>
      </w:r>
      <w:r>
        <w:t xml:space="preserve">and frequently near chance, consistent with the modest area-level signal seen</w:t>
      </w:r>
      <w:r>
        <w:t xml:space="preserve"> </w:t>
      </w:r>
      <w:r>
        <w:t xml:space="preserve">throughout.</w:t>
      </w:r>
    </w:p>
    <w:tbl>
      <w:tblPr>
        <w:tblStyle w:val="Table"/>
        <w:tblW w:type="pct" w:w="5000"/>
        <w:tblLayout w:type="fixed"/>
        <w:tblLook w:firstRow="0" w:lastRow="0" w:firstColumn="0" w:lastColumn="0" w:noHBand="0" w:noVBand="0" w:val="0000"/>
      </w:tblPr>
      <w:tblGrid>
        <w:gridCol w:w="7920"/>
      </w:tblGrid>
      <w:tr>
        <w:tc>
          <w:tcPr/>
          <w:bookmarkStart w:id="59" w:name="tbl-cv-honesty"/>
          <w:p>
            <w:pPr>
              <w:jc w:val="center"/>
            </w:pPr>
            <w:pPr>
              <w:jc w:val="start"/>
              <w:spacing w:before="200"/>
              <w:pStyle w:val="ImageCaption"/>
            </w:pPr>
            <w:r>
              <w:t xml:space="preserve">Table 8: Within-country binary discrimination (AUC) under optimistic versus honest cross-validation, from the corrected methods (results/tables/corrected/cv_honesty_compare.csv). Honest schemes block folds by survey cluster and by spatial region and confine all preprocessing to the training fold.</w:t>
            </w:r>
          </w:p>
          <w:tbl>
            <w:tblPr>
              <w:tblStyle w:val="Table"/>
              <w:tblW w:type="pct" w:w="5000"/>
              <w:tblLayout w:type="fixed"/>
              <w:tblLook w:firstRow="1" w:lastRow="0" w:firstColumn="0" w:lastColumn="0" w:noHBand="0" w:noVBand="0" w:val="0020"/>
            </w:tblPr>
            <w:tblGrid>
              <w:gridCol w:w="1240"/>
              <w:gridCol w:w="1240"/>
              <w:gridCol w:w="1049"/>
              <w:gridCol w:w="2194"/>
              <w:gridCol w:w="2194"/>
            </w:tblGrid>
            <w:tr>
              <w:trPr>
                <w:tblHeader w:val="on"/>
              </w:trPr>
              <w:tc>
                <w:tcPr/>
                <w:p>
                  <w:pPr>
                    <w:pStyle w:val="Compact"/>
                    <w:jc w:val="left"/>
                    <w:jc w:val="center"/>
                  </w:pPr>
                  <w:r>
                    <w:t xml:space="preserve">Country</w:t>
                  </w:r>
                </w:p>
              </w:tc>
              <w:tc>
                <w:tcPr/>
                <w:p>
                  <w:pPr>
                    <w:pStyle w:val="Compact"/>
                    <w:jc w:val="left"/>
                    <w:jc w:val="center"/>
                  </w:pPr>
                  <w:r>
                    <w:t xml:space="preserve">Outcome</w:t>
                  </w:r>
                </w:p>
              </w:tc>
              <w:tc>
                <w:tcPr/>
                <w:p>
                  <w:pPr>
                    <w:pStyle w:val="Compact"/>
                    <w:jc w:val="right"/>
                    <w:jc w:val="center"/>
                  </w:pPr>
                  <w:r>
                    <w:t xml:space="preserve">Optimistic</w:t>
                  </w:r>
                </w:p>
              </w:tc>
              <w:tc>
                <w:tcPr/>
                <w:p>
                  <w:pPr>
                    <w:pStyle w:val="Compact"/>
                    <w:jc w:val="right"/>
                    <w:jc w:val="center"/>
                  </w:pPr>
                  <w:r>
                    <w:t xml:space="preserve">Cluster-block (honest)</w:t>
                  </w:r>
                </w:p>
              </w:tc>
              <w:tc>
                <w:tcPr/>
                <w:p>
                  <w:pPr>
                    <w:pStyle w:val="Compact"/>
                    <w:jc w:val="right"/>
                    <w:jc w:val="center"/>
                  </w:pPr>
                  <w:r>
                    <w:t xml:space="preserve">Spatial-block (honest)</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right"/>
                    <w:jc w:val="center"/>
                  </w:pPr>
                  <w:r>
                    <w:t xml:space="preserve">0.57</w:t>
                  </w:r>
                </w:p>
              </w:tc>
              <w:tc>
                <w:tcPr/>
                <w:p>
                  <w:pPr>
                    <w:pStyle w:val="Compact"/>
                    <w:jc w:val="right"/>
                    <w:jc w:val="center"/>
                  </w:pPr>
                  <w:r>
                    <w:t xml:space="preserve">0.53</w:t>
                  </w:r>
                </w:p>
              </w:tc>
              <w:tc>
                <w:tcPr/>
                <w:p>
                  <w:pPr>
                    <w:pStyle w:val="Compact"/>
                    <w:jc w:val="right"/>
                    <w:jc w:val="center"/>
                  </w:pPr>
                  <w:r>
                    <w:t xml:space="preserve">0.53</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right"/>
                    <w:jc w:val="center"/>
                  </w:pPr>
                  <w:r>
                    <w:t xml:space="preserve">0.65</w:t>
                  </w:r>
                </w:p>
              </w:tc>
              <w:tc>
                <w:tcPr/>
                <w:p>
                  <w:pPr>
                    <w:pStyle w:val="Compact"/>
                    <w:jc w:val="right"/>
                    <w:jc w:val="center"/>
                  </w:pPr>
                  <w:r>
                    <w:t xml:space="preserve">0.61</w:t>
                  </w:r>
                </w:p>
              </w:tc>
              <w:tc>
                <w:tcPr/>
                <w:p>
                  <w:pPr>
                    <w:pStyle w:val="Compact"/>
                    <w:jc w:val="right"/>
                    <w:jc w:val="center"/>
                  </w:pPr>
                  <w:r>
                    <w:t xml:space="preserve">0.60</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right"/>
                    <w:jc w:val="center"/>
                  </w:pPr>
                  <w:r>
                    <w:t xml:space="preserve">0.62</w:t>
                  </w:r>
                </w:p>
              </w:tc>
              <w:tc>
                <w:tcPr/>
                <w:p>
                  <w:pPr>
                    <w:pStyle w:val="Compact"/>
                    <w:jc w:val="right"/>
                    <w:jc w:val="center"/>
                  </w:pPr>
                  <w:r>
                    <w:t xml:space="preserve">0.63</w:t>
                  </w:r>
                </w:p>
              </w:tc>
              <w:tc>
                <w:tcPr/>
                <w:p>
                  <w:pPr>
                    <w:pStyle w:val="Compact"/>
                    <w:jc w:val="right"/>
                    <w:jc w:val="center"/>
                  </w:pPr>
                  <w:r>
                    <w:t xml:space="preserve">0.61</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right"/>
                    <w:jc w:val="center"/>
                  </w:pPr>
                  <w:r>
                    <w:t xml:space="preserve">0.71</w:t>
                  </w:r>
                </w:p>
              </w:tc>
              <w:tc>
                <w:tcPr/>
                <w:p>
                  <w:pPr>
                    <w:pStyle w:val="Compact"/>
                    <w:jc w:val="right"/>
                    <w:jc w:val="center"/>
                  </w:pPr>
                  <w:r>
                    <w:t xml:space="preserve">0.46</w:t>
                  </w:r>
                </w:p>
              </w:tc>
              <w:tc>
                <w:tcPr/>
                <w:p>
                  <w:pPr>
                    <w:pStyle w:val="Compact"/>
                    <w:jc w:val="right"/>
                    <w:jc w:val="center"/>
                  </w:pPr>
                  <w:r>
                    <w:t xml:space="preserve">0.62</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right"/>
                    <w:jc w:val="center"/>
                  </w:pPr>
                  <w:r>
                    <w:t xml:space="preserve">0.68</w:t>
                  </w:r>
                </w:p>
              </w:tc>
              <w:tc>
                <w:tcPr/>
                <w:p>
                  <w:pPr>
                    <w:pStyle w:val="Compact"/>
                    <w:jc w:val="right"/>
                    <w:jc w:val="center"/>
                  </w:pPr>
                  <w:r>
                    <w:t xml:space="preserve">0.63</w:t>
                  </w:r>
                </w:p>
              </w:tc>
              <w:tc>
                <w:tcPr/>
                <w:p>
                  <w:pPr>
                    <w:pStyle w:val="Compact"/>
                    <w:jc w:val="right"/>
                    <w:jc w:val="center"/>
                  </w:pPr>
                  <w:r>
                    <w:t xml:space="preserve">0.66</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right"/>
                    <w:jc w:val="center"/>
                  </w:pPr>
                  <w:r>
                    <w:t xml:space="preserve">0.55</w:t>
                  </w:r>
                </w:p>
              </w:tc>
              <w:tc>
                <w:tcPr/>
                <w:p>
                  <w:pPr>
                    <w:pStyle w:val="Compact"/>
                    <w:jc w:val="right"/>
                    <w:jc w:val="center"/>
                  </w:pPr>
                  <w:r>
                    <w:t xml:space="preserve">0.56</w:t>
                  </w:r>
                </w:p>
              </w:tc>
              <w:tc>
                <w:tcPr/>
                <w:p>
                  <w:pPr>
                    <w:pStyle w:val="Compact"/>
                    <w:jc w:val="right"/>
                    <w:jc w:val="center"/>
                  </w:pPr>
                  <w:r>
                    <w:t xml:space="preserve">0.59</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right"/>
                    <w:jc w:val="center"/>
                  </w:pPr>
                  <w:r>
                    <w:t xml:space="preserve">0.67</w:t>
                  </w:r>
                </w:p>
              </w:tc>
              <w:tc>
                <w:tcPr/>
                <w:p>
                  <w:pPr>
                    <w:pStyle w:val="Compact"/>
                    <w:jc w:val="right"/>
                    <w:jc w:val="center"/>
                  </w:pPr>
                  <w:r>
                    <w:t xml:space="preserve">0.63</w:t>
                  </w:r>
                </w:p>
              </w:tc>
              <w:tc>
                <w:tcPr/>
                <w:p>
                  <w:pPr>
                    <w:pStyle w:val="Compact"/>
                    <w:jc w:val="right"/>
                    <w:jc w:val="center"/>
                  </w:pPr>
                  <w:r>
                    <w:t xml:space="preserve">0.64</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right"/>
                    <w:jc w:val="center"/>
                  </w:pPr>
                  <w:r>
                    <w:t xml:space="preserve">0.60</w:t>
                  </w:r>
                </w:p>
              </w:tc>
              <w:tc>
                <w:tcPr/>
                <w:p>
                  <w:pPr>
                    <w:pStyle w:val="Compact"/>
                    <w:jc w:val="right"/>
                    <w:jc w:val="center"/>
                  </w:pPr>
                  <w:r>
                    <w:t xml:space="preserve">0.54</w:t>
                  </w:r>
                </w:p>
              </w:tc>
              <w:tc>
                <w:tcPr/>
                <w:p>
                  <w:pPr>
                    <w:pStyle w:val="Compact"/>
                    <w:jc w:val="right"/>
                    <w:jc w:val="center"/>
                  </w:pPr>
                  <w:r>
                    <w:t xml:space="preserve">0.60</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right"/>
                    <w:jc w:val="center"/>
                  </w:pPr>
                  <w:r>
                    <w:t xml:space="preserve">0.57</w:t>
                  </w:r>
                </w:p>
              </w:tc>
              <w:tc>
                <w:tcPr/>
                <w:p>
                  <w:pPr>
                    <w:pStyle w:val="Compact"/>
                    <w:jc w:val="right"/>
                    <w:jc w:val="center"/>
                  </w:pPr>
                  <w:r>
                    <w:t xml:space="preserve">0.57</w:t>
                  </w:r>
                </w:p>
              </w:tc>
              <w:tc>
                <w:tcPr/>
                <w:p>
                  <w:pPr>
                    <w:pStyle w:val="Compact"/>
                    <w:jc w:val="right"/>
                    <w:jc w:val="center"/>
                  </w:pPr>
                  <w:r>
                    <w:t xml:space="preserve">0.59</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right"/>
                    <w:jc w:val="center"/>
                  </w:pPr>
                  <w:r>
                    <w:t xml:space="preserve">0.60</w:t>
                  </w:r>
                </w:p>
              </w:tc>
              <w:tc>
                <w:tcPr/>
                <w:p>
                  <w:pPr>
                    <w:pStyle w:val="Compact"/>
                    <w:jc w:val="right"/>
                    <w:jc w:val="center"/>
                  </w:pPr>
                  <w:r>
                    <w:t xml:space="preserve">0.66</w:t>
                  </w:r>
                </w:p>
              </w:tc>
              <w:tc>
                <w:tcPr/>
                <w:p>
                  <w:pPr>
                    <w:pStyle w:val="Compact"/>
                    <w:jc w:val="right"/>
                    <w:jc w:val="center"/>
                  </w:pPr>
                  <w:r>
                    <w:t xml:space="preserve">0.50</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right"/>
                    <w:jc w:val="center"/>
                  </w:pPr>
                  <w:r>
                    <w:t xml:space="preserve">0.55</w:t>
                  </w:r>
                </w:p>
              </w:tc>
              <w:tc>
                <w:tcPr/>
                <w:p>
                  <w:pPr>
                    <w:pStyle w:val="Compact"/>
                    <w:jc w:val="right"/>
                    <w:jc w:val="center"/>
                  </w:pPr>
                  <w:r>
                    <w:t xml:space="preserve">0.53</w:t>
                  </w:r>
                </w:p>
              </w:tc>
              <w:tc>
                <w:tcPr/>
                <w:p>
                  <w:pPr>
                    <w:pStyle w:val="Compact"/>
                    <w:jc w:val="right"/>
                    <w:jc w:val="center"/>
                  </w:pPr>
                  <w:r>
                    <w:t xml:space="preserve">0.54</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right"/>
                    <w:jc w:val="center"/>
                  </w:pPr>
                  <w:r>
                    <w:t xml:space="preserve">0.60</w:t>
                  </w:r>
                </w:p>
              </w:tc>
              <w:tc>
                <w:tcPr/>
                <w:p>
                  <w:pPr>
                    <w:pStyle w:val="Compact"/>
                    <w:jc w:val="right"/>
                    <w:jc w:val="center"/>
                  </w:pPr>
                  <w:r>
                    <w:t xml:space="preserve">0.57</w:t>
                  </w:r>
                </w:p>
              </w:tc>
              <w:tc>
                <w:tcPr/>
                <w:p>
                  <w:pPr>
                    <w:pStyle w:val="Compact"/>
                    <w:jc w:val="right"/>
                    <w:jc w:val="center"/>
                  </w:pPr>
                  <w:r>
                    <w:t xml:space="preserve">0.53</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right"/>
                    <w:jc w:val="center"/>
                  </w:pPr>
                  <w:r>
                    <w:t xml:space="preserve">0.70</w:t>
                  </w:r>
                </w:p>
              </w:tc>
              <w:tc>
                <w:tcPr/>
                <w:p>
                  <w:pPr>
                    <w:pStyle w:val="Compact"/>
                    <w:jc w:val="right"/>
                    <w:jc w:val="center"/>
                  </w:pPr>
                  <w:r>
                    <w:t xml:space="preserve">0.49</w:t>
                  </w:r>
                </w:p>
              </w:tc>
              <w:tc>
                <w:tcPr/>
                <w:p>
                  <w:pPr>
                    <w:pStyle w:val="Compact"/>
                    <w:jc w:val="right"/>
                    <w:jc w:val="center"/>
                  </w:pPr>
                  <w:r>
                    <w:t xml:space="preserve">0.48</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right"/>
                    <w:jc w:val="center"/>
                  </w:pPr>
                  <w:r>
                    <w:t xml:space="preserve">0.76</w:t>
                  </w:r>
                </w:p>
              </w:tc>
              <w:tc>
                <w:tcPr/>
                <w:p>
                  <w:pPr>
                    <w:pStyle w:val="Compact"/>
                    <w:jc w:val="right"/>
                    <w:jc w:val="center"/>
                  </w:pPr>
                  <w:r>
                    <w:t xml:space="preserve">0.63</w:t>
                  </w:r>
                </w:p>
              </w:tc>
              <w:tc>
                <w:tcPr/>
                <w:p>
                  <w:pPr>
                    <w:pStyle w:val="Compact"/>
                    <w:jc w:val="right"/>
                    <w:jc w:val="center"/>
                  </w:pPr>
                  <w:r>
                    <w:t xml:space="preserve">0.62</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right"/>
                    <w:jc w:val="center"/>
                  </w:pPr>
                  <w:r>
                    <w:t xml:space="preserve">0.72</w:t>
                  </w:r>
                </w:p>
              </w:tc>
              <w:tc>
                <w:tcPr/>
                <w:p>
                  <w:pPr>
                    <w:pStyle w:val="Compact"/>
                    <w:jc w:val="right"/>
                    <w:jc w:val="center"/>
                  </w:pPr>
                  <w:r>
                    <w:t xml:space="preserve">0.55</w:t>
                  </w:r>
                </w:p>
              </w:tc>
              <w:tc>
                <w:tcPr/>
                <w:p>
                  <w:pPr>
                    <w:pStyle w:val="Compact"/>
                    <w:jc w:val="right"/>
                    <w:jc w:val="center"/>
                  </w:pPr>
                  <w:r>
                    <w:t xml:space="preserve">0.62</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right"/>
                    <w:jc w:val="center"/>
                  </w:pPr>
                  <w:r>
                    <w:t xml:space="preserve">0.61</w:t>
                  </w:r>
                </w:p>
              </w:tc>
              <w:tc>
                <w:tcPr/>
                <w:p>
                  <w:pPr>
                    <w:pStyle w:val="Compact"/>
                    <w:jc w:val="right"/>
                    <w:jc w:val="center"/>
                  </w:pPr>
                  <w:r>
                    <w:t xml:space="preserve">0.54</w:t>
                  </w:r>
                </w:p>
              </w:tc>
              <w:tc>
                <w:tcPr/>
                <w:p>
                  <w:pPr>
                    <w:pStyle w:val="Compact"/>
                    <w:jc w:val="right"/>
                    <w:jc w:val="center"/>
                  </w:pPr>
                  <w:r>
                    <w:t xml:space="preserve">0.53</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right"/>
                    <w:jc w:val="center"/>
                  </w:pPr>
                  <w:r>
                    <w:t xml:space="preserve">0.53</w:t>
                  </w:r>
                </w:p>
              </w:tc>
              <w:tc>
                <w:tcPr/>
                <w:p>
                  <w:pPr>
                    <w:pStyle w:val="Compact"/>
                    <w:jc w:val="right"/>
                    <w:jc w:val="center"/>
                  </w:pPr>
                  <w:r>
                    <w:t xml:space="preserve">0.48</w:t>
                  </w:r>
                </w:p>
              </w:tc>
              <w:tc>
                <w:tcPr/>
                <w:p>
                  <w:pPr>
                    <w:pStyle w:val="Compact"/>
                    <w:jc w:val="right"/>
                    <w:jc w:val="center"/>
                  </w:pPr>
                  <w:r>
                    <w:t xml:space="preserve">0.57</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right"/>
                    <w:jc w:val="center"/>
                  </w:pPr>
                  <w:r>
                    <w:t xml:space="preserve">0.71</w:t>
                  </w:r>
                </w:p>
              </w:tc>
              <w:tc>
                <w:tcPr/>
                <w:p>
                  <w:pPr>
                    <w:pStyle w:val="Compact"/>
                    <w:jc w:val="right"/>
                    <w:jc w:val="center"/>
                  </w:pPr>
                  <w:r>
                    <w:t xml:space="preserve">0.51</w:t>
                  </w:r>
                </w:p>
              </w:tc>
              <w:tc>
                <w:tcPr/>
                <w:p>
                  <w:pPr>
                    <w:pStyle w:val="Compact"/>
                    <w:jc w:val="right"/>
                    <w:jc w:val="center"/>
                  </w:pPr>
                  <w:r>
                    <w:t xml:space="preserve">0.49</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right"/>
                    <w:jc w:val="center"/>
                  </w:pPr>
                  <w:r>
                    <w:t xml:space="preserve">0.42</w:t>
                  </w:r>
                </w:p>
              </w:tc>
              <w:tc>
                <w:tcPr/>
                <w:p>
                  <w:pPr>
                    <w:pStyle w:val="Compact"/>
                    <w:jc w:val="right"/>
                    <w:jc w:val="center"/>
                  </w:pPr>
                  <w:r>
                    <w:t xml:space="preserve">0.51</w:t>
                  </w:r>
                </w:p>
              </w:tc>
              <w:tc>
                <w:tcPr/>
                <w:p>
                  <w:pPr>
                    <w:pStyle w:val="Compact"/>
                    <w:jc w:val="right"/>
                    <w:jc w:val="center"/>
                  </w:pPr>
                  <w:r>
                    <w:t xml:space="preserve">0.45</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right"/>
                    <w:jc w:val="center"/>
                  </w:pPr>
                  <w:r>
                    <w:t xml:space="preserve">0.47</w:t>
                  </w:r>
                </w:p>
              </w:tc>
              <w:tc>
                <w:tcPr/>
                <w:p>
                  <w:pPr>
                    <w:pStyle w:val="Compact"/>
                    <w:jc w:val="right"/>
                    <w:jc w:val="center"/>
                  </w:pPr>
                  <w:r>
                    <w:t xml:space="preserve">0.52</w:t>
                  </w:r>
                </w:p>
              </w:tc>
              <w:tc>
                <w:tcPr/>
                <w:p>
                  <w:pPr>
                    <w:pStyle w:val="Compact"/>
                    <w:jc w:val="right"/>
                    <w:jc w:val="center"/>
                  </w:pPr>
                  <w:r>
                    <w:t xml:space="preserve">0.44</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right"/>
                    <w:jc w:val="center"/>
                  </w:pPr>
                  <w:r>
                    <w:t xml:space="preserve">0.43</w:t>
                  </w:r>
                </w:p>
              </w:tc>
              <w:tc>
                <w:tcPr/>
                <w:p>
                  <w:pPr>
                    <w:pStyle w:val="Compact"/>
                    <w:jc w:val="right"/>
                    <w:jc w:val="center"/>
                  </w:pPr>
                  <w:r>
                    <w:t xml:space="preserve">0.62</w:t>
                  </w:r>
                </w:p>
              </w:tc>
              <w:tc>
                <w:tcPr/>
                <w:p>
                  <w:pPr>
                    <w:pStyle w:val="Compact"/>
                    <w:jc w:val="right"/>
                    <w:jc w:val="center"/>
                  </w:pPr>
                  <w:r>
                    <w:t xml:space="preserve">0.18</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right"/>
                    <w:jc w:val="center"/>
                  </w:pPr>
                  <w:r>
                    <w:t xml:space="preserve">0.65</w:t>
                  </w:r>
                </w:p>
              </w:tc>
              <w:tc>
                <w:tcPr/>
                <w:p>
                  <w:pPr>
                    <w:pStyle w:val="Compact"/>
                    <w:jc w:val="right"/>
                    <w:jc w:val="center"/>
                  </w:pPr>
                  <w:r>
                    <w:t xml:space="preserve">0.44</w:t>
                  </w:r>
                </w:p>
              </w:tc>
              <w:tc>
                <w:tcPr/>
                <w:p>
                  <w:pPr>
                    <w:pStyle w:val="Compact"/>
                    <w:jc w:val="right"/>
                    <w:jc w:val="center"/>
                  </w:pPr>
                  <w:r>
                    <w:t xml:space="preserve">0.52</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right"/>
                    <w:jc w:val="center"/>
                  </w:pPr>
                  <w:r>
                    <w:t xml:space="preserve">0.56</w:t>
                  </w:r>
                </w:p>
              </w:tc>
              <w:tc>
                <w:tcPr/>
                <w:p>
                  <w:pPr>
                    <w:pStyle w:val="Compact"/>
                    <w:jc w:val="right"/>
                    <w:jc w:val="center"/>
                  </w:pPr>
                  <w:r>
                    <w:t xml:space="preserve">0.50</w:t>
                  </w:r>
                </w:p>
              </w:tc>
              <w:tc>
                <w:tcPr/>
                <w:p>
                  <w:pPr>
                    <w:pStyle w:val="Compact"/>
                    <w:jc w:val="right"/>
                    <w:jc w:val="center"/>
                  </w:pPr>
                  <w:r>
                    <w:t xml:space="preserve">0.54</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right"/>
                    <w:jc w:val="center"/>
                  </w:pPr>
                  <w:r>
                    <w:t xml:space="preserve">0.59</w:t>
                  </w:r>
                </w:p>
              </w:tc>
              <w:tc>
                <w:tcPr/>
                <w:p>
                  <w:pPr>
                    <w:pStyle w:val="Compact"/>
                    <w:jc w:val="right"/>
                    <w:jc w:val="center"/>
                  </w:pPr>
                  <w:r>
                    <w:t xml:space="preserve">0.45</w:t>
                  </w:r>
                </w:p>
              </w:tc>
              <w:tc>
                <w:tcPr/>
                <w:p>
                  <w:pPr>
                    <w:pStyle w:val="Compact"/>
                    <w:jc w:val="right"/>
                    <w:jc w:val="center"/>
                  </w:pPr>
                  <w:r>
                    <w:t xml:space="preserve">0.41</w:t>
                  </w:r>
                </w:p>
              </w:tc>
            </w:tr>
          </w:tbl>
          <w:bookmarkEnd w:id="59"/>
          <w:p/>
        </w:tc>
      </w:tr>
    </w:tbl>
    <w:p>
      <w:pPr>
        <w:pStyle w:val="BodyText"/>
      </w:pPr>
      <w:r>
        <w:rPr>
          <w:b/>
          <w:bCs/>
        </w:rPr>
        <w:t xml:space="preserve">Out-of-fold calibration.</w:t>
      </w:r>
      <w:r>
        <w:t xml:space="preserve"> </w:t>
      </w:r>
      <w:r>
        <w:t xml:space="preserve">Recalibrating binary predictions out-of-fold</w:t>
      </w:r>
      <w:r>
        <w:t xml:space="preserve"> </w:t>
      </w:r>
      <w:r>
        <w:t xml:space="preserve">(rather than in-sample) gives an honest picture of calibration; the in-sample</w:t>
      </w:r>
      <w:r>
        <w:t xml:space="preserve"> </w:t>
      </w:r>
      <w:r>
        <w:t xml:space="preserve">Platt fit is optimistic by construction (slope forced toward 1). Raw and</w:t>
      </w:r>
      <w:r>
        <w:t xml:space="preserve"> </w:t>
      </w:r>
      <w:r>
        <w:t xml:space="preserve">out-of-fold-calibrated slopes are reported per outcome in</w:t>
      </w:r>
      <w:r>
        <w:t xml:space="preserve"> </w:t>
      </w:r>
      <w:r>
        <w:rPr>
          <w:rStyle w:val="VerbatimChar"/>
        </w:rPr>
        <w:t xml:space="preserve">results/tables/corrected/calibration_oof_compare.csv</w:t>
      </w:r>
      <w:r>
        <w:t xml:space="preserve">.</w:t>
      </w:r>
    </w:p>
    <w:p>
      <w:pPr>
        <w:pStyle w:val="BodyText"/>
      </w:pPr>
      <w:r>
        <w:rPr>
          <w:b/>
          <w:bCs/>
        </w:rPr>
        <w:t xml:space="preserve">Admin-2 error, separating sampling noise from model error.</w:t>
      </w:r>
      <w:r>
        <w:t xml:space="preserve"> </w:t>
      </w:r>
      <w:r>
        <w:t xml:space="preserve">A substantial</w:t>
      </w:r>
      <w:r>
        <w:t xml:space="preserve"> </w:t>
      </w:r>
      <w:r>
        <w:t xml:space="preserve">part of the apparent district-level error is survey sampling noise rather than</w:t>
      </w:r>
      <w:r>
        <w:t xml:space="preserve"> </w:t>
      </w:r>
      <w:r>
        <w:t xml:space="preserve">model error. After removing the sampling-variance component, the</w:t>
      </w:r>
      <w:r>
        <w:t xml:space="preserve"> </w:t>
      </w:r>
      <w:r>
        <w:t xml:space="preserve">sampling-adjusted RMSE is the honest measure of how far model predictions sit</w:t>
      </w:r>
      <w:r>
        <w:t xml:space="preserve"> </w:t>
      </w:r>
      <w:r>
        <w:t xml:space="preserve">from the true district prevalence (</w:t>
      </w:r>
      <w:hyperlink w:anchor="tbl-corr-error">
        <w:r>
          <w:rPr>
            <w:rStyle w:val="Hyperlink"/>
          </w:rPr>
          <w:t xml:space="preserve">Table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 w:name="tbl-corr-error"/>
          <w:p>
            <w:pPr>
              <w:jc w:val="center"/>
            </w:pPr>
            <w:pPr>
              <w:jc w:val="start"/>
              <w:spacing w:before="200"/>
              <w:pStyle w:val="ImageCaption"/>
            </w:pPr>
            <w:r>
              <w:t xml:space="preserve">Table 9: Admin-2 prediction error decomposed into a survey-sampling component and a model component (results/tables/corrected/admin2_error_sampling_adjusted.csv). Naive RMSE is the raw predicted-vs-survey error; the sampling component is what survey noise alone would produce; the adjusted RMSE is the honest model error.</w:t>
            </w:r>
          </w:p>
          <w:tbl>
            <w:tblPr>
              <w:tblStyle w:val="Table"/>
              <w:tblW w:type="pct" w:w="5000"/>
              <w:tblLayout w:type="fixed"/>
              <w:tblLook w:firstRow="1" w:lastRow="0" w:firstColumn="0" w:lastColumn="0" w:noHBand="0" w:noVBand="0" w:val="0020"/>
            </w:tblPr>
            <w:tblGrid>
              <w:gridCol w:w="1095"/>
              <w:gridCol w:w="1095"/>
              <w:gridCol w:w="674"/>
              <w:gridCol w:w="1348"/>
              <w:gridCol w:w="1600"/>
              <w:gridCol w:w="1600"/>
              <w:gridCol w:w="505"/>
            </w:tblGrid>
            <w:tr>
              <w:trPr>
                <w:tblHeader w:val="on"/>
              </w:trPr>
              <w:tc>
                <w:tcPr/>
                <w:p>
                  <w:pPr>
                    <w:pStyle w:val="Compact"/>
                    <w:jc w:val="left"/>
                    <w:jc w:val="center"/>
                  </w:pPr>
                  <w:r>
                    <w:t xml:space="preserve">Country</w:t>
                  </w:r>
                </w:p>
              </w:tc>
              <w:tc>
                <w:tcPr/>
                <w:p>
                  <w:pPr>
                    <w:pStyle w:val="Compact"/>
                    <w:jc w:val="left"/>
                    <w:jc w:val="center"/>
                  </w:pPr>
                  <w:r>
                    <w:t xml:space="preserve">Outcome</w:t>
                  </w:r>
                </w:p>
              </w:tc>
              <w:tc>
                <w:tcPr/>
                <w:p>
                  <w:pPr>
                    <w:pStyle w:val="Compact"/>
                    <w:jc w:val="right"/>
                    <w:jc w:val="center"/>
                  </w:pPr>
                  <w:r>
                    <w:t xml:space="preserve">n areas</w:t>
                  </w:r>
                </w:p>
              </w:tc>
              <w:tc>
                <w:tcPr/>
                <w:p>
                  <w:pPr>
                    <w:pStyle w:val="Compact"/>
                    <w:jc w:val="right"/>
                    <w:jc w:val="center"/>
                  </w:pPr>
                  <w:r>
                    <w:t xml:space="preserve">Naive RMSE (pp)</w:t>
                  </w:r>
                </w:p>
              </w:tc>
              <w:tc>
                <w:tcPr/>
                <w:p>
                  <w:pPr>
                    <w:pStyle w:val="Compact"/>
                    <w:jc w:val="right"/>
                    <w:jc w:val="center"/>
                  </w:pPr>
                  <w:r>
                    <w:t xml:space="preserve">Sampling RMSE (pp)</w:t>
                  </w:r>
                </w:p>
              </w:tc>
              <w:tc>
                <w:tcPr/>
                <w:p>
                  <w:pPr>
                    <w:pStyle w:val="Compact"/>
                    <w:jc w:val="right"/>
                    <w:jc w:val="center"/>
                  </w:pPr>
                  <w:r>
                    <w:t xml:space="preserve">Adjusted RMSE (pp)</w:t>
                  </w:r>
                </w:p>
              </w:tc>
              <w:tc>
                <w:tcPr/>
                <w:p>
                  <w:pPr>
                    <w:pStyle w:val="Compact"/>
                    <w:jc w:val="right"/>
                    <w:jc w:val="center"/>
                  </w:pPr>
                  <w:r>
                    <w:t xml:space="preserve">r</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right"/>
                    <w:jc w:val="center"/>
                  </w:pPr>
                  <w:r>
                    <w:t xml:space="preserve">30</w:t>
                  </w:r>
                </w:p>
              </w:tc>
              <w:tc>
                <w:tcPr/>
                <w:p>
                  <w:pPr>
                    <w:pStyle w:val="Compact"/>
                    <w:jc w:val="right"/>
                    <w:jc w:val="center"/>
                  </w:pPr>
                  <w:r>
                    <w:t xml:space="preserve">11.97</w:t>
                  </w:r>
                </w:p>
              </w:tc>
              <w:tc>
                <w:tcPr/>
                <w:p>
                  <w:pPr>
                    <w:pStyle w:val="Compact"/>
                    <w:jc w:val="right"/>
                    <w:jc w:val="center"/>
                  </w:pPr>
                  <w:r>
                    <w:t xml:space="preserve">3.03</w:t>
                  </w:r>
                </w:p>
              </w:tc>
              <w:tc>
                <w:tcPr/>
                <w:p>
                  <w:pPr>
                    <w:pStyle w:val="Compact"/>
                    <w:jc w:val="right"/>
                    <w:jc w:val="center"/>
                  </w:pPr>
                  <w:r>
                    <w:t xml:space="preserve">11.58</w:t>
                  </w:r>
                </w:p>
              </w:tc>
              <w:tc>
                <w:tcPr/>
                <w:p>
                  <w:pPr>
                    <w:pStyle w:val="Compact"/>
                    <w:jc w:val="right"/>
                    <w:jc w:val="center"/>
                  </w:pPr>
                  <w:r>
                    <w:t xml:space="preserve">0.48</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right"/>
                    <w:jc w:val="center"/>
                  </w:pPr>
                  <w:r>
                    <w:t xml:space="preserve">30</w:t>
                  </w:r>
                </w:p>
              </w:tc>
              <w:tc>
                <w:tcPr/>
                <w:p>
                  <w:pPr>
                    <w:pStyle w:val="Compact"/>
                    <w:jc w:val="right"/>
                    <w:jc w:val="center"/>
                  </w:pPr>
                  <w:r>
                    <w:t xml:space="preserve">4.77</w:t>
                  </w:r>
                </w:p>
              </w:tc>
              <w:tc>
                <w:tcPr/>
                <w:p>
                  <w:pPr>
                    <w:pStyle w:val="Compact"/>
                    <w:jc w:val="right"/>
                    <w:jc w:val="center"/>
                  </w:pPr>
                  <w:r>
                    <w:t xml:space="preserve">0.91</w:t>
                  </w:r>
                </w:p>
              </w:tc>
              <w:tc>
                <w:tcPr/>
                <w:p>
                  <w:pPr>
                    <w:pStyle w:val="Compact"/>
                    <w:jc w:val="right"/>
                    <w:jc w:val="center"/>
                  </w:pPr>
                  <w:r>
                    <w:t xml:space="preserve">4.68</w:t>
                  </w:r>
                </w:p>
              </w:tc>
              <w:tc>
                <w:tcPr/>
                <w:p>
                  <w:pPr>
                    <w:pStyle w:val="Compact"/>
                    <w:jc w:val="right"/>
                    <w:jc w:val="center"/>
                  </w:pPr>
                  <w:r>
                    <w:t xml:space="preserve">0.25</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right"/>
                    <w:jc w:val="center"/>
                  </w:pPr>
                  <w:r>
                    <w:t xml:space="preserve">30</w:t>
                  </w:r>
                </w:p>
              </w:tc>
              <w:tc>
                <w:tcPr/>
                <w:p>
                  <w:pPr>
                    <w:pStyle w:val="Compact"/>
                    <w:jc w:val="right"/>
                    <w:jc w:val="center"/>
                  </w:pPr>
                  <w:r>
                    <w:t xml:space="preserve">26.63</w:t>
                  </w:r>
                </w:p>
              </w:tc>
              <w:tc>
                <w:tcPr/>
                <w:p>
                  <w:pPr>
                    <w:pStyle w:val="Compact"/>
                    <w:jc w:val="right"/>
                    <w:jc w:val="center"/>
                  </w:pPr>
                  <w:r>
                    <w:t xml:space="preserve">3.50</w:t>
                  </w:r>
                </w:p>
              </w:tc>
              <w:tc>
                <w:tcPr/>
                <w:p>
                  <w:pPr>
                    <w:pStyle w:val="Compact"/>
                    <w:jc w:val="right"/>
                    <w:jc w:val="center"/>
                  </w:pPr>
                  <w:r>
                    <w:t xml:space="preserve">26.39</w:t>
                  </w:r>
                </w:p>
              </w:tc>
              <w:tc>
                <w:tcPr/>
                <w:p>
                  <w:pPr>
                    <w:pStyle w:val="Compact"/>
                    <w:jc w:val="right"/>
                    <w:jc w:val="center"/>
                  </w:pPr>
                  <w:r>
                    <w:t xml:space="preserve">0.45</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right"/>
                    <w:jc w:val="center"/>
                  </w:pPr>
                  <w:r>
                    <w:t xml:space="preserve">30</w:t>
                  </w:r>
                </w:p>
              </w:tc>
              <w:tc>
                <w:tcPr/>
                <w:p>
                  <w:pPr>
                    <w:pStyle w:val="Compact"/>
                    <w:jc w:val="right"/>
                    <w:jc w:val="center"/>
                  </w:pPr>
                  <w:r>
                    <w:t xml:space="preserve">20.30</w:t>
                  </w:r>
                </w:p>
              </w:tc>
              <w:tc>
                <w:tcPr/>
                <w:p>
                  <w:pPr>
                    <w:pStyle w:val="Compact"/>
                    <w:jc w:val="right"/>
                    <w:jc w:val="center"/>
                  </w:pPr>
                  <w:r>
                    <w:t xml:space="preserve">4.31</w:t>
                  </w:r>
                </w:p>
              </w:tc>
              <w:tc>
                <w:tcPr/>
                <w:p>
                  <w:pPr>
                    <w:pStyle w:val="Compact"/>
                    <w:jc w:val="right"/>
                    <w:jc w:val="center"/>
                  </w:pPr>
                  <w:r>
                    <w:t xml:space="preserve">19.84</w:t>
                  </w:r>
                </w:p>
              </w:tc>
              <w:tc>
                <w:tcPr/>
                <w:p>
                  <w:pPr>
                    <w:pStyle w:val="Compact"/>
                    <w:jc w:val="right"/>
                    <w:jc w:val="center"/>
                  </w:pPr>
                  <w:r>
                    <w:t xml:space="preserve">0.67</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right"/>
                    <w:jc w:val="center"/>
                  </w:pPr>
                  <w:r>
                    <w:t xml:space="preserve">75</w:t>
                  </w:r>
                </w:p>
              </w:tc>
              <w:tc>
                <w:tcPr/>
                <w:p>
                  <w:pPr>
                    <w:pStyle w:val="Compact"/>
                    <w:jc w:val="right"/>
                    <w:jc w:val="center"/>
                  </w:pPr>
                  <w:r>
                    <w:t xml:space="preserve">10.80</w:t>
                  </w:r>
                </w:p>
              </w:tc>
              <w:tc>
                <w:tcPr/>
                <w:p>
                  <w:pPr>
                    <w:pStyle w:val="Compact"/>
                    <w:jc w:val="right"/>
                    <w:jc w:val="center"/>
                  </w:pPr>
                  <w:r>
                    <w:t xml:space="preserve">2.43</w:t>
                  </w:r>
                </w:p>
              </w:tc>
              <w:tc>
                <w:tcPr/>
                <w:p>
                  <w:pPr>
                    <w:pStyle w:val="Compact"/>
                    <w:jc w:val="right"/>
                    <w:jc w:val="center"/>
                  </w:pPr>
                  <w:r>
                    <w:t xml:space="preserve">10.52</w:t>
                  </w:r>
                </w:p>
              </w:tc>
              <w:tc>
                <w:tcPr/>
                <w:p>
                  <w:pPr>
                    <w:pStyle w:val="Compact"/>
                    <w:jc w:val="right"/>
                    <w:jc w:val="center"/>
                  </w:pPr>
                  <w:r>
                    <w:t xml:space="preserve">0.38</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right"/>
                    <w:jc w:val="center"/>
                  </w:pPr>
                  <w:r>
                    <w:t xml:space="preserve">75</w:t>
                  </w:r>
                </w:p>
              </w:tc>
              <w:tc>
                <w:tcPr/>
                <w:p>
                  <w:pPr>
                    <w:pStyle w:val="Compact"/>
                    <w:jc w:val="right"/>
                    <w:jc w:val="center"/>
                  </w:pPr>
                  <w:r>
                    <w:t xml:space="preserve">4.54</w:t>
                  </w:r>
                </w:p>
              </w:tc>
              <w:tc>
                <w:tcPr/>
                <w:p>
                  <w:pPr>
                    <w:pStyle w:val="Compact"/>
                    <w:jc w:val="right"/>
                    <w:jc w:val="center"/>
                  </w:pPr>
                  <w:r>
                    <w:t xml:space="preserve">0.54</w:t>
                  </w:r>
                </w:p>
              </w:tc>
              <w:tc>
                <w:tcPr/>
                <w:p>
                  <w:pPr>
                    <w:pStyle w:val="Compact"/>
                    <w:jc w:val="right"/>
                    <w:jc w:val="center"/>
                  </w:pPr>
                  <w:r>
                    <w:t xml:space="preserve">4.50</w:t>
                  </w:r>
                </w:p>
              </w:tc>
              <w:tc>
                <w:tcPr/>
                <w:p>
                  <w:pPr>
                    <w:pStyle w:val="Compact"/>
                    <w:jc w:val="right"/>
                    <w:jc w:val="center"/>
                  </w:pPr>
                  <w:r>
                    <w:t xml:space="preserve">-0.02</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right"/>
                    <w:jc w:val="center"/>
                  </w:pPr>
                  <w:r>
                    <w:t xml:space="preserve">75</w:t>
                  </w:r>
                </w:p>
              </w:tc>
              <w:tc>
                <w:tcPr/>
                <w:p>
                  <w:pPr>
                    <w:pStyle w:val="Compact"/>
                    <w:jc w:val="right"/>
                    <w:jc w:val="center"/>
                  </w:pPr>
                  <w:r>
                    <w:t xml:space="preserve">15.32</w:t>
                  </w:r>
                </w:p>
              </w:tc>
              <w:tc>
                <w:tcPr/>
                <w:p>
                  <w:pPr>
                    <w:pStyle w:val="Compact"/>
                    <w:jc w:val="right"/>
                    <w:jc w:val="center"/>
                  </w:pPr>
                  <w:r>
                    <w:t xml:space="preserve">2.09</w:t>
                  </w:r>
                </w:p>
              </w:tc>
              <w:tc>
                <w:tcPr/>
                <w:p>
                  <w:pPr>
                    <w:pStyle w:val="Compact"/>
                    <w:jc w:val="right"/>
                    <w:jc w:val="center"/>
                  </w:pPr>
                  <w:r>
                    <w:t xml:space="preserve">15.18</w:t>
                  </w:r>
                </w:p>
              </w:tc>
              <w:tc>
                <w:tcPr/>
                <w:p>
                  <w:pPr>
                    <w:pStyle w:val="Compact"/>
                    <w:jc w:val="right"/>
                    <w:jc w:val="center"/>
                  </w:pPr>
                  <w:r>
                    <w:t xml:space="preserve">0.57</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right"/>
                    <w:jc w:val="center"/>
                  </w:pPr>
                  <w:r>
                    <w:t xml:space="preserve">75</w:t>
                  </w:r>
                </w:p>
              </w:tc>
              <w:tc>
                <w:tcPr/>
                <w:p>
                  <w:pPr>
                    <w:pStyle w:val="Compact"/>
                    <w:jc w:val="right"/>
                    <w:jc w:val="center"/>
                  </w:pPr>
                  <w:r>
                    <w:t xml:space="preserve">12.06</w:t>
                  </w:r>
                </w:p>
              </w:tc>
              <w:tc>
                <w:tcPr/>
                <w:p>
                  <w:pPr>
                    <w:pStyle w:val="Compact"/>
                    <w:jc w:val="right"/>
                    <w:jc w:val="center"/>
                  </w:pPr>
                  <w:r>
                    <w:t xml:space="preserve">1.98</w:t>
                  </w:r>
                </w:p>
              </w:tc>
              <w:tc>
                <w:tcPr/>
                <w:p>
                  <w:pPr>
                    <w:pStyle w:val="Compact"/>
                    <w:jc w:val="right"/>
                    <w:jc w:val="center"/>
                  </w:pPr>
                  <w:r>
                    <w:t xml:space="preserve">11.90</w:t>
                  </w:r>
                </w:p>
              </w:tc>
              <w:tc>
                <w:tcPr/>
                <w:p>
                  <w:pPr>
                    <w:pStyle w:val="Compact"/>
                    <w:jc w:val="right"/>
                    <w:jc w:val="center"/>
                  </w:pPr>
                  <w:r>
                    <w:t xml:space="preserve">0.34</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right"/>
                    <w:jc w:val="center"/>
                  </w:pPr>
                  <w:r>
                    <w:t xml:space="preserve">75</w:t>
                  </w:r>
                </w:p>
              </w:tc>
              <w:tc>
                <w:tcPr/>
                <w:p>
                  <w:pPr>
                    <w:pStyle w:val="Compact"/>
                    <w:jc w:val="right"/>
                    <w:jc w:val="center"/>
                  </w:pPr>
                  <w:r>
                    <w:t xml:space="preserve">26.36</w:t>
                  </w:r>
                </w:p>
              </w:tc>
              <w:tc>
                <w:tcPr/>
                <w:p>
                  <w:pPr>
                    <w:pStyle w:val="Compact"/>
                    <w:jc w:val="right"/>
                    <w:jc w:val="center"/>
                  </w:pPr>
                  <w:r>
                    <w:t xml:space="preserve">4.74</w:t>
                  </w:r>
                </w:p>
              </w:tc>
              <w:tc>
                <w:tcPr/>
                <w:p>
                  <w:pPr>
                    <w:pStyle w:val="Compact"/>
                    <w:jc w:val="right"/>
                    <w:jc w:val="center"/>
                  </w:pPr>
                  <w:r>
                    <w:t xml:space="preserve">25.93</w:t>
                  </w:r>
                </w:p>
              </w:tc>
              <w:tc>
                <w:tcPr/>
                <w:p>
                  <w:pPr>
                    <w:pStyle w:val="Compact"/>
                    <w:jc w:val="right"/>
                    <w:jc w:val="center"/>
                  </w:pPr>
                  <w:r>
                    <w:t xml:space="preserve">0.45</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right"/>
                    <w:jc w:val="center"/>
                  </w:pPr>
                  <w:r>
                    <w:t xml:space="preserve">75</w:t>
                  </w:r>
                </w:p>
              </w:tc>
              <w:tc>
                <w:tcPr/>
                <w:p>
                  <w:pPr>
                    <w:pStyle w:val="Compact"/>
                    <w:jc w:val="right"/>
                    <w:jc w:val="center"/>
                  </w:pPr>
                  <w:r>
                    <w:t xml:space="preserve">15.28</w:t>
                  </w:r>
                </w:p>
              </w:tc>
              <w:tc>
                <w:tcPr/>
                <w:p>
                  <w:pPr>
                    <w:pStyle w:val="Compact"/>
                    <w:jc w:val="right"/>
                    <w:jc w:val="center"/>
                  </w:pPr>
                  <w:r>
                    <w:t xml:space="preserve">2.10</w:t>
                  </w:r>
                </w:p>
              </w:tc>
              <w:tc>
                <w:tcPr/>
                <w:p>
                  <w:pPr>
                    <w:pStyle w:val="Compact"/>
                    <w:jc w:val="right"/>
                    <w:jc w:val="center"/>
                  </w:pPr>
                  <w:r>
                    <w:t xml:space="preserve">15.13</w:t>
                  </w:r>
                </w:p>
              </w:tc>
              <w:tc>
                <w:tcPr/>
                <w:p>
                  <w:pPr>
                    <w:pStyle w:val="Compact"/>
                    <w:jc w:val="right"/>
                    <w:jc w:val="center"/>
                  </w:pPr>
                  <w:r>
                    <w:t xml:space="preserve">0.37</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right"/>
                    <w:jc w:val="center"/>
                  </w:pPr>
                  <w:r>
                    <w:t xml:space="preserve">14</w:t>
                  </w:r>
                </w:p>
              </w:tc>
              <w:tc>
                <w:tcPr/>
                <w:p>
                  <w:pPr>
                    <w:pStyle w:val="Compact"/>
                    <w:jc w:val="right"/>
                    <w:jc w:val="center"/>
                  </w:pPr>
                  <w:r>
                    <w:t xml:space="preserve">5.84</w:t>
                  </w:r>
                </w:p>
              </w:tc>
              <w:tc>
                <w:tcPr/>
                <w:p>
                  <w:pPr>
                    <w:pStyle w:val="Compact"/>
                    <w:jc w:val="right"/>
                    <w:jc w:val="center"/>
                  </w:pPr>
                  <w:r>
                    <w:t xml:space="preserve">5.34</w:t>
                  </w:r>
                </w:p>
              </w:tc>
              <w:tc>
                <w:tcPr/>
                <w:p>
                  <w:pPr>
                    <w:pStyle w:val="Compact"/>
                    <w:jc w:val="right"/>
                    <w:jc w:val="center"/>
                  </w:pPr>
                  <w:r>
                    <w:t xml:space="preserve">2.37</w:t>
                  </w:r>
                </w:p>
              </w:tc>
              <w:tc>
                <w:tcPr/>
                <w:p>
                  <w:pPr>
                    <w:pStyle w:val="Compact"/>
                    <w:jc w:val="right"/>
                    <w:jc w:val="center"/>
                  </w:pPr>
                  <w:r>
                    <w:t xml:space="preserve">0.28</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right"/>
                    <w:jc w:val="center"/>
                  </w:pPr>
                  <w:r>
                    <w:t xml:space="preserve">14</w:t>
                  </w:r>
                </w:p>
              </w:tc>
              <w:tc>
                <w:tcPr/>
                <w:p>
                  <w:pPr>
                    <w:pStyle w:val="Compact"/>
                    <w:jc w:val="right"/>
                    <w:jc w:val="center"/>
                  </w:pPr>
                  <w:r>
                    <w:t xml:space="preserve">1.83</w:t>
                  </w:r>
                </w:p>
              </w:tc>
              <w:tc>
                <w:tcPr/>
                <w:p>
                  <w:pPr>
                    <w:pStyle w:val="Compact"/>
                    <w:jc w:val="right"/>
                    <w:jc w:val="center"/>
                  </w:pPr>
                  <w:r>
                    <w:t xml:space="preserve">1.29</w:t>
                  </w:r>
                </w:p>
              </w:tc>
              <w:tc>
                <w:tcPr/>
                <w:p>
                  <w:pPr>
                    <w:pStyle w:val="Compact"/>
                    <w:jc w:val="right"/>
                    <w:jc w:val="center"/>
                  </w:pPr>
                  <w:r>
                    <w:t xml:space="preserve">1.29</w:t>
                  </w:r>
                </w:p>
              </w:tc>
              <w:tc>
                <w:tcPr/>
                <w:p>
                  <w:pPr>
                    <w:pStyle w:val="Compact"/>
                    <w:jc w:val="right"/>
                    <w:jc w:val="center"/>
                  </w:pPr>
                  <w:r>
                    <w:t xml:space="preserve">0.30</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right"/>
                    <w:jc w:val="center"/>
                  </w:pPr>
                  <w:r>
                    <w:t xml:space="preserve">14</w:t>
                  </w:r>
                </w:p>
              </w:tc>
              <w:tc>
                <w:tcPr/>
                <w:p>
                  <w:pPr>
                    <w:pStyle w:val="Compact"/>
                    <w:jc w:val="right"/>
                    <w:jc w:val="center"/>
                  </w:pPr>
                  <w:r>
                    <w:t xml:space="preserve">3.50</w:t>
                  </w:r>
                </w:p>
              </w:tc>
              <w:tc>
                <w:tcPr/>
                <w:p>
                  <w:pPr>
                    <w:pStyle w:val="Compact"/>
                    <w:jc w:val="right"/>
                    <w:jc w:val="center"/>
                  </w:pPr>
                  <w:r>
                    <w:t xml:space="preserve">3.58</w:t>
                  </w:r>
                </w:p>
              </w:tc>
              <w:tc>
                <w:tcPr/>
                <w:p>
                  <w:pPr>
                    <w:pStyle w:val="Compact"/>
                    <w:jc w:val="right"/>
                    <w:jc w:val="center"/>
                  </w:pPr>
                  <w:r>
                    <w:t xml:space="preserve">0.00</w:t>
                  </w:r>
                </w:p>
              </w:tc>
              <w:tc>
                <w:tcPr/>
                <w:p>
                  <w:pPr>
                    <w:pStyle w:val="Compact"/>
                    <w:jc w:val="right"/>
                    <w:jc w:val="center"/>
                  </w:pPr>
                  <w:r>
                    <w:t xml:space="preserve">0.71</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right"/>
                    <w:jc w:val="center"/>
                  </w:pPr>
                  <w:r>
                    <w:t xml:space="preserve">14</w:t>
                  </w:r>
                </w:p>
              </w:tc>
              <w:tc>
                <w:tcPr/>
                <w:p>
                  <w:pPr>
                    <w:pStyle w:val="Compact"/>
                    <w:jc w:val="right"/>
                    <w:jc w:val="center"/>
                  </w:pPr>
                  <w:r>
                    <w:t xml:space="preserve">9.51</w:t>
                  </w:r>
                </w:p>
              </w:tc>
              <w:tc>
                <w:tcPr/>
                <w:p>
                  <w:pPr>
                    <w:pStyle w:val="Compact"/>
                    <w:jc w:val="right"/>
                    <w:jc w:val="center"/>
                  </w:pPr>
                  <w:r>
                    <w:t xml:space="preserve">6.50</w:t>
                  </w:r>
                </w:p>
              </w:tc>
              <w:tc>
                <w:tcPr/>
                <w:p>
                  <w:pPr>
                    <w:pStyle w:val="Compact"/>
                    <w:jc w:val="right"/>
                    <w:jc w:val="center"/>
                  </w:pPr>
                  <w:r>
                    <w:t xml:space="preserve">6.94</w:t>
                  </w:r>
                </w:p>
              </w:tc>
              <w:tc>
                <w:tcPr/>
                <w:p>
                  <w:pPr>
                    <w:pStyle w:val="Compact"/>
                    <w:jc w:val="right"/>
                    <w:jc w:val="center"/>
                  </w:pPr>
                  <w:r>
                    <w:t xml:space="preserve">0.47</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right"/>
                    <w:jc w:val="center"/>
                  </w:pPr>
                  <w:r>
                    <w:t xml:space="preserve">14</w:t>
                  </w:r>
                </w:p>
              </w:tc>
              <w:tc>
                <w:tcPr/>
                <w:p>
                  <w:pPr>
                    <w:pStyle w:val="Compact"/>
                    <w:jc w:val="right"/>
                    <w:jc w:val="center"/>
                  </w:pPr>
                  <w:r>
                    <w:t xml:space="preserve">5.61</w:t>
                  </w:r>
                </w:p>
              </w:tc>
              <w:tc>
                <w:tcPr/>
                <w:p>
                  <w:pPr>
                    <w:pStyle w:val="Compact"/>
                    <w:jc w:val="right"/>
                    <w:jc w:val="center"/>
                  </w:pPr>
                  <w:r>
                    <w:t xml:space="preserve">7.57</w:t>
                  </w:r>
                </w:p>
              </w:tc>
              <w:tc>
                <w:tcPr/>
                <w:p>
                  <w:pPr>
                    <w:pStyle w:val="Compact"/>
                    <w:jc w:val="right"/>
                    <w:jc w:val="center"/>
                  </w:pPr>
                  <w:r>
                    <w:t xml:space="preserve">0.00</w:t>
                  </w:r>
                </w:p>
              </w:tc>
              <w:tc>
                <w:tcPr/>
                <w:p>
                  <w:pPr>
                    <w:pStyle w:val="Compact"/>
                    <w:jc w:val="right"/>
                    <w:jc w:val="center"/>
                  </w:pPr>
                  <w:r>
                    <w:t xml:space="preserve">0.86</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right"/>
                    <w:jc w:val="center"/>
                  </w:pPr>
                  <w:r>
                    <w:t xml:space="preserve">14</w:t>
                  </w:r>
                </w:p>
              </w:tc>
              <w:tc>
                <w:tcPr/>
                <w:p>
                  <w:pPr>
                    <w:pStyle w:val="Compact"/>
                    <w:jc w:val="right"/>
                    <w:jc w:val="center"/>
                  </w:pPr>
                  <w:r>
                    <w:t xml:space="preserve">0.62</w:t>
                  </w:r>
                </w:p>
              </w:tc>
              <w:tc>
                <w:tcPr/>
                <w:p>
                  <w:pPr>
                    <w:pStyle w:val="Compact"/>
                    <w:jc w:val="right"/>
                    <w:jc w:val="center"/>
                  </w:pPr>
                  <w:r>
                    <w:t xml:space="preserve">0.70</w:t>
                  </w:r>
                </w:p>
              </w:tc>
              <w:tc>
                <w:tcPr/>
                <w:p>
                  <w:pPr>
                    <w:pStyle w:val="Compact"/>
                    <w:jc w:val="right"/>
                    <w:jc w:val="center"/>
                  </w:pPr>
                  <w:r>
                    <w:t xml:space="preserve">0.00</w:t>
                  </w:r>
                </w:p>
              </w:tc>
              <w:tc>
                <w:tcPr/>
                <w:p>
                  <w:pPr>
                    <w:pStyle w:val="Compact"/>
                    <w:jc w:val="right"/>
                    <w:jc w:val="center"/>
                  </w:pPr>
                  <w:r>
                    <w:t xml:space="preserve">0.53</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right"/>
                    <w:jc w:val="center"/>
                  </w:pPr>
                  <w:r>
                    <w:t xml:space="preserve">87</w:t>
                  </w:r>
                </w:p>
              </w:tc>
              <w:tc>
                <w:tcPr/>
                <w:p>
                  <w:pPr>
                    <w:pStyle w:val="Compact"/>
                    <w:jc w:val="right"/>
                    <w:jc w:val="center"/>
                  </w:pPr>
                  <w:r>
                    <w:t xml:space="preserve">12.18</w:t>
                  </w:r>
                </w:p>
              </w:tc>
              <w:tc>
                <w:tcPr/>
                <w:p>
                  <w:pPr>
                    <w:pStyle w:val="Compact"/>
                    <w:jc w:val="right"/>
                    <w:jc w:val="center"/>
                  </w:pPr>
                  <w:r>
                    <w:t xml:space="preserve">1.47</w:t>
                  </w:r>
                </w:p>
              </w:tc>
              <w:tc>
                <w:tcPr/>
                <w:p>
                  <w:pPr>
                    <w:pStyle w:val="Compact"/>
                    <w:jc w:val="right"/>
                    <w:jc w:val="center"/>
                  </w:pPr>
                  <w:r>
                    <w:t xml:space="preserve">12.09</w:t>
                  </w:r>
                </w:p>
              </w:tc>
              <w:tc>
                <w:tcPr/>
                <w:p>
                  <w:pPr>
                    <w:pStyle w:val="Compact"/>
                    <w:jc w:val="right"/>
                    <w:jc w:val="center"/>
                  </w:pPr>
                  <w:r>
                    <w:t xml:space="preserve">0.11</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right"/>
                    <w:jc w:val="center"/>
                  </w:pPr>
                  <w:r>
                    <w:t xml:space="preserve">87</w:t>
                  </w:r>
                </w:p>
              </w:tc>
              <w:tc>
                <w:tcPr/>
                <w:p>
                  <w:pPr>
                    <w:pStyle w:val="Compact"/>
                    <w:jc w:val="right"/>
                    <w:jc w:val="center"/>
                  </w:pPr>
                  <w:r>
                    <w:t xml:space="preserve">5.21</w:t>
                  </w:r>
                </w:p>
              </w:tc>
              <w:tc>
                <w:tcPr/>
                <w:p>
                  <w:pPr>
                    <w:pStyle w:val="Compact"/>
                    <w:jc w:val="right"/>
                    <w:jc w:val="center"/>
                  </w:pPr>
                  <w:r>
                    <w:t xml:space="preserve">0.00</w:t>
                  </w:r>
                </w:p>
              </w:tc>
              <w:tc>
                <w:tcPr/>
                <w:p>
                  <w:pPr>
                    <w:pStyle w:val="Compact"/>
                    <w:jc w:val="right"/>
                    <w:jc w:val="center"/>
                  </w:pPr>
                  <w:r>
                    <w:t xml:space="preserve">5.21</w:t>
                  </w:r>
                </w:p>
              </w:tc>
              <w:tc>
                <w:tcPr/>
                <w:p>
                  <w:pPr>
                    <w:pStyle w:val="Compact"/>
                    <w:jc w:val="right"/>
                    <w:jc w:val="center"/>
                  </w:pPr>
                  <w:r>
                    <w:t xml:space="preserve">0.01</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right"/>
                    <w:jc w:val="center"/>
                  </w:pPr>
                  <w:r>
                    <w:t xml:space="preserve">87</w:t>
                  </w:r>
                </w:p>
              </w:tc>
              <w:tc>
                <w:tcPr/>
                <w:p>
                  <w:pPr>
                    <w:pStyle w:val="Compact"/>
                    <w:jc w:val="right"/>
                    <w:jc w:val="center"/>
                  </w:pPr>
                  <w:r>
                    <w:t xml:space="preserve">18.15</w:t>
                  </w:r>
                </w:p>
              </w:tc>
              <w:tc>
                <w:tcPr/>
                <w:p>
                  <w:pPr>
                    <w:pStyle w:val="Compact"/>
                    <w:jc w:val="right"/>
                    <w:jc w:val="center"/>
                  </w:pPr>
                  <w:r>
                    <w:t xml:space="preserve">2.00</w:t>
                  </w:r>
                </w:p>
              </w:tc>
              <w:tc>
                <w:tcPr/>
                <w:p>
                  <w:pPr>
                    <w:pStyle w:val="Compact"/>
                    <w:jc w:val="right"/>
                    <w:jc w:val="center"/>
                  </w:pPr>
                  <w:r>
                    <w:t xml:space="preserve">18.04</w:t>
                  </w:r>
                </w:p>
              </w:tc>
              <w:tc>
                <w:tcPr/>
                <w:p>
                  <w:pPr>
                    <w:pStyle w:val="Compact"/>
                    <w:jc w:val="right"/>
                    <w:jc w:val="center"/>
                  </w:pPr>
                  <w:r>
                    <w:t xml:space="preserve">0.29</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right"/>
                    <w:jc w:val="center"/>
                  </w:pPr>
                  <w:r>
                    <w:t xml:space="preserve">87</w:t>
                  </w:r>
                </w:p>
              </w:tc>
              <w:tc>
                <w:tcPr/>
                <w:p>
                  <w:pPr>
                    <w:pStyle w:val="Compact"/>
                    <w:jc w:val="right"/>
                    <w:jc w:val="center"/>
                  </w:pPr>
                  <w:r>
                    <w:t xml:space="preserve">18.71</w:t>
                  </w:r>
                </w:p>
              </w:tc>
              <w:tc>
                <w:tcPr/>
                <w:p>
                  <w:pPr>
                    <w:pStyle w:val="Compact"/>
                    <w:jc w:val="right"/>
                    <w:jc w:val="center"/>
                  </w:pPr>
                  <w:r>
                    <w:t xml:space="preserve">2.34</w:t>
                  </w:r>
                </w:p>
              </w:tc>
              <w:tc>
                <w:tcPr/>
                <w:p>
                  <w:pPr>
                    <w:pStyle w:val="Compact"/>
                    <w:jc w:val="right"/>
                    <w:jc w:val="center"/>
                  </w:pPr>
                  <w:r>
                    <w:t xml:space="preserve">18.57</w:t>
                  </w:r>
                </w:p>
              </w:tc>
              <w:tc>
                <w:tcPr/>
                <w:p>
                  <w:pPr>
                    <w:pStyle w:val="Compact"/>
                    <w:jc w:val="right"/>
                    <w:jc w:val="center"/>
                  </w:pPr>
                  <w:r>
                    <w:t xml:space="preserve">0.08</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right"/>
                    <w:jc w:val="center"/>
                  </w:pPr>
                  <w:r>
                    <w:t xml:space="preserve">87</w:t>
                  </w:r>
                </w:p>
              </w:tc>
              <w:tc>
                <w:tcPr/>
                <w:p>
                  <w:pPr>
                    <w:pStyle w:val="Compact"/>
                    <w:jc w:val="right"/>
                    <w:jc w:val="center"/>
                  </w:pPr>
                  <w:r>
                    <w:t xml:space="preserve">19.78</w:t>
                  </w:r>
                </w:p>
              </w:tc>
              <w:tc>
                <w:tcPr/>
                <w:p>
                  <w:pPr>
                    <w:pStyle w:val="Compact"/>
                    <w:jc w:val="right"/>
                    <w:jc w:val="center"/>
                  </w:pPr>
                  <w:r>
                    <w:t xml:space="preserve">2.85</w:t>
                  </w:r>
                </w:p>
              </w:tc>
              <w:tc>
                <w:tcPr/>
                <w:p>
                  <w:pPr>
                    <w:pStyle w:val="Compact"/>
                    <w:jc w:val="right"/>
                    <w:jc w:val="center"/>
                  </w:pPr>
                  <w:r>
                    <w:t xml:space="preserve">19.57</w:t>
                  </w:r>
                </w:p>
              </w:tc>
              <w:tc>
                <w:tcPr/>
                <w:p>
                  <w:pPr>
                    <w:pStyle w:val="Compact"/>
                    <w:jc w:val="right"/>
                    <w:jc w:val="center"/>
                  </w:pPr>
                  <w:r>
                    <w:t xml:space="preserve">0.42</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right"/>
                    <w:jc w:val="center"/>
                  </w:pPr>
                  <w:r>
                    <w:t xml:space="preserve">87</w:t>
                  </w:r>
                </w:p>
              </w:tc>
              <w:tc>
                <w:tcPr/>
                <w:p>
                  <w:pPr>
                    <w:pStyle w:val="Compact"/>
                    <w:jc w:val="right"/>
                    <w:jc w:val="center"/>
                  </w:pPr>
                  <w:r>
                    <w:t xml:space="preserve">6.91</w:t>
                  </w:r>
                </w:p>
              </w:tc>
              <w:tc>
                <w:tcPr/>
                <w:p>
                  <w:pPr>
                    <w:pStyle w:val="Compact"/>
                    <w:jc w:val="right"/>
                    <w:jc w:val="center"/>
                  </w:pPr>
                  <w:r>
                    <w:t xml:space="preserve">0.44</w:t>
                  </w:r>
                </w:p>
              </w:tc>
              <w:tc>
                <w:tcPr/>
                <w:p>
                  <w:pPr>
                    <w:pStyle w:val="Compact"/>
                    <w:jc w:val="right"/>
                    <w:jc w:val="center"/>
                  </w:pPr>
                  <w:r>
                    <w:t xml:space="preserve">6.89</w:t>
                  </w:r>
                </w:p>
              </w:tc>
              <w:tc>
                <w:tcPr/>
                <w:p>
                  <w:pPr>
                    <w:pStyle w:val="Compact"/>
                    <w:jc w:val="right"/>
                    <w:jc w:val="center"/>
                  </w:pPr>
                  <w:r>
                    <w:t xml:space="preserve">0.02</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right"/>
                    <w:jc w:val="center"/>
                  </w:pPr>
                  <w:r>
                    <w:t xml:space="preserve">87</w:t>
                  </w:r>
                </w:p>
              </w:tc>
              <w:tc>
                <w:tcPr/>
                <w:p>
                  <w:pPr>
                    <w:pStyle w:val="Compact"/>
                    <w:jc w:val="right"/>
                    <w:jc w:val="center"/>
                  </w:pPr>
                  <w:r>
                    <w:t xml:space="preserve">25.12</w:t>
                  </w:r>
                </w:p>
              </w:tc>
              <w:tc>
                <w:tcPr/>
                <w:p>
                  <w:pPr>
                    <w:pStyle w:val="Compact"/>
                    <w:jc w:val="right"/>
                    <w:jc w:val="center"/>
                  </w:pPr>
                  <w:r>
                    <w:t xml:space="preserve">4.89</w:t>
                  </w:r>
                </w:p>
              </w:tc>
              <w:tc>
                <w:tcPr/>
                <w:p>
                  <w:pPr>
                    <w:pStyle w:val="Compact"/>
                    <w:jc w:val="right"/>
                    <w:jc w:val="center"/>
                  </w:pPr>
                  <w:r>
                    <w:t xml:space="preserve">24.64</w:t>
                  </w:r>
                </w:p>
              </w:tc>
              <w:tc>
                <w:tcPr/>
                <w:p>
                  <w:pPr>
                    <w:pStyle w:val="Compact"/>
                    <w:jc w:val="right"/>
                    <w:jc w:val="center"/>
                  </w:pPr>
                  <w:r>
                    <w:t xml:space="preserve">0.12</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right"/>
                    <w:jc w:val="center"/>
                  </w:pPr>
                  <w:r>
                    <w:t xml:space="preserve">87</w:t>
                  </w:r>
                </w:p>
              </w:tc>
              <w:tc>
                <w:tcPr/>
                <w:p>
                  <w:pPr>
                    <w:pStyle w:val="Compact"/>
                    <w:jc w:val="right"/>
                    <w:jc w:val="center"/>
                  </w:pPr>
                  <w:r>
                    <w:t xml:space="preserve">28.52</w:t>
                  </w:r>
                </w:p>
              </w:tc>
              <w:tc>
                <w:tcPr/>
                <w:p>
                  <w:pPr>
                    <w:pStyle w:val="Compact"/>
                    <w:jc w:val="right"/>
                    <w:jc w:val="center"/>
                  </w:pPr>
                  <w:r>
                    <w:t xml:space="preserve">4.24</w:t>
                  </w:r>
                </w:p>
              </w:tc>
              <w:tc>
                <w:tcPr/>
                <w:p>
                  <w:pPr>
                    <w:pStyle w:val="Compact"/>
                    <w:jc w:val="right"/>
                    <w:jc w:val="center"/>
                  </w:pPr>
                  <w:r>
                    <w:t xml:space="preserve">28.21</w:t>
                  </w:r>
                </w:p>
              </w:tc>
              <w:tc>
                <w:tcPr/>
                <w:p>
                  <w:pPr>
                    <w:pStyle w:val="Compact"/>
                    <w:jc w:val="right"/>
                    <w:jc w:val="center"/>
                  </w:pPr>
                  <w:r>
                    <w:t xml:space="preserve">0.09</w:t>
                  </w:r>
                </w:p>
              </w:tc>
            </w:tr>
          </w:tbl>
          <w:bookmarkEnd w:id="60"/>
          <w:p/>
        </w:tc>
      </w:tr>
    </w:tbl>
    <w:p>
      <w:pPr>
        <w:pStyle w:val="BodyText"/>
      </w:pPr>
      <w:r>
        <w:rPr>
          <w:b/>
          <w:bCs/>
        </w:rPr>
        <w:t xml:space="preserve">Decision value for targeting.</w:t>
      </w:r>
      <w:r>
        <w:t xml:space="preserve"> </w:t>
      </w:r>
      <w:r>
        <w:t xml:space="preserve">Because the operational task is to find the</w:t>
      </w:r>
      <w:r>
        <w:t xml:space="preserve"> </w:t>
      </w:r>
      <w:r>
        <w:t xml:space="preserve">highest-burden districts, we score how well the predictions concentrate true</w:t>
      </w:r>
      <w:r>
        <w:t xml:space="preserve"> </w:t>
      </w:r>
      <w:r>
        <w:t xml:space="preserve">burden in the top-ranked districts. Targeting the top 20% of districts by</w:t>
      </w:r>
      <w:r>
        <w:t xml:space="preserve"> </w:t>
      </w:r>
      <w:r>
        <w:t xml:space="preserve">predicted prevalence reaches more of the true burden than untargeted allocation</w:t>
      </w:r>
      <w:r>
        <w:t xml:space="preserve"> </w:t>
      </w:r>
      <w:r>
        <w:t xml:space="preserve">(lift &gt; 1) for most outcomes, with the largest lift on the outcomes that have</w:t>
      </w:r>
      <w:r>
        <w:t xml:space="preserve"> </w:t>
      </w:r>
      <w:r>
        <w:t xml:space="preserve">the most spatial signal (</w:t>
      </w:r>
      <w:hyperlink w:anchor="tbl-decision">
        <w:r>
          <w:rPr>
            <w:rStyle w:val="Hyperlink"/>
          </w:rPr>
          <w:t xml:space="preserve">Table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tbl-decision"/>
          <w:p>
            <w:pPr>
              <w:jc w:val="center"/>
            </w:pPr>
            <w:pPr>
              <w:jc w:val="start"/>
              <w:spacing w:before="200"/>
              <w:pStyle w:val="ImageCaption"/>
            </w:pPr>
            <w:r>
              <w:t xml:space="preserve">Table 10: Decision value of district ranking (results/tables/corrected/decision_value.csv). reach@20% is the share of true burden captured by the top 20% of districts ranked by predicted prevalence; lift is that reach divided by the 20% an untargeted allocation would reach; hit-rate@top20 is the share of the predicted top-20% districts that are truly in the top 20%.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Country</w:t>
                  </w:r>
                </w:p>
              </w:tc>
              <w:tc>
                <w:tcPr/>
                <w:p>
                  <w:pPr>
                    <w:pStyle w:val="Compact"/>
                    <w:jc w:val="left"/>
                    <w:jc w:val="center"/>
                  </w:pPr>
                  <w:r>
                    <w:t xml:space="preserve">Outcome</w:t>
                  </w:r>
                </w:p>
              </w:tc>
              <w:tc>
                <w:tcPr/>
                <w:p>
                  <w:pPr>
                    <w:pStyle w:val="Compact"/>
                    <w:jc w:val="right"/>
                    <w:jc w:val="center"/>
                  </w:pPr>
                  <w:r>
                    <w:t xml:space="preserve">Reach@20%</w:t>
                  </w:r>
                </w:p>
              </w:tc>
              <w:tc>
                <w:tcPr/>
                <w:p>
                  <w:pPr>
                    <w:pStyle w:val="Compact"/>
                    <w:jc w:val="right"/>
                    <w:jc w:val="center"/>
                  </w:pPr>
                  <w:r>
                    <w:t xml:space="preserve">Lift</w:t>
                  </w:r>
                </w:p>
              </w:tc>
              <w:tc>
                <w:tcPr/>
                <w:p>
                  <w:pPr>
                    <w:pStyle w:val="Compact"/>
                    <w:jc w:val="right"/>
                    <w:jc w:val="center"/>
                  </w:pPr>
                  <w:r>
                    <w:t xml:space="preserve">Hit-rate@top20</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right"/>
                    <w:jc w:val="center"/>
                  </w:pPr>
                  <w:r>
                    <w:t xml:space="preserve">0.30</w:t>
                  </w:r>
                </w:p>
              </w:tc>
              <w:tc>
                <w:tcPr/>
                <w:p>
                  <w:pPr>
                    <w:pStyle w:val="Compact"/>
                    <w:jc w:val="right"/>
                    <w:jc w:val="center"/>
                  </w:pPr>
                  <w:r>
                    <w:t xml:space="preserve">1.49</w:t>
                  </w:r>
                </w:p>
              </w:tc>
              <w:tc>
                <w:tcPr/>
                <w:p>
                  <w:pPr>
                    <w:pStyle w:val="Compact"/>
                    <w:jc w:val="right"/>
                    <w:jc w:val="center"/>
                  </w:pPr>
                  <w:r>
                    <w:t xml:space="preserve">0.33</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right"/>
                    <w:jc w:val="center"/>
                  </w:pPr>
                  <w:r>
                    <w:t xml:space="preserve">0.37</w:t>
                  </w:r>
                </w:p>
              </w:tc>
              <w:tc>
                <w:tcPr/>
                <w:p>
                  <w:pPr>
                    <w:pStyle w:val="Compact"/>
                    <w:jc w:val="right"/>
                    <w:jc w:val="center"/>
                  </w:pPr>
                  <w:r>
                    <w:t xml:space="preserve">2.07</w:t>
                  </w:r>
                </w:p>
              </w:tc>
              <w:tc>
                <w:tcPr/>
                <w:p>
                  <w:pPr>
                    <w:pStyle w:val="Compact"/>
                    <w:jc w:val="right"/>
                    <w:jc w:val="center"/>
                  </w:pPr>
                  <w:r>
                    <w:t xml:space="preserve">0.33</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right"/>
                    <w:jc w:val="center"/>
                  </w:pPr>
                  <w:r>
                    <w:t xml:space="preserve">0.23</w:t>
                  </w:r>
                </w:p>
              </w:tc>
              <w:tc>
                <w:tcPr/>
                <w:p>
                  <w:pPr>
                    <w:pStyle w:val="Compact"/>
                    <w:jc w:val="right"/>
                    <w:jc w:val="center"/>
                  </w:pPr>
                  <w:r>
                    <w:t xml:space="preserve">1.15</w:t>
                  </w:r>
                </w:p>
              </w:tc>
              <w:tc>
                <w:tcPr/>
                <w:p>
                  <w:pPr>
                    <w:pStyle w:val="Compact"/>
                    <w:jc w:val="right"/>
                    <w:jc w:val="center"/>
                  </w:pPr>
                  <w:r>
                    <w:t xml:space="preserve">0.50</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right"/>
                    <w:jc w:val="center"/>
                  </w:pPr>
                  <w:r>
                    <w:t xml:space="preserve">0.25</w:t>
                  </w:r>
                </w:p>
              </w:tc>
              <w:tc>
                <w:tcPr/>
                <w:p>
                  <w:pPr>
                    <w:pStyle w:val="Compact"/>
                    <w:jc w:val="right"/>
                    <w:jc w:val="center"/>
                  </w:pPr>
                  <w:r>
                    <w:t xml:space="preserve">1.31</w:t>
                  </w:r>
                </w:p>
              </w:tc>
              <w:tc>
                <w:tcPr/>
                <w:p>
                  <w:pPr>
                    <w:pStyle w:val="Compact"/>
                    <w:jc w:val="right"/>
                    <w:jc w:val="center"/>
                  </w:pPr>
                  <w:r>
                    <w:t xml:space="preserve">0.33</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right"/>
                    <w:jc w:val="center"/>
                  </w:pPr>
                  <w:r>
                    <w:t xml:space="preserve">0.32</w:t>
                  </w:r>
                </w:p>
              </w:tc>
              <w:tc>
                <w:tcPr/>
                <w:p>
                  <w:pPr>
                    <w:pStyle w:val="Compact"/>
                    <w:jc w:val="right"/>
                    <w:jc w:val="center"/>
                  </w:pPr>
                  <w:r>
                    <w:t xml:space="preserve">1.56</w:t>
                  </w:r>
                </w:p>
              </w:tc>
              <w:tc>
                <w:tcPr/>
                <w:p>
                  <w:pPr>
                    <w:pStyle w:val="Compact"/>
                    <w:jc w:val="right"/>
                    <w:jc w:val="center"/>
                  </w:pPr>
                  <w:r>
                    <w:t xml:space="preserve">0.40</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right"/>
                    <w:jc w:val="center"/>
                  </w:pPr>
                  <w:r>
                    <w:t xml:space="preserve">0.27</w:t>
                  </w:r>
                </w:p>
              </w:tc>
              <w:tc>
                <w:tcPr/>
                <w:p>
                  <w:pPr>
                    <w:pStyle w:val="Compact"/>
                    <w:jc w:val="right"/>
                    <w:jc w:val="center"/>
                  </w:pPr>
                  <w:r>
                    <w:t xml:space="preserve">1.52</w:t>
                  </w:r>
                </w:p>
              </w:tc>
              <w:tc>
                <w:tcPr/>
                <w:p>
                  <w:pPr>
                    <w:pStyle w:val="Compact"/>
                    <w:jc w:val="right"/>
                    <w:jc w:val="center"/>
                  </w:pPr>
                  <w:r>
                    <w:t xml:space="preserve">0.27</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right"/>
                    <w:jc w:val="center"/>
                  </w:pPr>
                  <w:r>
                    <w:t xml:space="preserve">0.33</w:t>
                  </w:r>
                </w:p>
              </w:tc>
              <w:tc>
                <w:tcPr/>
                <w:p>
                  <w:pPr>
                    <w:pStyle w:val="Compact"/>
                    <w:jc w:val="right"/>
                    <w:jc w:val="center"/>
                  </w:pPr>
                  <w:r>
                    <w:t xml:space="preserve">1.76</w:t>
                  </w:r>
                </w:p>
              </w:tc>
              <w:tc>
                <w:tcPr/>
                <w:p>
                  <w:pPr>
                    <w:pStyle w:val="Compact"/>
                    <w:jc w:val="right"/>
                    <w:jc w:val="center"/>
                  </w:pPr>
                  <w:r>
                    <w:t xml:space="preserve">0.53</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right"/>
                    <w:jc w:val="center"/>
                  </w:pPr>
                  <w:r>
                    <w:t xml:space="preserve">0.31</w:t>
                  </w:r>
                </w:p>
              </w:tc>
              <w:tc>
                <w:tcPr/>
                <w:p>
                  <w:pPr>
                    <w:pStyle w:val="Compact"/>
                    <w:jc w:val="right"/>
                    <w:jc w:val="center"/>
                  </w:pPr>
                  <w:r>
                    <w:t xml:space="preserve">1.50</w:t>
                  </w:r>
                </w:p>
              </w:tc>
              <w:tc>
                <w:tcPr/>
                <w:p>
                  <w:pPr>
                    <w:pStyle w:val="Compact"/>
                    <w:jc w:val="right"/>
                    <w:jc w:val="center"/>
                  </w:pPr>
                  <w:r>
                    <w:t xml:space="preserve">0.53</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right"/>
                    <w:jc w:val="center"/>
                  </w:pPr>
                  <w:r>
                    <w:t xml:space="preserve">0.26</w:t>
                  </w:r>
                </w:p>
              </w:tc>
              <w:tc>
                <w:tcPr/>
                <w:p>
                  <w:pPr>
                    <w:pStyle w:val="Compact"/>
                    <w:jc w:val="right"/>
                    <w:jc w:val="center"/>
                  </w:pPr>
                  <w:r>
                    <w:t xml:space="preserve">1.28</w:t>
                  </w:r>
                </w:p>
              </w:tc>
              <w:tc>
                <w:tcPr/>
                <w:p>
                  <w:pPr>
                    <w:pStyle w:val="Compact"/>
                    <w:jc w:val="right"/>
                    <w:jc w:val="center"/>
                  </w:pPr>
                  <w:r>
                    <w:t xml:space="preserve">0.27</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right"/>
                    <w:jc w:val="center"/>
                  </w:pPr>
                  <w:r>
                    <w:t xml:space="preserve">0.44</w:t>
                  </w:r>
                </w:p>
              </w:tc>
              <w:tc>
                <w:tcPr/>
                <w:p>
                  <w:pPr>
                    <w:pStyle w:val="Compact"/>
                    <w:jc w:val="right"/>
                    <w:jc w:val="center"/>
                  </w:pPr>
                  <w:r>
                    <w:t xml:space="preserve">1.99</w:t>
                  </w:r>
                </w:p>
              </w:tc>
              <w:tc>
                <w:tcPr/>
                <w:p>
                  <w:pPr>
                    <w:pStyle w:val="Compact"/>
                    <w:jc w:val="right"/>
                    <w:jc w:val="center"/>
                  </w:pPr>
                  <w:r>
                    <w:t xml:space="preserve">0.53</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right"/>
                    <w:jc w:val="center"/>
                  </w:pPr>
                  <w:r>
                    <w:t xml:space="preserve">0.30</w:t>
                  </w:r>
                </w:p>
              </w:tc>
              <w:tc>
                <w:tcPr/>
                <w:p>
                  <w:pPr>
                    <w:pStyle w:val="Compact"/>
                    <w:jc w:val="right"/>
                    <w:jc w:val="center"/>
                  </w:pPr>
                  <w:r>
                    <w:t xml:space="preserve">1.56</w:t>
                  </w:r>
                </w:p>
              </w:tc>
              <w:tc>
                <w:tcPr/>
                <w:p>
                  <w:pPr>
                    <w:pStyle w:val="Compact"/>
                    <w:jc w:val="right"/>
                    <w:jc w:val="center"/>
                  </w:pPr>
                  <w:r>
                    <w:t xml:space="preserve">0.67</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right"/>
                    <w:jc w:val="center"/>
                  </w:pPr>
                  <w:r>
                    <w:t xml:space="preserve">0.37</w:t>
                  </w:r>
                </w:p>
              </w:tc>
              <w:tc>
                <w:tcPr/>
                <w:p>
                  <w:pPr>
                    <w:pStyle w:val="Compact"/>
                    <w:jc w:val="right"/>
                    <w:jc w:val="center"/>
                  </w:pPr>
                  <w:r>
                    <w:t xml:space="preserve">1.80</w:t>
                  </w:r>
                </w:p>
              </w:tc>
              <w:tc>
                <w:tcPr/>
                <w:p>
                  <w:pPr>
                    <w:pStyle w:val="Compact"/>
                    <w:jc w:val="right"/>
                    <w:jc w:val="center"/>
                  </w:pPr>
                  <w:r>
                    <w:t xml:space="preserve">0.33</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right"/>
                    <w:jc w:val="center"/>
                  </w:pPr>
                  <w:r>
                    <w:t xml:space="preserve">0.44</w:t>
                  </w:r>
                </w:p>
              </w:tc>
              <w:tc>
                <w:tcPr/>
                <w:p>
                  <w:pPr>
                    <w:pStyle w:val="Compact"/>
                    <w:jc w:val="right"/>
                    <w:jc w:val="center"/>
                  </w:pPr>
                  <w:r>
                    <w:t xml:space="preserve">2.28</w:t>
                  </w:r>
                </w:p>
              </w:tc>
              <w:tc>
                <w:tcPr/>
                <w:p>
                  <w:pPr>
                    <w:pStyle w:val="Compact"/>
                    <w:jc w:val="right"/>
                    <w:jc w:val="center"/>
                  </w:pPr>
                  <w:r>
                    <w:t xml:space="preserve">0.67</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right"/>
                    <w:jc w:val="center"/>
                  </w:pPr>
                  <w:r>
                    <w:t xml:space="preserve">0.23</w:t>
                  </w:r>
                </w:p>
              </w:tc>
              <w:tc>
                <w:tcPr/>
                <w:p>
                  <w:pPr>
                    <w:pStyle w:val="Compact"/>
                    <w:jc w:val="right"/>
                    <w:jc w:val="center"/>
                  </w:pPr>
                  <w:r>
                    <w:t xml:space="preserve">1.17</w:t>
                  </w:r>
                </w:p>
              </w:tc>
              <w:tc>
                <w:tcPr/>
                <w:p>
                  <w:pPr>
                    <w:pStyle w:val="Compact"/>
                    <w:jc w:val="right"/>
                    <w:jc w:val="center"/>
                  </w:pPr>
                  <w:r>
                    <w:t xml:space="preserve">0.67</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right"/>
                    <w:jc w:val="center"/>
                  </w:pPr>
                  <w:r>
                    <w:t xml:space="preserve">0.23</w:t>
                  </w:r>
                </w:p>
              </w:tc>
              <w:tc>
                <w:tcPr/>
                <w:p>
                  <w:pPr>
                    <w:pStyle w:val="Compact"/>
                    <w:jc w:val="right"/>
                    <w:jc w:val="center"/>
                  </w:pPr>
                  <w:r>
                    <w:t xml:space="preserve">1.18</w:t>
                  </w:r>
                </w:p>
              </w:tc>
              <w:tc>
                <w:tcPr/>
                <w:p>
                  <w:pPr>
                    <w:pStyle w:val="Compact"/>
                    <w:jc w:val="right"/>
                    <w:jc w:val="center"/>
                  </w:pPr>
                  <w:r>
                    <w:t xml:space="preserve">0.67</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right"/>
                    <w:jc w:val="center"/>
                  </w:pPr>
                  <w:r>
                    <w:t xml:space="preserve">0.32</w:t>
                  </w:r>
                </w:p>
              </w:tc>
              <w:tc>
                <w:tcPr/>
                <w:p>
                  <w:pPr>
                    <w:pStyle w:val="Compact"/>
                    <w:jc w:val="right"/>
                    <w:jc w:val="center"/>
                  </w:pPr>
                  <w:r>
                    <w:t xml:space="preserve">1.60</w:t>
                  </w:r>
                </w:p>
              </w:tc>
              <w:tc>
                <w:tcPr/>
                <w:p>
                  <w:pPr>
                    <w:pStyle w:val="Compact"/>
                    <w:jc w:val="right"/>
                    <w:jc w:val="center"/>
                  </w:pPr>
                  <w:r>
                    <w:t xml:space="preserve">0.67</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right"/>
                    <w:jc w:val="center"/>
                  </w:pPr>
                  <w:r>
                    <w:t xml:space="preserve">0.26</w:t>
                  </w:r>
                </w:p>
              </w:tc>
              <w:tc>
                <w:tcPr/>
                <w:p>
                  <w:pPr>
                    <w:pStyle w:val="Compact"/>
                    <w:jc w:val="right"/>
                    <w:jc w:val="center"/>
                  </w:pPr>
                  <w:r>
                    <w:t xml:space="preserve">1.12</w:t>
                  </w:r>
                </w:p>
              </w:tc>
              <w:tc>
                <w:tcPr/>
                <w:p>
                  <w:pPr>
                    <w:pStyle w:val="Compact"/>
                    <w:jc w:val="right"/>
                    <w:jc w:val="center"/>
                  </w:pPr>
                  <w:r>
                    <w:t xml:space="preserve">0.18</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right"/>
                    <w:jc w:val="center"/>
                  </w:pPr>
                  <w:r>
                    <w:t xml:space="preserve">0.18</w:t>
                  </w:r>
                </w:p>
              </w:tc>
              <w:tc>
                <w:tcPr/>
                <w:p>
                  <w:pPr>
                    <w:pStyle w:val="Compact"/>
                    <w:jc w:val="right"/>
                    <w:jc w:val="center"/>
                  </w:pPr>
                  <w:r>
                    <w:t xml:space="preserve">1.01</w:t>
                  </w:r>
                </w:p>
              </w:tc>
              <w:tc>
                <w:tcPr/>
                <w:p>
                  <w:pPr>
                    <w:pStyle w:val="Compact"/>
                    <w:jc w:val="right"/>
                    <w:jc w:val="center"/>
                  </w:pPr>
                  <w:r>
                    <w:t xml:space="preserve">0.23</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right"/>
                    <w:jc w:val="center"/>
                  </w:pPr>
                  <w:r>
                    <w:t xml:space="preserve">0.26</w:t>
                  </w:r>
                </w:p>
              </w:tc>
              <w:tc>
                <w:tcPr/>
                <w:p>
                  <w:pPr>
                    <w:pStyle w:val="Compact"/>
                    <w:jc w:val="right"/>
                    <w:jc w:val="center"/>
                  </w:pPr>
                  <w:r>
                    <w:t xml:space="preserve">1.33</w:t>
                  </w:r>
                </w:p>
              </w:tc>
              <w:tc>
                <w:tcPr/>
                <w:p>
                  <w:pPr>
                    <w:pStyle w:val="Compact"/>
                    <w:jc w:val="right"/>
                    <w:jc w:val="center"/>
                  </w:pPr>
                  <w:r>
                    <w:t xml:space="preserve">0.41</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right"/>
                    <w:jc w:val="center"/>
                  </w:pPr>
                  <w:r>
                    <w:t xml:space="preserve">0.23</w:t>
                  </w:r>
                </w:p>
              </w:tc>
              <w:tc>
                <w:tcPr/>
                <w:p>
                  <w:pPr>
                    <w:pStyle w:val="Compact"/>
                    <w:jc w:val="right"/>
                    <w:jc w:val="center"/>
                  </w:pPr>
                  <w:r>
                    <w:t xml:space="preserve">1.16</w:t>
                  </w:r>
                </w:p>
              </w:tc>
              <w:tc>
                <w:tcPr/>
                <w:p>
                  <w:pPr>
                    <w:pStyle w:val="Compact"/>
                    <w:jc w:val="right"/>
                    <w:jc w:val="center"/>
                  </w:pPr>
                  <w:r>
                    <w:t xml:space="preserve">0.23</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right"/>
                    <w:jc w:val="center"/>
                  </w:pPr>
                  <w:r>
                    <w:t xml:space="preserve">0.39</w:t>
                  </w:r>
                </w:p>
              </w:tc>
              <w:tc>
                <w:tcPr/>
                <w:p>
                  <w:pPr>
                    <w:pStyle w:val="Compact"/>
                    <w:jc w:val="right"/>
                    <w:jc w:val="center"/>
                  </w:pPr>
                  <w:r>
                    <w:t xml:space="preserve">1.94</w:t>
                  </w:r>
                </w:p>
              </w:tc>
              <w:tc>
                <w:tcPr/>
                <w:p>
                  <w:pPr>
                    <w:pStyle w:val="Compact"/>
                    <w:jc w:val="right"/>
                    <w:jc w:val="center"/>
                  </w:pPr>
                  <w:r>
                    <w:t xml:space="preserve">0.53</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right"/>
                    <w:jc w:val="center"/>
                  </w:pPr>
                  <w:r>
                    <w:t xml:space="preserve">0.30</w:t>
                  </w:r>
                </w:p>
              </w:tc>
              <w:tc>
                <w:tcPr/>
                <w:p>
                  <w:pPr>
                    <w:pStyle w:val="Compact"/>
                    <w:jc w:val="right"/>
                    <w:jc w:val="center"/>
                  </w:pPr>
                  <w:r>
                    <w:t xml:space="preserve">1.14</w:t>
                  </w:r>
                </w:p>
              </w:tc>
              <w:tc>
                <w:tcPr/>
                <w:p>
                  <w:pPr>
                    <w:pStyle w:val="Compact"/>
                    <w:jc w:val="right"/>
                    <w:jc w:val="center"/>
                  </w:pPr>
                  <w:r>
                    <w:t xml:space="preserve">0.23</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right"/>
                    <w:jc w:val="center"/>
                  </w:pPr>
                  <w:r>
                    <w:t xml:space="preserve">0.19</w:t>
                  </w:r>
                </w:p>
              </w:tc>
              <w:tc>
                <w:tcPr/>
                <w:p>
                  <w:pPr>
                    <w:pStyle w:val="Compact"/>
                    <w:jc w:val="right"/>
                    <w:jc w:val="center"/>
                  </w:pPr>
                  <w:r>
                    <w:t xml:space="preserve">0.98</w:t>
                  </w:r>
                </w:p>
              </w:tc>
              <w:tc>
                <w:tcPr/>
                <w:p>
                  <w:pPr>
                    <w:pStyle w:val="Compact"/>
                    <w:jc w:val="right"/>
                    <w:jc w:val="center"/>
                  </w:pPr>
                  <w:r>
                    <w:t xml:space="preserve">0.12</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right"/>
                    <w:jc w:val="center"/>
                  </w:pPr>
                  <w:r>
                    <w:t xml:space="preserve">0.22</w:t>
                  </w:r>
                </w:p>
              </w:tc>
              <w:tc>
                <w:tcPr/>
                <w:p>
                  <w:pPr>
                    <w:pStyle w:val="Compact"/>
                    <w:jc w:val="right"/>
                    <w:jc w:val="center"/>
                  </w:pPr>
                  <w:r>
                    <w:t xml:space="preserve">1.10</w:t>
                  </w:r>
                </w:p>
              </w:tc>
              <w:tc>
                <w:tcPr/>
                <w:p>
                  <w:pPr>
                    <w:pStyle w:val="Compact"/>
                    <w:jc w:val="right"/>
                    <w:jc w:val="center"/>
                  </w:pPr>
                  <w:r>
                    <w:t xml:space="preserve">0.23</w:t>
                  </w:r>
                </w:p>
              </w:tc>
            </w:tr>
          </w:tbl>
          <w:bookmarkEnd w:id="61"/>
          <w:p/>
        </w:tc>
      </w:tr>
    </w:tbl>
    <w:p>
      <w:pPr>
        <w:pStyle w:val="BodyText"/>
      </w:pPr>
      <w:r>
        <w:rPr>
          <w:b/>
          <w:bCs/>
        </w:rPr>
        <w:t xml:space="preserve">Prediction intervals are reasonably calibrated.</w:t>
      </w:r>
      <w:r>
        <w:t xml:space="preserve"> </w:t>
      </w:r>
      <w:r>
        <w:t xml:space="preserve">Split-conformal intervals</w:t>
      </w:r>
      <w:r>
        <w:t xml:space="preserve"> </w:t>
      </w:r>
      <w:r>
        <w:t xml:space="preserve">attached to each surveyed district achieve empirical held-out coverage close to</w:t>
      </w:r>
      <w:r>
        <w:t xml:space="preserve"> </w:t>
      </w:r>
      <w:r>
        <w:t xml:space="preserve">the 90% target (range across outcomes typically 0.85–1.00;</w:t>
      </w:r>
      <w:r>
        <w:t xml:space="preserve"> </w:t>
      </w:r>
      <w:r>
        <w:rPr>
          <w:rStyle w:val="VerbatimChar"/>
        </w:rPr>
        <w:t xml:space="preserve">results/tables/corrected/interval_summary.csv</w:t>
      </w:r>
      <w:r>
        <w:t xml:space="preserve">), at the cost of wide intervals</w:t>
      </w:r>
      <w:r>
        <w:t xml:space="preserve"> </w:t>
      </w:r>
      <w:r>
        <w:t xml:space="preserve">for the noisiest outcomes.</w:t>
      </w:r>
    </w:p>
    <w:p>
      <w:pPr>
        <w:pStyle w:val="BodyText"/>
      </w:pPr>
      <w:r>
        <w:rPr>
          <w:b/>
          <w:bCs/>
        </w:rPr>
        <w:t xml:space="preserve">Per-district trust flags.</w:t>
      </w:r>
      <w:r>
        <w:t xml:space="preserve"> </w:t>
      </w:r>
      <w:r>
        <w:t xml:space="preserve">Each district is flagged for reliability by three</w:t>
      </w:r>
      <w:r>
        <w:t xml:space="preserve"> </w:t>
      </w:r>
      <w:r>
        <w:t xml:space="preserve">criteria: whether its covariates fall outside the surveyed training range</w:t>
      </w:r>
      <w:r>
        <w:t xml:space="preserve"> </w:t>
      </w:r>
      <w:r>
        <w:t xml:space="preserve">(out-of-support), small survey sample, and a wide prediction interval. The</w:t>
      </w:r>
      <w:r>
        <w:t xml:space="preserve"> </w:t>
      </w:r>
      <w:r>
        <w:t xml:space="preserve">resulting OK-to-use versus do-not-rely labels are in</w:t>
      </w:r>
      <w:r>
        <w:t xml:space="preserve"> </w:t>
      </w:r>
      <w:r>
        <w:rPr>
          <w:rStyle w:val="VerbatimChar"/>
        </w:rPr>
        <w:t xml:space="preserve">results/tables/corrected/trust_flags.csv</w:t>
      </w:r>
      <w:r>
        <w:t xml:space="preserve"> </w:t>
      </w:r>
      <w:r>
        <w:t xml:space="preserve">and drive the dashboard’s certainty</w:t>
      </w:r>
      <w:r>
        <w:t xml:space="preserve"> </w:t>
      </w:r>
      <w:r>
        <w:t xml:space="preserve">layer; out-of-support is the dominant driver of do-not-rely flags in</w:t>
      </w:r>
      <w:r>
        <w:t xml:space="preserve"> </w:t>
      </w:r>
      <w:r>
        <w:t xml:space="preserve">unsurveyed districts.</w:t>
      </w:r>
    </w:p>
    <w:bookmarkEnd w:id="62"/>
    <w:bookmarkEnd w:id="63"/>
    <w:bookmarkStart w:id="72" w:name="discussion"/>
    <w:p>
      <w:pPr>
        <w:pStyle w:val="Heading1"/>
      </w:pPr>
      <w:r>
        <w:t xml:space="preserve">4. Discussion</w:t>
      </w:r>
    </w:p>
    <w:bookmarkStart w:id="64" w:name="summary"/>
    <w:p>
      <w:pPr>
        <w:pStyle w:val="Heading2"/>
      </w:pPr>
      <w:r>
        <w:t xml:space="preserve">4.1 Summary</w:t>
      </w:r>
    </w:p>
    <w:p>
      <w:pPr>
        <w:pStyle w:val="FirstParagraph"/>
      </w:pPr>
      <w:r>
        <w:t xml:space="preserve">We harmonised individual-level biomarker measurements from four</w:t>
      </w:r>
      <w:r>
        <w:t xml:space="preserve"> </w:t>
      </w:r>
      <w:r>
        <w:t xml:space="preserve">sub-Saharan African DHS (three West African plus Malawi) to evaluate whether</w:t>
      </w:r>
      <w:r>
        <w:t xml:space="preserve"> </w:t>
      </w:r>
      <w:r>
        <w:t xml:space="preserve">ensemble machine-learning models can reproduce admin-2 micronutrient</w:t>
      </w:r>
      <w:r>
        <w:t xml:space="preserve"> </w:t>
      </w:r>
      <w:r>
        <w:t xml:space="preserve">deficiency prevalence and national prevalence. Four findings have</w:t>
      </w:r>
      <w:r>
        <w:t xml:space="preserve"> </w:t>
      </w:r>
      <w:r>
        <w:t xml:space="preserve">programmatic significance.</w:t>
      </w:r>
    </w:p>
    <w:p>
      <w:pPr>
        <w:pStyle w:val="BodyText"/>
      </w:pPr>
      <w:r>
        <w:t xml:space="preserve">First, the admin-2 biomarker target itself is measured with too little</w:t>
      </w:r>
      <w:r>
        <w:t xml:space="preserve"> </w:t>
      </w:r>
      <w:r>
        <w:t xml:space="preserve">precision, per district, to support fine-grained prediction, and this — not</w:t>
      </w:r>
      <w:r>
        <w:t xml:space="preserve"> </w:t>
      </w:r>
      <w:r>
        <w:t xml:space="preserve">model choice — is the binding constraint. A median admin-2 district</w:t>
      </w:r>
      <w:r>
        <w:t xml:space="preserve"> </w:t>
      </w:r>
      <w:r>
        <w:t xml:space="preserve">contributes 6–36 biomarker measurements; once sampling noise is subtracted</w:t>
      </w:r>
      <w:r>
        <w:t xml:space="preserve"> </w:t>
      </w:r>
      <w:r>
        <w:t xml:space="preserve">from the observed between-district variance, the median reliability ceiling</w:t>
      </w:r>
      <w:r>
        <w:t xml:space="preserve"> </w:t>
      </w:r>
      <w:r>
        <w:t xml:space="preserve">across 24 country–outcome cells is r_max = 0.098, and 4 of 24 cells have no</w:t>
      </w:r>
      <w:r>
        <w:t xml:space="preserve"> </w:t>
      </w:r>
      <w:r>
        <w:t xml:space="preserve">detectable signal above noise at all (and, reflecting how uncertain that</w:t>
      </w:r>
      <w:r>
        <w:t xml:space="preserve"> </w:t>
      </w:r>
      <w:r>
        <w:t xml:space="preserve">ceiling itself is at this sample size, half of all cells show r ≥ r_max).</w:t>
      </w:r>
      <w:r>
        <w:t xml:space="preserve"> </w:t>
      </w:r>
      <w:r>
        <w:t xml:space="preserve">Individual-level prediction aggregated</w:t>
      </w:r>
      <w:r>
        <w:t xml:space="preserve"> </w:t>
      </w:r>
      <w:r>
        <w:t xml:space="preserve">to admin-2 (median r 0.516, median r_share 0.92) already reaches most of that ceiling; fitting an</w:t>
      </w:r>
      <w:r>
        <w:t xml:space="preserve"> </w:t>
      </w:r>
      <w:r>
        <w:t xml:space="preserve">ensemble</w:t>
      </w:r>
      <w:r>
        <w:t xml:space="preserve"> </w:t>
      </w:r>
      <w:r>
        <w:rPr>
          <w:i/>
          <w:iCs/>
        </w:rPr>
        <w:t xml:space="preserve">directly at the admin-2 level</w:t>
      </w:r>
      <w:r>
        <w:t xml:space="preserve"> </w:t>
      </w:r>
      <w:r>
        <w:t xml:space="preserve">does not clear it, and does not even</w:t>
      </w:r>
      <w:r>
        <w:t xml:space="preserve"> </w:t>
      </w:r>
      <w:r>
        <w:t xml:space="preserve">clear a national-mean null (median MAE 9.3–9.8 pp vs. 9.55 pp for the null),</w:t>
      </w:r>
      <w:r>
        <w:t xml:space="preserve"> </w:t>
      </w:r>
      <w:r>
        <w:t xml:space="preserve">while a covariate-free spatial smoother beats both covariate-based</w:t>
      </w:r>
      <w:r>
        <w:t xml:space="preserve"> </w:t>
      </w:r>
      <w:r>
        <w:t xml:space="preserve">area-level models on rank correlation. This qualifies the usual</w:t>
      </w:r>
      <w:r>
        <w:t xml:space="preserve"> </w:t>
      </w:r>
      <w:r>
        <w:t xml:space="preserve">small-area-estimation expectation that the unit of estimation should match</w:t>
      </w:r>
      <w:r>
        <w:t xml:space="preserve"> </w:t>
      </w:r>
      <w:r>
        <w:t xml:space="preserve">the unit of deliverable</w:t>
      </w:r>
      <w:r>
        <w:t xml:space="preserve"> </w:t>
      </w:r>
      <w:r>
        <w:t xml:space="preserve">(Mercer et al. 2015; Wakefield, Okonek, and Pedersen 2020)</w:t>
      </w:r>
      <w:r>
        <w:t xml:space="preserve">: with so few</w:t>
      </w:r>
      <w:r>
        <w:t xml:space="preserve"> </w:t>
      </w:r>
      <w:r>
        <w:t xml:space="preserve">areal units and so few biomarker measurements per unit, the data-richer</w:t>
      </w:r>
      <w:r>
        <w:t xml:space="preserve"> </w:t>
      </w:r>
      <w:r>
        <w:t xml:space="preserve">individual-level fit generalises more reliably than a model trained directly</w:t>
      </w:r>
      <w:r>
        <w:t xml:space="preserve"> </w:t>
      </w:r>
      <w:r>
        <w:t xml:space="preserve">on the areas, and no area-level estimator — however carefully specified —</w:t>
      </w:r>
      <w:r>
        <w:t xml:space="preserve"> </w:t>
      </w:r>
      <w:r>
        <w:t xml:space="preserve">can be expected to exceed the noise ceiling of the target it is fit to.</w:t>
      </w:r>
    </w:p>
    <w:p>
      <w:pPr>
        <w:pStyle w:val="BodyText"/>
      </w:pPr>
      <w:r>
        <w:t xml:space="preserve">Second, national-level aggregation is the deliverable that works. Predicted</w:t>
      </w:r>
      <w:r>
        <w:t xml:space="preserve"> </w:t>
      </w:r>
      <w:r>
        <w:t xml:space="preserve">national prevalence fell inside the survey’s own 95% confidence interval for</w:t>
      </w:r>
      <w:r>
        <w:t xml:space="preserve"> </w:t>
      </w:r>
      <w:r>
        <w:t xml:space="preserve">all 24 country–outcome combinations (median absolute error 0.74 pp),</w:t>
      </w:r>
      <w:r>
        <w:t xml:space="preserve"> </w:t>
      </w:r>
      <w:r>
        <w:t xml:space="preserve">because aggregating many noisy district predictions averages the district-level</w:t>
      </w:r>
      <w:r>
        <w:t xml:space="preserve"> </w:t>
      </w:r>
      <w:r>
        <w:t xml:space="preserve">sampling noise away. We treat this, rather than the admin-2 map, as the</w:t>
      </w:r>
      <w:r>
        <w:t xml:space="preserve"> </w:t>
      </w:r>
      <w:r>
        <w:t xml:space="preserve">result best supported by the present evidence for near-term programmatic use.</w:t>
      </w:r>
    </w:p>
    <w:p>
      <w:pPr>
        <w:pStyle w:val="BodyText"/>
      </w:pPr>
      <w:r>
        <w:t xml:space="preserve">Third, cross-country transportability remains limited and is the harder</w:t>
      </w:r>
      <w:r>
        <w:t xml:space="preserve"> </w:t>
      </w:r>
      <w:r>
        <w:t xml:space="preserve">problem admin-2 model choice does not solve. Across the 16 outcome–holdout</w:t>
      </w:r>
      <w:r>
        <w:t xml:space="preserve"> </w:t>
      </w:r>
      <w:r>
        <w:t xml:space="preserve">combinations evaluable, the SuperLearner ensemble matched or beat the best</w:t>
      </w:r>
      <w:r>
        <w:t xml:space="preserve"> </w:t>
      </w:r>
      <w:r>
        <w:t xml:space="preserve">of 21 comparator methods on 0 holdouts, spatial methods (coordinates</w:t>
      </w:r>
      <w:r>
        <w:t xml:space="preserve"> </w:t>
      </w:r>
      <w:r>
        <w:t xml:space="preserve">alone, or coordinates plus soil covariates) led on rank correlation (median</w:t>
      </w:r>
      <w:r>
        <w:t xml:space="preserve"> </w:t>
      </w:r>
      <w:r>
        <w:t xml:space="preserve">r 0.27–0.28) but not on absolute error, and a plain penalised regression had</w:t>
      </w:r>
      <w:r>
        <w:t xml:space="preserve"> </w:t>
      </w:r>
      <w:r>
        <w:t xml:space="preserve">the lowest median MAE (10.6 pp, versus 11.1 pp for a null) despite</w:t>
      </w:r>
      <w:r>
        <w:t xml:space="preserve"> </w:t>
      </w:r>
      <w:r>
        <w:t xml:space="preserve">near-zero rank correlation — level and pattern transport by different</w:t>
      </w:r>
      <w:r>
        <w:t xml:space="preserve"> </w:t>
      </w:r>
      <w:r>
        <w:t xml:space="preserve">methods, and neither transports well by any single one.</w:t>
      </w:r>
    </w:p>
    <w:p>
      <w:pPr>
        <w:pStyle w:val="BodyText"/>
      </w:pPr>
      <w:r>
        <w:t xml:space="preserve">Fourth, the SuperLearner ensemble does not reliably outperform standard SAE</w:t>
      </w:r>
      <w:r>
        <w:t xml:space="preserve"> </w:t>
      </w:r>
      <w:r>
        <w:t xml:space="preserve">methods, and specifically does not outperform two much simpler baselines —</w:t>
      </w:r>
      <w:r>
        <w:t xml:space="preserve"> </w:t>
      </w:r>
      <w:r>
        <w:t xml:space="preserve">a national-mean null and a covariate-free spatial smoother — that were not</w:t>
      </w:r>
      <w:r>
        <w:t xml:space="preserve"> </w:t>
      </w:r>
      <w:r>
        <w:t xml:space="preserve">part of the original benchmark set. A plain penalised regression or a</w:t>
      </w:r>
      <w:r>
        <w:t xml:space="preserve"> </w:t>
      </w:r>
      <w:r>
        <w:t xml:space="preserve">spatial-coordinates-only model matched or beat the ensemble on the large</w:t>
      </w:r>
      <w:r>
        <w:t xml:space="preserve"> </w:t>
      </w:r>
      <w:r>
        <w:t xml:space="preserve">majority of LOCO splits. Bayesian SAE comparators (Fay–Herriot, BYM2)</w:t>
      </w:r>
      <w:r>
        <w:t xml:space="preserve"> </w:t>
      </w:r>
      <w:r>
        <w:t xml:space="preserve">provided modest additional calibration gains but did not substantially shift</w:t>
      </w:r>
      <w:r>
        <w:t xml:space="preserve"> </w:t>
      </w:r>
      <w:r>
        <w:t xml:space="preserve">the ranking. Among the predictor domains available without a concurrent</w:t>
      </w:r>
      <w:r>
        <w:t xml:space="preserve"> </w:t>
      </w:r>
      <w:r>
        <w:t xml:space="preserve">biomarker survey, environment (median AUC contribution 0.029) is the only one</w:t>
      </w:r>
      <w:r>
        <w:t xml:space="preserve"> </w:t>
      </w:r>
      <w:r>
        <w:t xml:space="preserve">whose contribution is distinguishable from zero; climate contributes 0.004 and</w:t>
      </w:r>
      <w:r>
        <w:t xml:space="preserve"> </w:t>
      </w:r>
      <w:r>
        <w:t xml:space="preserve">every other domain</w:t>
      </w:r>
      <w:r>
        <w:t xml:space="preserve"> </w:t>
      </w:r>
      <m:oMath>
        <m:r>
          <m:rPr>
            <m:sty m:val="p"/>
          </m:rPr>
          <m:t>≤</m:t>
        </m:r>
      </m:oMath>
      <w:r>
        <w:t xml:space="preserve"> </w:t>
      </w:r>
      <w:r>
        <w:t xml:space="preserve">0.001, consistent with geography, not the specific</w:t>
      </w:r>
      <w:r>
        <w:t xml:space="preserve"> </w:t>
      </w:r>
      <w:r>
        <w:t xml:space="preserve">covariate ensemble, being the main source of transportable information.</w:t>
      </w:r>
    </w:p>
    <w:p>
      <w:pPr>
        <w:pStyle w:val="BodyText"/>
      </w:pPr>
      <w:r>
        <w:t xml:space="preserve">A fifth finding, added after peer review, explains the preceding four rather</w:t>
      </w:r>
      <w:r>
        <w:t xml:space="preserve"> </w:t>
      </w:r>
      <w:r>
        <w:t xml:space="preserve">than adding to them. Testing every harmonised predictor against district</w:t>
      </w:r>
      <w:r>
        <w:t xml:space="preserve"> </w:t>
      </w:r>
      <w:r>
        <w:t xml:space="preserve">prevalence under a null that respects spatial autocorrelation,</w:t>
      </w:r>
      <w:r>
        <w:t xml:space="preserve"> </w:t>
      </w:r>
      <w:r>
        <w:rPr>
          <w:b/>
          <w:bCs/>
        </w:rPr>
        <w:t xml:space="preserve">no predictor</w:t>
      </w:r>
      <w:r>
        <w:rPr>
          <w:b/>
          <w:bCs/>
        </w:rPr>
        <w:t xml:space="preserve"> </w:t>
      </w:r>
      <w:r>
        <w:rPr>
          <w:b/>
          <w:bCs/>
        </w:rPr>
        <w:t xml:space="preserve">survives false-discovery-rate control in any of the 24 cells</w:t>
      </w:r>
      <w:r>
        <w:t xml:space="preserve">, and penalised</w:t>
      </w:r>
      <w:r>
        <w:t xml:space="preserve"> </w:t>
      </w:r>
      <w:r>
        <w:t xml:space="preserve">regression at a cross-validated penalty retains a median of zero predictors,</w:t>
      </w:r>
      <w:r>
        <w:t xml:space="preserve"> </w:t>
      </w:r>
      <w:r>
        <w:t xml:space="preserve">with 13 of 18 cells retaining none (</w:t>
      </w:r>
      <w:hyperlink w:anchor="sec-fdr">
        <w:r>
          <w:rPr>
            <w:rStyle w:val="Hyperlink"/>
          </w:rPr>
          <w:t xml:space="preserve">Section 3.9</w:t>
        </w:r>
      </w:hyperlink>
      <w:r>
        <w:t xml:space="preserve">). Between-region association</w:t>
      </w:r>
      <w:r>
        <w:t xml:space="preserve"> </w:t>
      </w:r>
      <w:r>
        <w:t xml:space="preserve">exists but is confounded with spatial smoothness; within region, beyond what</w:t>
      </w:r>
      <w:r>
        <w:t xml:space="preserve"> </w:t>
      </w:r>
      <w:r>
        <w:t xml:space="preserve">geography already supplies, we cannot demonstrate signal. This is the same</w:t>
      </w:r>
      <w:r>
        <w:t xml:space="preserve"> </w:t>
      </w:r>
      <w:r>
        <w:t xml:space="preserve">result as the covariate-free spatial smoother matching the full 294-predictor</w:t>
      </w:r>
      <w:r>
        <w:t xml:space="preserve"> </w:t>
      </w:r>
      <w:r>
        <w:t xml:space="preserve">set, seen from the association side rather than the prediction side.</w:t>
      </w:r>
    </w:p>
    <w:p>
      <w:pPr>
        <w:pStyle w:val="BodyText"/>
      </w:pPr>
      <w:r>
        <w:t xml:space="preserve">We also quantify how much apparent accuracy is manufactured by covariate</w:t>
      </w:r>
      <w:r>
        <w:t xml:space="preserve"> </w:t>
      </w:r>
      <w:r>
        <w:t xml:space="preserve">selection. Two otherwise identical pipelines, both cross-validated by holding</w:t>
      </w:r>
      <w:r>
        <w:t xml:space="preserve"> </w:t>
      </w:r>
      <w:r>
        <w:t xml:space="preserve">out whole regions and differing only in whether the covariate screen saw the</w:t>
      </w:r>
      <w:r>
        <w:t xml:space="preserve"> </w:t>
      </w:r>
      <w:r>
        <w:t xml:space="preserve">held-out regions, differ by a mean of</w:t>
      </w:r>
      <w:r>
        <w:t xml:space="preserve"> </w:t>
      </w:r>
      <w:r>
        <w:rPr>
          <w:b/>
          <w:bCs/>
        </w:rPr>
        <w:t xml:space="preserve">+0.182</w:t>
      </w:r>
      <w:r>
        <w:t xml:space="preserve"> </w:t>
      </w:r>
      <w:r>
        <w:t xml:space="preserve">in rank correlation, positive</w:t>
      </w:r>
      <w:r>
        <w:t xml:space="preserve"> </w:t>
      </w:r>
      <w:r>
        <w:t xml:space="preserve">in all 20 measurable cells and reaching +0.51 — enough to turn cells with zero</w:t>
      </w:r>
      <w:r>
        <w:t xml:space="preserve"> </w:t>
      </w:r>
      <w:r>
        <w:t xml:space="preserve">or negative real skill into apparently respectable ones. Analyses that screen</w:t>
      </w:r>
      <w:r>
        <w:t xml:space="preserve"> </w:t>
      </w:r>
      <w:r>
        <w:t xml:space="preserve">predictors on all data before cross-validating, a common practice, should be</w:t>
      </w:r>
      <w:r>
        <w:t xml:space="preserve"> </w:t>
      </w:r>
      <w:r>
        <w:t xml:space="preserve">read with that magnitude in mind.</w:t>
      </w:r>
    </w:p>
    <w:bookmarkEnd w:id="64"/>
    <w:bookmarkStart w:id="65" w:name="X8384bfb506f112a014e118517ad335639a7a3de"/>
    <w:p>
      <w:pPr>
        <w:pStyle w:val="Heading2"/>
      </w:pPr>
      <w:r>
        <w:t xml:space="preserve">4.2 The aggregation problem and</w:t>
      </w:r>
      <w:r>
        <w:t xml:space="preserve"> </w:t>
      </w:r>
      <w:r>
        <w:t xml:space="preserve">“fit at the unit of deliverable”</w:t>
      </w:r>
    </w:p>
    <w:p>
      <w:pPr>
        <w:pStyle w:val="FirstParagraph"/>
      </w:pPr>
      <w:r>
        <w:t xml:space="preserve">The mechanism by which individual-level predictions degrade upon</w:t>
      </w:r>
      <w:r>
        <w:t xml:space="preserve"> </w:t>
      </w:r>
      <w:r>
        <w:t xml:space="preserve">aggregation merits explicit treatment. A well-calibrated probabilistic</w:t>
      </w:r>
      <w:r>
        <w:t xml:space="preserve"> </w:t>
      </w:r>
      <w:r>
        <w:t xml:space="preserve">classifier under high noise shrinks individual-level predictions toward</w:t>
      </w:r>
      <w:r>
        <w:t xml:space="preserve"> </w:t>
      </w:r>
      <w:r>
        <w:t xml:space="preserve">the marginal class probability — this is the correct loss-minimising</w:t>
      </w:r>
      <w:r>
        <w:t xml:space="preserve"> </w:t>
      </w:r>
      <w:r>
        <w:t xml:space="preserve">behaviour</w:t>
      </w:r>
      <w:r>
        <w:t xml:space="preserve"> </w:t>
      </w:r>
      <w:r>
        <w:t xml:space="preserve">(Niculescu-Mizil and Caruana 2005)</w:t>
      </w:r>
      <w:r>
        <w:t xml:space="preserve">. When such predictions are</w:t>
      </w:r>
      <w:r>
        <w:t xml:space="preserve"> </w:t>
      </w:r>
      <w:r>
        <w:t xml:space="preserve">aggregated across all individuals in an admin-2 unit, the shrinkage</w:t>
      </w:r>
      <w:r>
        <w:t xml:space="preserve"> </w:t>
      </w:r>
      <w:r>
        <w:t xml:space="preserve">does not cancel; it pulls every area-level mean toward the country</w:t>
      </w:r>
      <w:r>
        <w:t xml:space="preserve"> </w:t>
      </w:r>
      <w:r>
        <w:t xml:space="preserve">prevalence. In high-prevalence settings this produces large negative</w:t>
      </w:r>
      <w:r>
        <w:t xml:space="preserve"> </w:t>
      </w:r>
      <w:r>
        <w:t xml:space="preserve">biases; in low-prevalence settings, positive biases. Calibration of</w:t>
      </w:r>
      <w:r>
        <w:t xml:space="preserve"> </w:t>
      </w:r>
      <w:r>
        <w:t xml:space="preserve">admin-2 outputs against survey-weighted admin-2 prevalence is therefore</w:t>
      </w:r>
      <w:r>
        <w:t xml:space="preserve"> </w:t>
      </w:r>
      <w:r>
        <w:t xml:space="preserve">necessary if individual-level models are repurposed as area-level</w:t>
      </w:r>
      <w:r>
        <w:t xml:space="preserve"> </w:t>
      </w:r>
      <w:r>
        <w:t xml:space="preserve">maps. We follow the small-area-estimation tradition in recommending the</w:t>
      </w:r>
      <w:r>
        <w:t xml:space="preserve"> </w:t>
      </w:r>
      <w:r>
        <w:t xml:space="preserve">opposite path — fitting at the admin-2 unit directly — when the</w:t>
      </w:r>
      <w:r>
        <w:t xml:space="preserve"> </w:t>
      </w:r>
      <w:r>
        <w:t xml:space="preserve">deliverable is spatial.</w:t>
      </w:r>
    </w:p>
    <w:p>
      <w:pPr>
        <w:pStyle w:val="BodyText"/>
      </w:pPr>
      <w:r>
        <w:t xml:space="preserve">This conclusion is consistent with</w:t>
      </w:r>
      <w:r>
        <w:t xml:space="preserve"> </w:t>
      </w:r>
      <w:r>
        <w:t xml:space="preserve">Mercer et al. (2015)</w:t>
      </w:r>
      <w:r>
        <w:t xml:space="preserve"> </w:t>
      </w:r>
      <w:r>
        <w:t xml:space="preserve">and</w:t>
      </w:r>
      <w:r>
        <w:t xml:space="preserve"> </w:t>
      </w:r>
      <w:r>
        <w:t xml:space="preserve">Wakefield, Okonek, and Pedersen (2020)</w:t>
      </w:r>
      <w:r>
        <w:t xml:space="preserve">, who emphasise that for DHS-derived admin-level</w:t>
      </w:r>
      <w:r>
        <w:t xml:space="preserve"> </w:t>
      </w:r>
      <w:r>
        <w:t xml:space="preserve">prevalence the natural model is one fit at the admin level with known</w:t>
      </w:r>
      <w:r>
        <w:t xml:space="preserve"> </w:t>
      </w:r>
      <w:r>
        <w:t xml:space="preserve">sampling variances, structured (e.g., ICAR or BYM2) random effects,</w:t>
      </w:r>
      <w:r>
        <w:t xml:space="preserve"> </w:t>
      </w:r>
      <w:r>
        <w:t xml:space="preserve">and auxiliary covariates. Our finding that BYM2 and Fay–Herriot are</w:t>
      </w:r>
      <w:r>
        <w:t xml:space="preserve"> </w:t>
      </w:r>
      <w:r>
        <w:t xml:space="preserve">competitive with — and on some outcomes superior to — a multi-learner</w:t>
      </w:r>
      <w:r>
        <w:t xml:space="preserve"> </w:t>
      </w:r>
      <w:r>
        <w:t xml:space="preserve">ensemble is consistent with this tradition.</w:t>
      </w:r>
    </w:p>
    <w:bookmarkEnd w:id="65"/>
    <w:bookmarkStart w:id="66" w:name="X3056f5d8ad96ffc98d3bdd210856764d26c417f"/>
    <w:p>
      <w:pPr>
        <w:pStyle w:val="Heading2"/>
      </w:pPr>
      <w:r>
        <w:t xml:space="preserve">4.3 Why does the SuperLearner sometimes underperform?</w:t>
      </w:r>
    </w:p>
    <w:p>
      <w:pPr>
        <w:pStyle w:val="FirstParagraph"/>
      </w:pPr>
      <w:r>
        <w:t xml:space="preserve">The most striking single result is the child-iron Sierra Leone LOCO case,</w:t>
      </w:r>
      <w:r>
        <w:t xml:space="preserve"> </w:t>
      </w:r>
      <w:r>
        <w:t xml:space="preserve">where the SuperLearner produces anti-predictive ranking (r = −0.125, MAE</w:t>
      </w:r>
      <w:r>
        <w:t xml:space="preserve"> </w:t>
      </w:r>
      <w:r>
        <w:t xml:space="preserve">20.0 pp) while a beta regression on the same covariates achieves r = 0.466</w:t>
      </w:r>
      <w:r>
        <w:t xml:space="preserve"> </w:t>
      </w:r>
      <w:r>
        <w:t xml:space="preserve">at a fraction of the absolute error (MAE 3.4 pp) — and every other linear</w:t>
      </w:r>
      <w:r>
        <w:t xml:space="preserve"> </w:t>
      </w:r>
      <w:r>
        <w:t xml:space="preserve">comparator we tested (GLM, quasi-binomial, penalised regression) was also</w:t>
      </w:r>
      <w:r>
        <w:t xml:space="preserve"> </w:t>
      </w:r>
      <w:r>
        <w:t xml:space="preserve">anti-predictive on this cell, so the ensemble’s failure is not simply</w:t>
      </w:r>
      <w:r>
        <w:t xml:space="preserve"> </w:t>
      </w:r>
      <w:r>
        <w:t xml:space="preserve">“any</w:t>
      </w:r>
      <w:r>
        <w:t xml:space="preserve"> </w:t>
      </w:r>
      <w:r>
        <w:t xml:space="preserve">simpler model would have done better.”</w:t>
      </w:r>
      <w:r>
        <w:t xml:space="preserve"> </w:t>
      </w:r>
      <w:r>
        <w:t xml:space="preserve">We interpret this as a</w:t>
      </w:r>
      <w:r>
        <w:t xml:space="preserve"> </w:t>
      </w:r>
      <w:r>
        <w:t xml:space="preserve">model-selection failure specific to the ensemble: with only 14 admin-2 areas</w:t>
      </w:r>
      <w:r>
        <w:t xml:space="preserve"> </w:t>
      </w:r>
      <w:r>
        <w:t xml:space="preserve">in the held-out set and roughly 150 covariates, the cross-validated risk</w:t>
      </w:r>
      <w:r>
        <w:t xml:space="preserve"> </w:t>
      </w:r>
      <w:r>
        <w:t xml:space="preserve">estimator within the ensemble has high variance, and the cv-selected learner</w:t>
      </w:r>
      <w:r>
        <w:t xml:space="preserve"> </w:t>
      </w:r>
      <w:r>
        <w:t xml:space="preserve">appears to have over-fit to a non-transportable feature pattern that a</w:t>
      </w:r>
      <w:r>
        <w:t xml:space="preserve"> </w:t>
      </w:r>
      <w:r>
        <w:t xml:space="preserve">correctly-specified beta regression, respecting the outcome’s bounded</w:t>
      </w:r>
      <w:r>
        <w:t xml:space="preserve"> </w:t>
      </w:r>
      <w:r>
        <w:t xml:space="preserve">[0, 1] support, avoided.</w:t>
      </w:r>
    </w:p>
    <w:p>
      <w:pPr>
        <w:pStyle w:val="BodyText"/>
      </w:pPr>
      <w:r>
        <w:t xml:space="preserve">This suggests that ensemble methods should be benchmarked against</w:t>
      </w:r>
      <w:r>
        <w:t xml:space="preserve"> </w:t>
      </w:r>
      <w:r>
        <w:t xml:space="preserve">parsimonious alternatives — including distribution-appropriate ones, not</w:t>
      </w:r>
      <w:r>
        <w:t xml:space="preserve"> </w:t>
      </w:r>
      <w:r>
        <w:t xml:space="preserve">only linear-Gaussian baselines — whenever the test set is small or the</w:t>
      </w:r>
      <w:r>
        <w:t xml:space="preserve"> </w:t>
      </w:r>
      <w:r>
        <w:t xml:space="preserve">target population is meaningfully outside the training distribution. Full</w:t>
      </w:r>
      <w:r>
        <w:t xml:space="preserve"> </w:t>
      </w:r>
      <w:r>
        <w:t xml:space="preserve">mode of our pipeline (the 12-learner SuperLearner across 206 admin-2 units</w:t>
      </w:r>
      <w:r>
        <w:t xml:space="preserve"> </w:t>
      </w:r>
      <w:r>
        <w:t xml:space="preserve">and five outcomes) took several hours end to end (2026-08 rebuild: 831</w:t>
      </w:r>
      <w:r>
        <w:t xml:space="preserve"> </w:t>
      </w:r>
      <w:r>
        <w:t xml:space="preserve">targets, 0 errors); a single comparator model such as beta regression</w:t>
      </w:r>
      <w:r>
        <w:t xml:space="preserve"> </w:t>
      </w:r>
      <w:r>
        <w:t xml:space="preserve">fits in seconds. Across the 16 LOCO cells evaluated in</w:t>
      </w:r>
      <w:r>
        <w:t xml:space="preserve"> </w:t>
      </w:r>
      <w:hyperlink w:anchor="tbl-benchmarks">
        <w:r>
          <w:rPr>
            <w:rStyle w:val="Hyperlink"/>
          </w:rPr>
          <w:t xml:space="preserve">Table 6</w:t>
        </w:r>
      </w:hyperlink>
      <w:r>
        <w:t xml:space="preserve">, that</w:t>
      </w:r>
      <w:r>
        <w:t xml:space="preserve"> </w:t>
      </w:r>
      <w:r>
        <w:t xml:space="preserve">cost was justified on none.</w:t>
      </w:r>
    </w:p>
    <w:bookmarkEnd w:id="66"/>
    <w:bookmarkStart w:id="67" w:name="implications-for-programming"/>
    <w:p>
      <w:pPr>
        <w:pStyle w:val="Heading2"/>
      </w:pPr>
      <w:r>
        <w:t xml:space="preserve">4.4 Implications for programming</w:t>
      </w:r>
    </w:p>
    <w:p>
      <w:pPr>
        <w:pStyle w:val="FirstParagraph"/>
      </w:pPr>
      <w:r>
        <w:t xml:space="preserve">The national-level estimates in this study are, on present evidence, the</w:t>
      </w:r>
      <w:r>
        <w:t xml:space="preserve"> </w:t>
      </w:r>
      <w:r>
        <w:t xml:space="preserve">most defensible deliverable for programming: 24 of 24 country–outcome</w:t>
      </w:r>
      <w:r>
        <w:t xml:space="preserve"> </w:t>
      </w:r>
      <w:r>
        <w:t xml:space="preserve">national predictions fell inside the survey’s own confidence interval.</w:t>
      </w:r>
      <w:r>
        <w:t xml:space="preserve"> </w:t>
      </w:r>
      <w:r>
        <w:t xml:space="preserve">Admin-2 deficiency maps derived from the same models are, at best,</w:t>
      </w:r>
      <w:r>
        <w:t xml:space="preserve"> </w:t>
      </w:r>
      <w:r>
        <w:t xml:space="preserve">interpretable as</w:t>
      </w:r>
      <w:r>
        <w:t xml:space="preserve"> </w:t>
      </w:r>
      <w:r>
        <w:rPr>
          <w:i/>
          <w:iCs/>
        </w:rPr>
        <w:t xml:space="preserve">relative ranking</w:t>
      </w:r>
      <w:r>
        <w:t xml:space="preserve"> </w:t>
      </w:r>
      <w:r>
        <w:t xml:space="preserve">tools within a country with biomarker</w:t>
      </w:r>
      <w:r>
        <w:t xml:space="preserve"> </w:t>
      </w:r>
      <w:r>
        <w:t xml:space="preserve">data — useful for prioritising districts within a national-level</w:t>
      </w:r>
      <w:r>
        <w:t xml:space="preserve"> </w:t>
      </w:r>
      <w:r>
        <w:t xml:space="preserve">intervention — but should be published alongside their reliability ceiling</w:t>
      </w:r>
      <w:r>
        <w:t xml:space="preserve"> </w:t>
      </w:r>
      <w:r>
        <w:t xml:space="preserve">(</w:t>
      </w:r>
      <w:hyperlink w:anchor="sec-ceiling">
        <w:r>
          <w:rPr>
            <w:rStyle w:val="Hyperlink"/>
          </w:rPr>
          <w:t xml:space="preserve">Section 3.3</w:t>
        </w:r>
      </w:hyperlink>
      <w:r>
        <w:t xml:space="preserve">), since roughly a sixth of country–outcome cells have no</w:t>
      </w:r>
      <w:r>
        <w:t xml:space="preserve"> </w:t>
      </w:r>
      <w:r>
        <w:t xml:space="preserve">detectable admin-2 signal at all and should not be mapped as if they did.</w:t>
      </w:r>
      <w:r>
        <w:t xml:space="preserve"> </w:t>
      </w:r>
      <w:r>
        <w:t xml:space="preserve">They are not suitable for absolute-level inference (calibration slopes drift</w:t>
      </w:r>
      <w:r>
        <w:t xml:space="preserve"> </w:t>
      </w:r>
      <w:r>
        <w:t xml:space="preserve">substantially) without additional anchoring against direct national</w:t>
      </w:r>
      <w:r>
        <w:t xml:space="preserve"> </w:t>
      </w:r>
      <w:r>
        <w:t xml:space="preserve">estimates</w:t>
      </w:r>
      <w:r>
        <w:t xml:space="preserve"> </w:t>
      </w:r>
      <w:r>
        <w:t xml:space="preserve">(Stevens et al. 2022)</w:t>
      </w:r>
      <w:r>
        <w:t xml:space="preserve">. For an unsurveyed country, our</w:t>
      </w:r>
      <w:r>
        <w:t xml:space="preserve"> </w:t>
      </w:r>
      <w:r>
        <w:t xml:space="preserve">results suggest that LOCO-based predictions should be treated as coarse risk</w:t>
      </w:r>
      <w:r>
        <w:t xml:space="preserve"> </w:t>
      </w:r>
      <w:r>
        <w:t xml:space="preserve">triage at most, benchmarked against a national-mean null and a</w:t>
      </w:r>
      <w:r>
        <w:t xml:space="preserve"> </w:t>
      </w:r>
      <w:r>
        <w:t xml:space="preserve">covariate-free spatial smoother before any claim of added value, and used</w:t>
      </w:r>
      <w:r>
        <w:t xml:space="preserve"> </w:t>
      </w:r>
      <w:r>
        <w:t xml:space="preserve">only within the same broad agroecological region as the training set.</w:t>
      </w:r>
    </w:p>
    <w:p>
      <w:pPr>
        <w:pStyle w:val="BodyText"/>
      </w:pPr>
      <w:r>
        <w:t xml:space="preserve">The VMNIS and BRINDA national-level databases</w:t>
      </w:r>
      <w:r>
        <w:t xml:space="preserve"> </w:t>
      </w:r>
      <w:r>
        <w:t xml:space="preserve">(World Health Organization 2023; Suchdev et al. 2016)</w:t>
      </w:r>
      <w:r>
        <w:t xml:space="preserve"> </w:t>
      </w:r>
      <w:r>
        <w:t xml:space="preserve">offer one path to external validation. A natural</w:t>
      </w:r>
      <w:r>
        <w:t xml:space="preserve"> </w:t>
      </w:r>
      <w:r>
        <w:t xml:space="preserve">next step is to apply the best-LOCO parsimonious model — a penalised</w:t>
      </w:r>
      <w:r>
        <w:t xml:space="preserve"> </w:t>
      </w:r>
      <w:r>
        <w:t xml:space="preserve">regression on area-level GEE aggregates — to additional African</w:t>
      </w:r>
      <w:r>
        <w:t xml:space="preserve"> </w:t>
      </w:r>
      <w:r>
        <w:t xml:space="preserve">countries with biomarker data already collated in BRINDA/VMNIS, and</w:t>
      </w:r>
      <w:r>
        <w:t xml:space="preserve"> </w:t>
      </w:r>
      <w:r>
        <w:t xml:space="preserve">to estimate calibration and bias of admin-2 maps in those populations.</w:t>
      </w:r>
      <w:r>
        <w:t xml:space="preserve"> </w:t>
      </w:r>
      <w:r>
        <w:t xml:space="preserve">A companion analysis using earth-observation rasters for Côte d’Ivoire</w:t>
      </w:r>
      <w:r>
        <w:t xml:space="preserve"> </w:t>
      </w:r>
      <w:r>
        <w:t xml:space="preserve">(available in the project repository) is in progress.</w:t>
      </w:r>
    </w:p>
    <w:bookmarkEnd w:id="67"/>
    <w:bookmarkStart w:id="68" w:name="limitations"/>
    <w:p>
      <w:pPr>
        <w:pStyle w:val="Heading2"/>
      </w:pPr>
      <w:r>
        <w:t xml:space="preserve">4.5 Limitations</w:t>
      </w:r>
    </w:p>
    <w:p>
      <w:pPr>
        <w:pStyle w:val="FirstParagraph"/>
      </w:pPr>
      <w:r>
        <w:t xml:space="preserve">Our sample comprises four sub-Saharan African countries — three in West</w:t>
      </w:r>
      <w:r>
        <w:t xml:space="preserve"> </w:t>
      </w:r>
      <w:r>
        <w:t xml:space="preserve">Africa plus Malawi — so the rest of East, Central, and Southern Africa is</w:t>
      </w:r>
      <w:r>
        <w:t xml:space="preserve"> </w:t>
      </w:r>
      <w:r>
        <w:t xml:space="preserve">unrepresented. Because the predictors are resolved at admin-2, the</w:t>
      </w:r>
      <w:r>
        <w:t xml:space="preserve"> </w:t>
      </w:r>
      <w:r>
        <w:t xml:space="preserve">effective sample size for area-level models is the</w:t>
      </w:r>
      <w:r>
        <w:t xml:space="preserve"> </w:t>
      </w:r>
      <w:r>
        <w:t xml:space="preserve">number of polygons (14–90 per country) rather than the underlying</w:t>
      </w:r>
      <w:r>
        <w:t xml:space="preserve"> </w:t>
      </w:r>
      <w:r>
        <w:t xml:space="preserve">individuals, which limits the degrees of freedom for both within- and</w:t>
      </w:r>
      <w:r>
        <w:t xml:space="preserve"> </w:t>
      </w:r>
      <w:r>
        <w:t xml:space="preserve">cross-country fitting and makes naively-computed within-country</w:t>
      </w:r>
      <w:r>
        <w:t xml:space="preserve"> </w:t>
      </w:r>
      <w:r>
        <w:t xml:space="preserve">cross-validated correlations an optimistic bound in the absence of an</w:t>
      </w:r>
      <w:r>
        <w:t xml:space="preserve"> </w:t>
      </w:r>
      <w:r>
        <w:t xml:space="preserve">explicit reliability ceiling (most acutely for Sierra Leone, with only 14</w:t>
      </w:r>
      <w:r>
        <w:t xml:space="preserve"> </w:t>
      </w:r>
      <w:r>
        <w:t xml:space="preserve">polygons) — a limitation we address directly by reporting r_max alongside</w:t>
      </w:r>
      <w:r>
        <w:t xml:space="preserve"> </w:t>
      </w:r>
      <w:r>
        <w:t xml:space="preserve">every correlation (</w:t>
      </w:r>
      <w:hyperlink w:anchor="sec-ceiling">
        <w:r>
          <w:rPr>
            <w:rStyle w:val="Hyperlink"/>
          </w:rPr>
          <w:t xml:space="preserve">Section 3.3</w:t>
        </w:r>
      </w:hyperlink>
      <w:r>
        <w:t xml:space="preserve">), but the ceiling estimate itself carries</w:t>
      </w:r>
      <w:r>
        <w:t xml:space="preserve"> </w:t>
      </w:r>
      <w:r>
        <w:t xml:space="preserve">uncertainty from the small number of respondents per district. We did not</w:t>
      </w:r>
      <w:r>
        <w:t xml:space="preserve"> </w:t>
      </w:r>
      <w:r>
        <w:t xml:space="preserve">formally quantify the contribution of survey design weights to admin-2</w:t>
      </w:r>
      <w:r>
        <w:t xml:space="preserve"> </w:t>
      </w:r>
      <w:r>
        <w:t xml:space="preserve">prevalence estimates; assuming a fixed design-effect of 1.5 (DHS-typical) is</w:t>
      </w:r>
      <w:r>
        <w:t xml:space="preserve"> </w:t>
      </w:r>
      <w:r>
        <w:t xml:space="preserve">an approximation, and we separately note that DHS sample weights were found</w:t>
      </w:r>
      <w:r>
        <w:t xml:space="preserve"> </w:t>
      </w:r>
      <w:r>
        <w:t xml:space="preserve">to sit on inconsistent numeric scales across countries in our cohort (e.g.</w:t>
      </w:r>
      <w:r>
        <w:t xml:space="preserve"> </w:t>
      </w:r>
      <w:r>
        <w:t xml:space="preserve">a median in the hundreds of thousands in one survey against below 1 in</w:t>
      </w:r>
      <w:r>
        <w:t xml:space="preserve"> </w:t>
      </w:r>
      <w:r>
        <w:t xml:space="preserve">another), which is immaterial for weighted means but would bias any</w:t>
      </w:r>
      <w:r>
        <w:t xml:space="preserve"> </w:t>
      </w:r>
      <w:r>
        <w:t xml:space="preserve">downstream use of the weights as a precision measure. The cross-country</w:t>
      </w:r>
      <w:r>
        <w:t xml:space="preserve"> </w:t>
      </w:r>
      <w:r>
        <w:t xml:space="preserve">common-vocabulary covariate set is 294 variables assembled from every admin-2</w:t>
      </w:r>
      <w:r>
        <w:t xml:space="preserve"> </w:t>
      </w:r>
      <w:r>
        <w:t xml:space="preserve">source available (</w:t>
      </w:r>
      <w:hyperlink w:anchor="sec-predictors">
        <w:r>
          <w:rPr>
            <w:rStyle w:val="Hyperlink"/>
          </w:rPr>
          <w:t xml:space="preserve">Section 2.2</w:t>
        </w:r>
      </w:hyperlink>
      <w:r>
        <w:t xml:space="preserve">); predictors not present in all four</w:t>
      </w:r>
      <w:r>
        <w:t xml:space="preserve"> </w:t>
      </w:r>
      <w:r>
        <w:t xml:space="preserve">countries were excluded, and three domains — food security, food prices and</w:t>
      </w:r>
      <w:r>
        <w:t xml:space="preserve"> </w:t>
      </w:r>
      <w:r>
        <w:t xml:space="preserve">accessibility — contribute nothing to the pooled models because no single</w:t>
      </w:r>
      <w:r>
        <w:t xml:space="preserve"> </w:t>
      </w:r>
      <w:r>
        <w:t xml:space="preserve">column name is common to all four, a limitation of the strict-intersection</w:t>
      </w:r>
      <w:r>
        <w:t xml:space="preserve"> </w:t>
      </w:r>
      <w:r>
        <w:t xml:space="preserve">policy rather than of the underlying data.</w:t>
      </w:r>
    </w:p>
    <w:p>
      <w:pPr>
        <w:pStyle w:val="BodyText"/>
      </w:pPr>
      <w:r>
        <w:t xml:space="preserve">Three further limitations arise from analyses added after peer review. First,</w:t>
      </w:r>
      <w:r>
        <w:t xml:space="preserve"> </w:t>
      </w:r>
      <w:r>
        <w:t xml:space="preserve">inflammation adjustment is harmonised across countries for vitamin A but not</w:t>
      </w:r>
      <w:r>
        <w:t xml:space="preserve"> </w:t>
      </w:r>
      <w:r>
        <w:t xml:space="preserve">for iron, which retains each survey’s native adjustment (Thurnham, BRINDA</w:t>
      </w:r>
      <w:r>
        <w:t xml:space="preserve"> </w:t>
      </w:r>
      <w:r>
        <w:t xml:space="preserve">regression, or a log-scale regression correction); the raw components for a</w:t>
      </w:r>
      <w:r>
        <w:t xml:space="preserve"> </w:t>
      </w:r>
      <w:r>
        <w:t xml:space="preserve">uniform adjustment exist in all four surveys, and harmonising them did not</w:t>
      </w:r>
      <w:r>
        <w:t xml:space="preserve"> </w:t>
      </w:r>
      <w:r>
        <w:t xml:space="preserve">alter cross-country transport in our testing, but the asymmetry remains.</w:t>
      </w:r>
      <w:r>
        <w:t xml:space="preserve"> </w:t>
      </w:r>
      <w:r>
        <w:t xml:space="preserve">Second, several biomarkers collected in these surveys are unused, most</w:t>
      </w:r>
      <w:r>
        <w:t xml:space="preserve"> </w:t>
      </w:r>
      <w:r>
        <w:t xml:space="preserve">consequentially soluble transferrin receptor, which is available in all four</w:t>
      </w:r>
      <w:r>
        <w:t xml:space="preserve"> </w:t>
      </w:r>
      <w:r>
        <w:t xml:space="preserve">countries and is substantially less inflammation-sensitive than ferritin.</w:t>
      </w:r>
      <w:r>
        <w:t xml:space="preserve"> </w:t>
      </w:r>
      <w:r>
        <w:t xml:space="preserve">Third, all outcomes are modelled as binaries at a cutoff; for the rarest</w:t>
      </w:r>
      <w:r>
        <w:t xml:space="preserve"> </w:t>
      </w:r>
      <w:r>
        <w:t xml:space="preserve">outcomes this discards most of the available information — Malawi women’s</w:t>
      </w:r>
      <w:r>
        <w:t xml:space="preserve"> </w:t>
      </w:r>
      <w:r>
        <w:t xml:space="preserve">vitamin A comprises 11 events in 836 respondents — and we show elsewhere that</w:t>
      </w:r>
      <w:r>
        <w:t xml:space="preserve"> </w:t>
      </w:r>
      <w:r>
        <w:t xml:space="preserve">the same outcome behaves very differently at admin-1, where cases accumulate.</w:t>
      </w:r>
      <w:r>
        <w:t xml:space="preserve"> </w:t>
      </w:r>
      <w:r>
        <w:t xml:space="preserve">Finally,</w:t>
      </w:r>
      <w:r>
        <w:t xml:space="preserve"> </w:t>
      </w:r>
      <w:r>
        <w:t xml:space="preserve">our raw binary classifiers’ calibration diagnostics</w:t>
      </w:r>
      <w:r>
        <w:t xml:space="preserve"> </w:t>
      </w:r>
      <w:r>
        <w:t xml:space="preserve">flagged roughly half of country–outcome cells with a calibration slope well</w:t>
      </w:r>
      <w:r>
        <w:t xml:space="preserve"> </w:t>
      </w:r>
      <w:r>
        <w:t xml:space="preserve">below 1 (median 0.51 before correction); post-hoc recalibration corrects</w:t>
      </w:r>
      <w:r>
        <w:t xml:space="preserve"> </w:t>
      </w:r>
      <w:r>
        <w:t xml:space="preserve">this, but the underlying discrimination at very low prevalence remains weak</w:t>
      </w:r>
      <w:r>
        <w:t xml:space="preserve"> </w:t>
      </w:r>
      <w:r>
        <w:t xml:space="preserve">(several AUCs near 0.5, and one cell — Malawi child zinc, AUC 0.448 — below</w:t>
      </w:r>
      <w:r>
        <w:t xml:space="preserve"> </w:t>
      </w:r>
      <w:r>
        <w:t xml:space="preserve">chance) and these outcomes should be treated as exploratory.</w:t>
      </w:r>
    </w:p>
    <w:bookmarkEnd w:id="68"/>
    <w:bookmarkStart w:id="69" w:name="external-validation-pathway"/>
    <w:p>
      <w:pPr>
        <w:pStyle w:val="Heading2"/>
      </w:pPr>
      <w:r>
        <w:t xml:space="preserve">4.6 External validation pathway</w:t>
      </w:r>
    </w:p>
    <w:p>
      <w:pPr>
        <w:pStyle w:val="FirstParagraph"/>
      </w:pPr>
      <w:r>
        <w:t xml:space="preserve">The findings presented here are based on a largely West African LOCO panel</w:t>
      </w:r>
      <w:r>
        <w:t xml:space="preserve"> </w:t>
      </w:r>
      <w:r>
        <w:t xml:space="preserve">(three West African countries plus Malawi) and a single external held-out</w:t>
      </w:r>
      <w:r>
        <w:t xml:space="preserve"> </w:t>
      </w:r>
      <w:r>
        <w:t xml:space="preserve">country (Côte d’Ivoire). We have</w:t>
      </w:r>
      <w:r>
        <w:t xml:space="preserve"> </w:t>
      </w:r>
      <w:r>
        <w:t xml:space="preserve">prepared a multi-source national-level benchmark to evaluate future</w:t>
      </w:r>
      <w:r>
        <w:t xml:space="preserve"> </w:t>
      </w:r>
      <w:r>
        <w:t xml:space="preserve">expansions of the model to East and Southern Africa, comprising: (i) the</w:t>
      </w:r>
      <w:r>
        <w:t xml:space="preserve"> </w:t>
      </w:r>
      <w:r>
        <w:t xml:space="preserve">Kenya National Micronutrient Survey 2011</w:t>
      </w:r>
      <w:r>
        <w:t xml:space="preserve"> </w:t>
      </w:r>
      <w:r>
        <w:t xml:space="preserve">(Ministry of Health, Republic of Kenya et al. 2011)</w:t>
      </w:r>
      <w:r>
        <w:t xml:space="preserve">, which provides</w:t>
      </w:r>
      <w:r>
        <w:t xml:space="preserve"> </w:t>
      </w:r>
      <w:r>
        <w:t xml:space="preserve">nationally-representative biomarker prevalence for vitamin A, iron,</w:t>
      </w:r>
      <w:r>
        <w:t xml:space="preserve"> </w:t>
      </w:r>
      <w:r>
        <w:t xml:space="preserve">zinc, folate, B12 and iodine across pre-school children, school-age</w:t>
      </w:r>
      <w:r>
        <w:t xml:space="preserve"> </w:t>
      </w:r>
      <w:r>
        <w:t xml:space="preserve">children, pregnant women, non-pregnant women, and men; (ii) modelled</w:t>
      </w:r>
      <w:r>
        <w:t xml:space="preserve"> </w:t>
      </w:r>
      <w:r>
        <w:t xml:space="preserve">WHO/UNICEF joint anaemia prevalence estimates for all eight focus</w:t>
      </w:r>
      <w:r>
        <w:t xml:space="preserve"> </w:t>
      </w:r>
      <w:r>
        <w:t xml:space="preserve">countries, retrieved via the WHO Global Health Observatory API; and</w:t>
      </w:r>
      <w:r>
        <w:t xml:space="preserve"> </w:t>
      </w:r>
      <w:r>
        <w:t xml:space="preserve">(iii) WHO Vitamin and Mineral Nutrition Information System (VMNIS)</w:t>
      </w:r>
      <w:r>
        <w:t xml:space="preserve"> </w:t>
      </w:r>
      <w:r>
        <w:t xml:space="preserve">historical survey-level prevalence for the same eight countries, from</w:t>
      </w:r>
      <w:r>
        <w:t xml:space="preserve"> </w:t>
      </w:r>
      <w:r>
        <w:t xml:space="preserve">the latest publicly-released long-format dump. The Stevens et al. 2022</w:t>
      </w:r>
      <w:r>
        <w:t xml:space="preserve"> </w:t>
      </w:r>
      <w:r>
        <w:rPr>
          <w:i/>
          <w:iCs/>
        </w:rPr>
        <w:t xml:space="preserve">Lancet Global Health</w:t>
      </w:r>
      <w:r>
        <w:t xml:space="preserve"> </w:t>
      </w:r>
      <w:r>
        <w:t xml:space="preserve">pooled posterior estimates</w:t>
      </w:r>
      <w:r>
        <w:t xml:space="preserve"> </w:t>
      </w:r>
      <w:r>
        <w:t xml:space="preserve">(Stevens et al. 2022)</w:t>
      </w:r>
      <w:r>
        <w:t xml:space="preserve"> </w:t>
      </w:r>
      <w:r>
        <w:t xml:space="preserve">are the</w:t>
      </w:r>
      <w:r>
        <w:t xml:space="preserve"> </w:t>
      </w:r>
      <w:r>
        <w:t xml:space="preserve">natural comparator for our national-level predictions; however, the</w:t>
      </w:r>
      <w:r>
        <w:t xml:space="preserve"> </w:t>
      </w:r>
      <w:r>
        <w:t xml:space="preserve">country-level Bayesian posteriors are not publicly released, only the</w:t>
      </w:r>
      <w:r>
        <w:t xml:space="preserve"> </w:t>
      </w:r>
      <w:r>
        <w:t xml:space="preserve">22 input surveys used to fit the model, and none of our cohort countries</w:t>
      </w:r>
      <w:r>
        <w:t xml:space="preserve"> </w:t>
      </w:r>
      <w:r>
        <w:t xml:space="preserve">are among them. The full assembled benchmark is in</w:t>
      </w:r>
      <w:r>
        <w:t xml:space="preserve"> </w:t>
      </w:r>
      <w:r>
        <w:rPr>
          <w:rStyle w:val="VerbatimChar"/>
        </w:rPr>
        <w:t xml:space="preserve">results/external/{vmnis_national,who_anaemia_country,knms2011_national_summary,kenya_national_benchmark}.csv</w:t>
      </w:r>
      <w:r>
        <w:t xml:space="preserve">.</w:t>
      </w:r>
    </w:p>
    <w:p>
      <w:pPr>
        <w:pStyle w:val="BodyText"/>
      </w:pPr>
      <w:r>
        <w:t xml:space="preserve">Concrete next-step datasets, each requiring a Data Use Agreement</w:t>
      </w:r>
      <w:r>
        <w:t xml:space="preserve"> </w:t>
      </w:r>
      <w:r>
        <w:t xml:space="preserve">with the originating ministry, would substantially expand the LOCO panel</w:t>
      </w:r>
      <w:r>
        <w:t xml:space="preserve"> </w:t>
      </w:r>
      <w:r>
        <w:t xml:space="preserve">beyond West Africa: the Kenya National Micronutrient Survey (KNMS 2011)</w:t>
      </w:r>
      <w:r>
        <w:t xml:space="preserve"> </w:t>
      </w:r>
      <w:r>
        <w:t xml:space="preserve">and the Ethiopia National Micronutrient Survey 2016, both of which</w:t>
      </w:r>
      <w:r>
        <w:t xml:space="preserve"> </w:t>
      </w:r>
      <w:r>
        <w:t xml:space="preserve">include the full vitamin A / iron / zinc / folate / B12 / iodine biomarker</w:t>
      </w:r>
      <w:r>
        <w:t xml:space="preserve"> </w:t>
      </w:r>
      <w:r>
        <w:t xml:space="preserve">panel collected under the BRINDA inflammation-adjustment framework, making</w:t>
      </w:r>
      <w:r>
        <w:t xml:space="preserve"> </w:t>
      </w:r>
      <w:r>
        <w:t xml:space="preserve">harmonisation with our four training countries straightforward. We</w:t>
      </w:r>
      <w:r>
        <w:t xml:space="preserve"> </w:t>
      </w:r>
      <w:r>
        <w:t xml:space="preserve">attempted to add Tanzania via the 2010 TDHS but withdrew it (Methods); the</w:t>
      </w:r>
      <w:r>
        <w:t xml:space="preserve"> </w:t>
      </w:r>
      <w:r>
        <w:t xml:space="preserve">2023 Tanzania DHS, which we understand uses serum rather than</w:t>
      </w:r>
      <w:r>
        <w:t xml:space="preserve"> </w:t>
      </w:r>
      <w:r>
        <w:t xml:space="preserve">dried-blood-spot vitamin-A assessment, is a better-supported candidate once</w:t>
      </w:r>
      <w:r>
        <w:t xml:space="preserve"> </w:t>
      </w:r>
      <w:r>
        <w:t xml:space="preserve">its data become accessible. As a lighter-weight alternative for iron, the</w:t>
      </w:r>
      <w:r>
        <w:t xml:space="preserve"> </w:t>
      </w:r>
      <w:r>
        <w:t xml:space="preserve">most recent DHS rounds with haemoglobin biomarker (Kenya DHS 2022, Burkina</w:t>
      </w:r>
      <w:r>
        <w:t xml:space="preserve"> </w:t>
      </w:r>
      <w:r>
        <w:t xml:space="preserve">Faso DHS 2021) can be added with no further paperwork beyond the user’s</w:t>
      </w:r>
      <w:r>
        <w:t xml:space="preserve"> </w:t>
      </w:r>
      <w:r>
        <w:t xml:space="preserve">existing DHS account, providing iron-deficiency anaemia coverage for two</w:t>
      </w:r>
      <w:r>
        <w:t xml:space="preserve"> </w:t>
      </w:r>
      <w:r>
        <w:t xml:space="preserve">additional East/Sahelian countries. We</w:t>
      </w:r>
      <w:r>
        <w:t xml:space="preserve"> </w:t>
      </w:r>
      <w:r>
        <w:t xml:space="preserve">provide country-agnostic ingestion stubs (</w:t>
      </w:r>
      <w:r>
        <w:rPr>
          <w:rStyle w:val="VerbatimChar"/>
        </w:rPr>
        <w:t xml:space="preserve">R/ingest_new_country.R</w:t>
      </w:r>
      <w:r>
        <w:t xml:space="preserve">,</w:t>
      </w:r>
      <w:r>
        <w:t xml:space="preserve"> </w:t>
      </w:r>
      <w:r>
        <w:t xml:space="preserve">function</w:t>
      </w:r>
      <w:r>
        <w:t xml:space="preserve"> </w:t>
      </w:r>
      <w:r>
        <w:rPr>
          <w:rStyle w:val="VerbatimChar"/>
        </w:rPr>
        <w:t xml:space="preserve">stub_new_country_config()</w:t>
      </w:r>
      <w:r>
        <w:t xml:space="preserve">) for each of these candidates;</w:t>
      </w:r>
      <w:r>
        <w:t xml:space="preserve"> </w:t>
      </w:r>
      <w:r>
        <w:t xml:space="preserve">once a harmonised survey file lands in</w:t>
      </w:r>
      <w:r>
        <w:t xml:space="preserve"> </w:t>
      </w:r>
      <w:r>
        <w:rPr>
          <w:rStyle w:val="VerbatimChar"/>
        </w:rPr>
        <w:t xml:space="preserve">data/IPD/&lt;country&gt;/</w:t>
      </w:r>
      <w:r>
        <w:t xml:space="preserve">, the entire</w:t>
      </w:r>
      <w:r>
        <w:t xml:space="preserve"> </w:t>
      </w:r>
      <w:r>
        <w:t xml:space="preserve">LOCO, calibration, SHAP, and dashboard pipeline regenerates automatically.</w:t>
      </w:r>
    </w:p>
    <w:bookmarkEnd w:id="69"/>
    <w:bookmarkStart w:id="70" w:name="future-methodological-directions"/>
    <w:p>
      <w:pPr>
        <w:pStyle w:val="Heading2"/>
      </w:pPr>
      <w:r>
        <w:t xml:space="preserve">4.7 Future methodological directions</w:t>
      </w:r>
    </w:p>
    <w:p>
      <w:pPr>
        <w:pStyle w:val="FirstParagraph"/>
      </w:pPr>
      <w:r>
        <w:t xml:space="preserve">The results above locate the limits of the current approach precisely — a</w:t>
      </w:r>
      <w:r>
        <w:t xml:space="preserve"> </w:t>
      </w:r>
      <w:r>
        <w:t xml:space="preserve">low reliability ceiling on the admin-2 target itself, transport that fails</w:t>
      </w:r>
      <w:r>
        <w:t xml:space="preserve"> </w:t>
      </w:r>
      <w:r>
        <w:t xml:space="preserve">on both level and pattern depending on the method, and an ensemble that does</w:t>
      </w:r>
      <w:r>
        <w:t xml:space="preserve"> </w:t>
      </w:r>
      <w:r>
        <w:t xml:space="preserve">not beat parsimonious SAE baselines or two uninformed nulls — and these</w:t>
      </w:r>
      <w:r>
        <w:t xml:space="preserve"> </w:t>
      </w:r>
      <w:r>
        <w:t xml:space="preserve">limits motivate several planned extensions. We describe them here as</w:t>
      </w:r>
      <w:r>
        <w:t xml:space="preserve"> </w:t>
      </w:r>
      <w:r>
        <w:t xml:space="preserve">directions rather than results.</w:t>
      </w:r>
    </w:p>
    <w:p>
      <w:pPr>
        <w:pStyle w:val="BodyText"/>
      </w:pPr>
      <w:r>
        <w:t xml:space="preserve">First,</w:t>
      </w:r>
      <w:r>
        <w:t xml:space="preserve"> </w:t>
      </w:r>
      <w:r>
        <w:rPr>
          <w:b/>
          <w:bCs/>
        </w:rPr>
        <w:t xml:space="preserve">decision-focused estimation.</w:t>
      </w:r>
      <w:r>
        <w:t xml:space="preserve"> </w:t>
      </w:r>
      <w:r>
        <w:t xml:space="preserve">For programmatic use the relevant target</w:t>
      </w:r>
      <w:r>
        <w:t xml:space="preserve"> </w:t>
      </w:r>
      <w:r>
        <w:t xml:space="preserve">is rarely the exact prevalence of a district but whether it lies above a</w:t>
      </w:r>
      <w:r>
        <w:t xml:space="preserve"> </w:t>
      </w:r>
      <w:r>
        <w:t xml:space="preserve">public-health action threshold, and whether the highest-risk districts are</w:t>
      </w:r>
      <w:r>
        <w:t xml:space="preserve"> </w:t>
      </w:r>
      <w:r>
        <w:t xml:space="preserve">correctly prioritised. Because the SuperLearner’s base learners optimise</w:t>
      </w:r>
      <w:r>
        <w:t xml:space="preserve"> </w:t>
      </w:r>
      <w:r>
        <w:t xml:space="preserve">likelihood or squared-error loss while the ensembling (or discrete-selection)</w:t>
      </w:r>
      <w:r>
        <w:t xml:space="preserve"> </w:t>
      </w:r>
      <w:r>
        <w:t xml:space="preserve">step may target any criterion</w:t>
      </w:r>
      <w:r>
        <w:t xml:space="preserve"> </w:t>
      </w:r>
      <w:r>
        <w:t xml:space="preserve">(Laan, Polley, and Hubbard 2007)</w:t>
      </w:r>
      <w:r>
        <w:t xml:space="preserve">, the ensemble can be tuned</w:t>
      </w:r>
      <w:r>
        <w:t xml:space="preserve"> </w:t>
      </w:r>
      <w:r>
        <w:t xml:space="preserve">directly for an aggregate, asymmetric objective — for example maximising recall of</w:t>
      </w:r>
      <w:r>
        <w:t xml:space="preserve"> </w:t>
      </w:r>
      <w:r>
        <w:t xml:space="preserve">the truly high-risk areas (top-quantile or above-threshold) subject to a bounded</w:t>
      </w:r>
      <w:r>
        <w:t xml:space="preserve"> </w:t>
      </w:r>
      <w:r>
        <w:t xml:space="preserve">false-positive rate. This reframes the deliverable toward the ranking signal that,</w:t>
      </w:r>
      <w:r>
        <w:t xml:space="preserve"> </w:t>
      </w:r>
      <w:r>
        <w:t xml:space="preserve">as shown above, transports more reliably than absolute level, and is</w:t>
      </w:r>
      <w:r>
        <w:t xml:space="preserve"> </w:t>
      </w:r>
      <w:r>
        <w:t xml:space="preserve">statistically less demanding than level estimation.</w:t>
      </w:r>
    </w:p>
    <w:p>
      <w:pPr>
        <w:pStyle w:val="BodyText"/>
      </w:pPr>
      <w:r>
        <w:t xml:space="preserve">Second,</w:t>
      </w:r>
      <w:r>
        <w:t xml:space="preserve"> </w:t>
      </w:r>
      <w:r>
        <w:rPr>
          <w:b/>
          <w:bCs/>
        </w:rPr>
        <w:t xml:space="preserve">anchoring to known national prevalence.</w:t>
      </w:r>
      <w:r>
        <w:t xml:space="preserve"> </w:t>
      </w:r>
      <w:r>
        <w:t xml:space="preserve">Because transport failure is</w:t>
      </w:r>
      <w:r>
        <w:t xml:space="preserve"> </w:t>
      </w:r>
      <w:r>
        <w:t xml:space="preserve">concentrated in the national level rather than the within-country ordering</w:t>
      </w:r>
      <w:r>
        <w:t xml:space="preserve"> </w:t>
      </w:r>
      <w:r>
        <w:t xml:space="preserve">(</w:t>
      </w:r>
      <w:hyperlink w:anchor="fig-transport-calibration">
        <w:r>
          <w:rPr>
            <w:rStyle w:val="Hyperlink"/>
          </w:rPr>
          <w:t xml:space="preserve">Figure 2</w:t>
        </w:r>
      </w:hyperlink>
      <w:r>
        <w:t xml:space="preserve">), a one-parameter level recalibration that constrains</w:t>
      </w:r>
      <w:r>
        <w:t xml:space="preserve"> </w:t>
      </w:r>
      <w:r>
        <w:t xml:space="preserve">a transported prediction’s population-weighted mean to a known or historical</w:t>
      </w:r>
      <w:r>
        <w:t xml:space="preserve"> </w:t>
      </w:r>
      <w:r>
        <w:t xml:space="preserve">national value (e.g. from VMNIS or the BRINDA pooled analyses</w:t>
      </w:r>
      <w:r>
        <w:t xml:space="preserve"> </w:t>
      </w:r>
      <w:r>
        <w:t xml:space="preserve">(World Health Organization 2023; Suchdev et al. 2016)</w:t>
      </w:r>
      <w:r>
        <w:t xml:space="preserve">) should remove much of the LOCO level bias by</w:t>
      </w:r>
      <w:r>
        <w:t xml:space="preserve"> </w:t>
      </w:r>
      <w:r>
        <w:t xml:space="preserve">construction, leaving the ranking unchanged. Such anchors are obtainable for many</w:t>
      </w:r>
      <w:r>
        <w:t xml:space="preserve"> </w:t>
      </w:r>
      <w:r>
        <w:t xml:space="preserve">countries that lack the individual-level data needed to fit a model.</w:t>
      </w:r>
    </w:p>
    <w:p>
      <w:pPr>
        <w:pStyle w:val="BodyText"/>
      </w:pPr>
      <w:r>
        <w:t xml:space="preserve">Third,</w:t>
      </w:r>
      <w:r>
        <w:t xml:space="preserve"> </w:t>
      </w:r>
      <w:r>
        <w:rPr>
          <w:b/>
          <w:bCs/>
        </w:rPr>
        <w:t xml:space="preserve">borrowing strength across co-occurring deficiencies.</w:t>
      </w:r>
      <w:r>
        <w:t xml:space="preserve"> </w:t>
      </w:r>
      <w:r>
        <w:t xml:space="preserve">The micronutrient</w:t>
      </w:r>
      <w:r>
        <w:t xml:space="preserve"> </w:t>
      </w:r>
      <w:r>
        <w:t xml:space="preserve">outcomes are biologically correlated but were modelled independently here.</w:t>
      </w:r>
      <w:r>
        <w:t xml:space="preserve"> </w:t>
      </w:r>
      <w:r>
        <w:t xml:space="preserve">Modelling them jointly through a forward factorisation of their conditional</w:t>
      </w:r>
      <w:r>
        <w:t xml:space="preserve"> </w:t>
      </w:r>
      <w:r>
        <w:t xml:space="preserve">density — predicting the most-informative outcome first (iron, measured in all</w:t>
      </w:r>
      <w:r>
        <w:t xml:space="preserve"> </w:t>
      </w:r>
      <w:r>
        <w:t xml:space="preserve">four countries) and supplying predicted upstream deficiencies, with</w:t>
      </w:r>
      <w:r>
        <w:t xml:space="preserve"> </w:t>
      </w:r>
      <w:r>
        <w:t xml:space="preserve">missing-indicator encoding and imputation, as covariates for subsequent outcomes</w:t>
      </w:r>
      <w:r>
        <w:t xml:space="preserve"> </w:t>
      </w:r>
      <w:r>
        <w:t xml:space="preserve">— is a standard route to exploiting that covariance and may stabilise the</w:t>
      </w:r>
      <w:r>
        <w:t xml:space="preserve"> </w:t>
      </w:r>
      <w:r>
        <w:t xml:space="preserve">data-poorest outcomes (zinc, B12). We expect within-country gains to exceed</w:t>
      </w:r>
      <w:r>
        <w:t xml:space="preserve"> </w:t>
      </w:r>
      <w:r>
        <w:t xml:space="preserve">transport gains, since transported upstream predictions themselves carry error.</w:t>
      </w:r>
    </w:p>
    <w:p>
      <w:pPr>
        <w:pStyle w:val="BodyText"/>
      </w:pPr>
      <w:r>
        <w:t xml:space="preserve">Fourth,</w:t>
      </w:r>
      <w:r>
        <w:t xml:space="preserve"> </w:t>
      </w:r>
      <w:r>
        <w:rPr>
          <w:b/>
          <w:bCs/>
        </w:rPr>
        <w:t xml:space="preserve">inference and value-of-information.</w:t>
      </w:r>
      <w:r>
        <w:t xml:space="preserve"> </w:t>
      </w:r>
      <w:r>
        <w:t xml:space="preserve">Valid uncertainty on the aggregate</w:t>
      </w:r>
      <w:r>
        <w:t xml:space="preserve"> </w:t>
      </w:r>
      <w:r>
        <w:t xml:space="preserve">deliverable (national or admin-level prevalence) — via cross-validated</w:t>
      </w:r>
      <w:r>
        <w:t xml:space="preserve"> </w:t>
      </w:r>
      <w:r>
        <w:t xml:space="preserve">loss-based inference, conformal prediction intervals, or the area-resampling</w:t>
      </w:r>
      <w:r>
        <w:t xml:space="preserve"> </w:t>
      </w:r>
      <w:r>
        <w:t xml:space="preserve">bootstrap already reported — enables a complementary product that is robust to the</w:t>
      </w:r>
      <w:r>
        <w:t xml:space="preserve"> </w:t>
      </w:r>
      <w:r>
        <w:t xml:space="preserve">data being imperfect: a value-of-information map that ranks candidate survey</w:t>
      </w:r>
      <w:r>
        <w:t xml:space="preserve"> </w:t>
      </w:r>
      <w:r>
        <w:t xml:space="preserve">locations by the product of predicted risk and predicted uncertainty, identifying</w:t>
      </w:r>
      <w:r>
        <w:t xml:space="preserve"> </w:t>
      </w:r>
      <w:r>
        <w:t xml:space="preserve">where a new biomarker survey would be most informative. For a field constrained by</w:t>
      </w:r>
      <w:r>
        <w:t xml:space="preserve"> </w:t>
      </w:r>
      <w:r>
        <w:t xml:space="preserve">the cost and rarity of biomarker measurement, guiding</w:t>
      </w:r>
      <w:r>
        <w:t xml:space="preserve"> </w:t>
      </w:r>
      <w:r>
        <w:rPr>
          <w:i/>
          <w:iCs/>
        </w:rPr>
        <w:t xml:space="preserve">where to measure next</w:t>
      </w:r>
      <w:r>
        <w:t xml:space="preserve"> </w:t>
      </w:r>
      <w:r>
        <w:t xml:space="preserve">may</w:t>
      </w:r>
      <w:r>
        <w:t xml:space="preserve"> </w:t>
      </w:r>
      <w:r>
        <w:t xml:space="preserve">be as valuable as the prevalence estimates themselves.</w:t>
      </w:r>
    </w:p>
    <w:p>
      <w:pPr>
        <w:pStyle w:val="BodyText"/>
      </w:pPr>
      <w:r>
        <w:t xml:space="preserve">Finally, the most direct route to a higher reliability ceiling is to raise</w:t>
      </w:r>
      <w:r>
        <w:t xml:space="preserve"> </w:t>
      </w:r>
      <w:r>
        <w:t xml:space="preserve">the number of biomarker measurements each admin-2 estimate is built from —</w:t>
      </w:r>
      <w:r>
        <w:t xml:space="preserve"> </w:t>
      </w:r>
      <w:r>
        <w:t xml:space="preserve">pooling survey rounds within a country, modelling at admin-1 where the</w:t>
      </w:r>
      <w:r>
        <w:t xml:space="preserve"> </w:t>
      </w:r>
      <w:r>
        <w:t xml:space="preserve">survey design actually supports it, or borrowing strength across the</w:t>
      </w:r>
      <w:r>
        <w:t xml:space="preserve"> </w:t>
      </w:r>
      <w:r>
        <w:t xml:space="preserve">biologically-correlated outcomes above — rather than adding learners to the</w:t>
      </w:r>
      <w:r>
        <w:t xml:space="preserve"> </w:t>
      </w:r>
      <w:r>
        <w:t xml:space="preserve">ensemble, since</w:t>
      </w:r>
      <w:r>
        <w:t xml:space="preserve"> </w:t>
      </w:r>
      <w:hyperlink w:anchor="sec-ceiling">
        <w:r>
          <w:rPr>
            <w:rStyle w:val="Hyperlink"/>
          </w:rPr>
          <w:t xml:space="preserve">Section 3.3</w:t>
        </w:r>
      </w:hyperlink>
      <w:r>
        <w:t xml:space="preserve"> </w:t>
      </w:r>
      <w:r>
        <w:t xml:space="preserve">shows the individual-level model already</w:t>
      </w:r>
      <w:r>
        <w:t xml:space="preserve"> </w:t>
      </w:r>
      <w:r>
        <w:t xml:space="preserve">captures most of what the current data can support. The most</w:t>
      </w:r>
      <w:r>
        <w:t xml:space="preserve"> </w:t>
      </w:r>
      <w:r>
        <w:t xml:space="preserve">consequential validation step remains to re-run the entire methodology on</w:t>
      </w:r>
      <w:r>
        <w:t xml:space="preserve"> </w:t>
      </w:r>
      <w:r>
        <w:t xml:space="preserve">anaemia (haemoglobin), which is measured in nearly every sub-Saharan African</w:t>
      </w:r>
      <w:r>
        <w:t xml:space="preserve"> </w:t>
      </w:r>
      <w:r>
        <w:t xml:space="preserve">DHS at large sample size: a trusted, abundant outcome would separate</w:t>
      </w:r>
      <w:r>
        <w:t xml:space="preserve"> </w:t>
      </w:r>
      <w:r>
        <w:t xml:space="preserve">methodological limitations from the disputed comparability of the</w:t>
      </w:r>
      <w:r>
        <w:t xml:space="preserve"> </w:t>
      </w:r>
      <w:r>
        <w:t xml:space="preserve">micronutrient biomarkers themselves, and would expand the cross-country</w:t>
      </w:r>
      <w:r>
        <w:t xml:space="preserve"> </w:t>
      </w:r>
      <w:r>
        <w:t xml:space="preserve">panel far beyond the four countries available here.</w:t>
      </w:r>
    </w:p>
    <w:bookmarkEnd w:id="70"/>
    <w:bookmarkStart w:id="71" w:name="conclusions"/>
    <w:p>
      <w:pPr>
        <w:pStyle w:val="Heading2"/>
      </w:pPr>
      <w:r>
        <w:t xml:space="preserve">4.8 Conclusions</w:t>
      </w:r>
    </w:p>
    <w:p>
      <w:pPr>
        <w:pStyle w:val="FirstParagraph"/>
      </w:pPr>
      <w:r>
        <w:t xml:space="preserve">Within countries with biomarker data, admin-2 spatial discrimination is</w:t>
      </w:r>
      <w:r>
        <w:t xml:space="preserve"> </w:t>
      </w:r>
      <w:r>
        <w:t xml:space="preserve">constrained primarily by the reliability of the admin-2 target itself:</w:t>
      </w:r>
      <w:r>
        <w:t xml:space="preserve"> </w:t>
      </w:r>
      <w:r>
        <w:t xml:space="preserve">surveys designed for national estimation yield too few biomarker</w:t>
      </w:r>
      <w:r>
        <w:t xml:space="preserve"> </w:t>
      </w:r>
      <w:r>
        <w:t xml:space="preserve">measurements per district to support fine-grained prediction, and a median</w:t>
      </w:r>
      <w:r>
        <w:t xml:space="preserve"> </w:t>
      </w:r>
      <w:r>
        <w:t xml:space="preserve">reliability ceiling of r_max = 0.098 bounds what any admin-2 model could</w:t>
      </w:r>
      <w:r>
        <w:t xml:space="preserve"> </w:t>
      </w:r>
      <w:r>
        <w:t xml:space="preserve">achieve, though this estimate is itself uncertain enough at the available</w:t>
      </w:r>
      <w:r>
        <w:t xml:space="preserve"> </w:t>
      </w:r>
      <w:r>
        <w:t xml:space="preserve">sample size that half of all cells exceed it. Individual-level SuperLearner</w:t>
      </w:r>
      <w:r>
        <w:t xml:space="preserve"> </w:t>
      </w:r>
      <w:r>
        <w:t xml:space="preserve">prediction aggregated to admin-2 already reaches most of that ceiling</w:t>
      </w:r>
      <w:r>
        <w:t xml:space="preserve"> </w:t>
      </w:r>
      <w:r>
        <w:t xml:space="preserve">(median r_share 0.92) and is the strongest tested approach;</w:t>
      </w:r>
      <w:r>
        <w:t xml:space="preserve"> </w:t>
      </w:r>
      <w:r>
        <w:t xml:space="preserve">fitting an ensemble directly on admin-2 aggregates does not clear the</w:t>
      </w:r>
      <w:r>
        <w:t xml:space="preserve"> </w:t>
      </w:r>
      <w:r>
        <w:t xml:space="preserve">ceiling and does not outperform a national-mean null, and a covariate-free</w:t>
      </w:r>
      <w:r>
        <w:t xml:space="preserve"> </w:t>
      </w:r>
      <w:r>
        <w:t xml:space="preserve">spatial smoother outperforms both covariate-based area-level models on rank</w:t>
      </w:r>
      <w:r>
        <w:t xml:space="preserve"> </w:t>
      </w:r>
      <w:r>
        <w:t xml:space="preserve">correlation. National-level aggregation, by contrast, is accurate throughout</w:t>
      </w:r>
      <w:r>
        <w:t xml:space="preserve"> </w:t>
      </w:r>
      <w:r>
        <w:t xml:space="preserve">(24 of 24 country–outcome predictions within the survey’s 95% CI) and is the</w:t>
      </w:r>
      <w:r>
        <w:t xml:space="preserve"> </w:t>
      </w:r>
      <w:r>
        <w:t xml:space="preserve">deliverable best supported by the present evidence. Across countries,</w:t>
      </w:r>
      <w:r>
        <w:t xml:space="preserve"> </w:t>
      </w:r>
      <w:r>
        <w:t xml:space="preserve">transportability remains limited — the SuperLearner ensemble matched or beat</w:t>
      </w:r>
      <w:r>
        <w:t xml:space="preserve"> </w:t>
      </w:r>
      <w:r>
        <w:t xml:space="preserve">the best of 21 comparator methods on 0 of 16 LOCO holdouts, and level</w:t>
      </w:r>
      <w:r>
        <w:t xml:space="preserve"> </w:t>
      </w:r>
      <w:r>
        <w:t xml:space="preserve">and pattern transported via different methods, neither well. We recommend that within-country</w:t>
      </w:r>
      <w:r>
        <w:t xml:space="preserve"> </w:t>
      </w:r>
      <w:r>
        <w:t xml:space="preserve">performance always be reported alongside an explicit reliability ceiling and</w:t>
      </w:r>
      <w:r>
        <w:t xml:space="preserve"> </w:t>
      </w:r>
      <w:r>
        <w:t xml:space="preserve">a national-mean/spatial-only null (not only out-of-fold, rather than</w:t>
      </w:r>
      <w:r>
        <w:t xml:space="preserve"> </w:t>
      </w:r>
      <w:r>
        <w:t xml:space="preserve">in-sample, predictions), that future deployments of such models be</w:t>
      </w:r>
      <w:r>
        <w:t xml:space="preserve"> </w:t>
      </w:r>
      <w:r>
        <w:t xml:space="preserve">benchmarked against Bayesian and frequentist SAE methods and these</w:t>
      </w:r>
      <w:r>
        <w:t xml:space="preserve"> </w:t>
      </w:r>
      <w:r>
        <w:t xml:space="preserve">uninformed baselines, and that absolute-level predictions in unseen</w:t>
      </w:r>
      <w:r>
        <w:t xml:space="preserve"> </w:t>
      </w:r>
      <w:r>
        <w:t xml:space="preserve">countries be anchored against direct national estimates before use in</w:t>
      </w:r>
      <w:r>
        <w:t xml:space="preserve"> </w:t>
      </w:r>
      <w:r>
        <w:t xml:space="preserve">resource-allocation decisions.</w:t>
      </w:r>
    </w:p>
    <w:bookmarkEnd w:id="71"/>
    <w:bookmarkEnd w:id="72"/>
    <w:bookmarkStart w:id="73" w:name="acknowledgements"/>
    <w:p>
      <w:pPr>
        <w:pStyle w:val="Heading1"/>
      </w:pPr>
      <w:r>
        <w:t xml:space="preserve">5. Acknowledgements</w:t>
      </w:r>
    </w:p>
    <w:p>
      <w:pPr>
        <w:pStyle w:val="FirstParagraph"/>
      </w:pPr>
      <w:r>
        <w:t xml:space="preserve">Funded by the Bill &amp; Melinda Gates Foundation (grant number INV-XXXXXX).</w:t>
      </w:r>
      <w:r>
        <w:t xml:space="preserve"> </w:t>
      </w:r>
      <w:r>
        <w:t xml:space="preserve">The funder had no role in study design, analysis, decision to publish,</w:t>
      </w:r>
      <w:r>
        <w:t xml:space="preserve"> </w:t>
      </w:r>
      <w:r>
        <w:t xml:space="preserve">or manuscript preparation.</w:t>
      </w:r>
    </w:p>
    <w:bookmarkEnd w:id="73"/>
    <w:bookmarkStart w:id="74" w:name="author-contributions"/>
    <w:p>
      <w:pPr>
        <w:pStyle w:val="Heading1"/>
      </w:pPr>
      <w:r>
        <w:t xml:space="preserve">6. Author contributions</w:t>
      </w:r>
    </w:p>
    <w:p>
      <w:pPr>
        <w:pStyle w:val="FirstParagraph"/>
      </w:pPr>
      <w:r>
        <w:t xml:space="preserve">ANM conceived the study, conducted the analysis, and drafted the</w:t>
      </w:r>
      <w:r>
        <w:t xml:space="preserve"> </w:t>
      </w:r>
      <w:r>
        <w:t xml:space="preserve">manuscript. Co-authors to be added on revision.</w:t>
      </w:r>
    </w:p>
    <w:bookmarkEnd w:id="74"/>
    <w:bookmarkStart w:id="76" w:name="data-availability"/>
    <w:p>
      <w:pPr>
        <w:pStyle w:val="Heading1"/>
      </w:pPr>
      <w:r>
        <w:t xml:space="preserve">7. Data availability</w:t>
      </w:r>
    </w:p>
    <w:p>
      <w:pPr>
        <w:pStyle w:val="FirstParagraph"/>
      </w:pPr>
      <w:r>
        <w:t xml:space="preserve">DHS biomarker data are available from the DHS Program</w:t>
      </w:r>
      <w:r>
        <w:t xml:space="preserve"> </w:t>
      </w:r>
      <w:r>
        <w:t xml:space="preserve">(</w:t>
      </w:r>
      <w:hyperlink r:id="rId75">
        <w:r>
          <w:rPr>
            <w:rStyle w:val="Hyperlink"/>
          </w:rPr>
          <w:t xml:space="preserve">https://dhsprogram.com/</w:t>
        </w:r>
      </w:hyperlink>
      <w:r>
        <w:t xml:space="preserve">) following registration. Pipeline code,</w:t>
      </w:r>
      <w:r>
        <w:t xml:space="preserve"> </w:t>
      </w:r>
      <w:r>
        <w:t xml:space="preserve">including the area-level SuperLearner, frequentist baselines, and</w:t>
      </w:r>
      <w:r>
        <w:t xml:space="preserve"> </w:t>
      </w:r>
      <w:r>
        <w:t xml:space="preserve">INLA-based BYM2 implementation, are available at</w:t>
      </w:r>
      <w:r>
        <w:t xml:space="preserve"> </w:t>
      </w:r>
      <w:r>
        <w:t xml:space="preserve">.</w:t>
      </w:r>
    </w:p>
    <w:bookmarkEnd w:id="76"/>
    <w:bookmarkStart w:id="117" w:name="references"/>
    <w:p>
      <w:pPr>
        <w:pStyle w:val="Heading1"/>
      </w:pPr>
      <w:r>
        <w:t xml:space="preserve">8. References</w:t>
      </w:r>
    </w:p>
    <w:bookmarkStart w:id="116" w:name="refs"/>
    <w:bookmarkStart w:id="78" w:name="ref-besag1991bayesian"/>
    <w:p>
      <w:pPr>
        <w:pStyle w:val="Bibliography"/>
      </w:pPr>
      <w:r>
        <w:t xml:space="preserve">Besag, Julian, Jeremy York, and Annie Mollié. 1991.</w:t>
      </w:r>
      <w:r>
        <w:t xml:space="preserve"> </w:t>
      </w:r>
      <w:r>
        <w:t xml:space="preserve">“Bayesian Image Restoration, with Two Applications in Spatial Statistics.”</w:t>
      </w:r>
      <w:r>
        <w:t xml:space="preserve"> </w:t>
      </w:r>
      <w:r>
        <w:rPr>
          <w:i/>
          <w:iCs/>
        </w:rPr>
        <w:t xml:space="preserve">Annals of the Institute of Statistical Mathematics</w:t>
      </w:r>
      <w:r>
        <w:t xml:space="preserve"> </w:t>
      </w:r>
      <w:r>
        <w:t xml:space="preserve">43 (1): 1–20.</w:t>
      </w:r>
      <w:r>
        <w:t xml:space="preserve"> </w:t>
      </w:r>
      <w:hyperlink r:id="rId77">
        <w:r>
          <w:rPr>
            <w:rStyle w:val="Hyperlink"/>
          </w:rPr>
          <w:t xml:space="preserve">https://doi.org/10.1007/BF00116466</w:t>
        </w:r>
      </w:hyperlink>
      <w:r>
        <w:t xml:space="preserve">.</w:t>
      </w:r>
    </w:p>
    <w:bookmarkEnd w:id="78"/>
    <w:bookmarkStart w:id="80" w:name="ref-fay1979estimates"/>
    <w:p>
      <w:pPr>
        <w:pStyle w:val="Bibliography"/>
      </w:pPr>
      <w:r>
        <w:t xml:space="preserve">Fay, Robert E., and Roger A. Herriot. 1979.</w:t>
      </w:r>
      <w:r>
        <w:t xml:space="preserve"> </w:t>
      </w:r>
      <w:r>
        <w:t xml:space="preserve">“Estimates of Income for Small Places: An Application of</w:t>
      </w:r>
      <w:r>
        <w:t xml:space="preserve"> </w:t>
      </w:r>
      <w:r>
        <w:t xml:space="preserve">James-Stein</w:t>
      </w:r>
      <w:r>
        <w:t xml:space="preserve"> </w:t>
      </w:r>
      <w:r>
        <w:t xml:space="preserve">Procedures to Census Data.”</w:t>
      </w:r>
      <w:r>
        <w:t xml:space="preserve"> </w:t>
      </w:r>
      <w:r>
        <w:rPr>
          <w:i/>
          <w:iCs/>
        </w:rPr>
        <w:t xml:space="preserve">Journal of the American Statistical Association</w:t>
      </w:r>
      <w:r>
        <w:t xml:space="preserve"> </w:t>
      </w:r>
      <w:r>
        <w:t xml:space="preserve">74 (366): 269–77.</w:t>
      </w:r>
      <w:r>
        <w:t xml:space="preserve"> </w:t>
      </w:r>
      <w:hyperlink r:id="rId79">
        <w:r>
          <w:rPr>
            <w:rStyle w:val="Hyperlink"/>
          </w:rPr>
          <w:t xml:space="preserve">https://doi.org/10.1080/01621459.1979.10482505</w:t>
        </w:r>
      </w:hyperlink>
      <w:r>
        <w:t xml:space="preserve">.</w:t>
      </w:r>
    </w:p>
    <w:bookmarkEnd w:id="80"/>
    <w:bookmarkStart w:id="82" w:name="ref-gorelick2017google"/>
    <w:p>
      <w:pPr>
        <w:pStyle w:val="Bibliography"/>
      </w:pPr>
      <w:r>
        <w:t xml:space="preserve">Gorelick, Noel, Matt Hancher, Mike Dixon, Simon Ilyushchenko, David Thau, and Rebecca Moore. 2017.</w:t>
      </w:r>
      <w:r>
        <w:t xml:space="preserve"> </w:t>
      </w:r>
      <w:r>
        <w:t xml:space="preserve">“Google</w:t>
      </w:r>
      <w:r>
        <w:t xml:space="preserve"> </w:t>
      </w:r>
      <w:r>
        <w:t xml:space="preserve">Earth Engine</w:t>
      </w:r>
      <w:r>
        <w:t xml:space="preserve">: Planetary-Scale Geospatial Analysis for Everyone.”</w:t>
      </w:r>
      <w:r>
        <w:t xml:space="preserve"> </w:t>
      </w:r>
      <w:r>
        <w:rPr>
          <w:i/>
          <w:iCs/>
        </w:rPr>
        <w:t xml:space="preserve">Remote Sensing of Environment</w:t>
      </w:r>
      <w:r>
        <w:t xml:space="preserve"> </w:t>
      </w:r>
      <w:r>
        <w:t xml:space="preserve">202: 18–27.</w:t>
      </w:r>
      <w:r>
        <w:t xml:space="preserve"> </w:t>
      </w:r>
      <w:hyperlink r:id="rId81">
        <w:r>
          <w:rPr>
            <w:rStyle w:val="Hyperlink"/>
          </w:rPr>
          <w:t xml:space="preserve">https://doi.org/10.1016/j.rse.2017.06.031</w:t>
        </w:r>
      </w:hyperlink>
      <w:r>
        <w:t xml:space="preserve">.</w:t>
      </w:r>
    </w:p>
    <w:bookmarkEnd w:id="82"/>
    <w:bookmarkStart w:id="84" w:name="ref-vanderlaan2007super"/>
    <w:p>
      <w:pPr>
        <w:pStyle w:val="Bibliography"/>
      </w:pPr>
      <w:r>
        <w:t xml:space="preserve">Laan, Mark J. van der, Eric C. Polley, and Alan E. Hubbard. 2007.</w:t>
      </w:r>
      <w:r>
        <w:t xml:space="preserve"> </w:t>
      </w:r>
      <w:r>
        <w:t xml:space="preserve">“Super Learner.”</w:t>
      </w:r>
      <w:r>
        <w:t xml:space="preserve"> </w:t>
      </w:r>
      <w:r>
        <w:rPr>
          <w:i/>
          <w:iCs/>
        </w:rPr>
        <w:t xml:space="preserve">Statistical Applications in Genetics and Molecular Biology</w:t>
      </w:r>
      <w:r>
        <w:t xml:space="preserve"> </w:t>
      </w:r>
      <w:r>
        <w:t xml:space="preserve">6 (1).</w:t>
      </w:r>
      <w:r>
        <w:t xml:space="preserve"> </w:t>
      </w:r>
      <w:hyperlink r:id="rId83">
        <w:r>
          <w:rPr>
            <w:rStyle w:val="Hyperlink"/>
          </w:rPr>
          <w:t xml:space="preserve">https://doi.org/10.2202/1544-6115.1309</w:t>
        </w:r>
      </w:hyperlink>
      <w:r>
        <w:t xml:space="preserve">.</w:t>
      </w:r>
    </w:p>
    <w:bookmarkEnd w:id="84"/>
    <w:bookmarkStart w:id="86" w:name="ref-landau2021targets"/>
    <w:p>
      <w:pPr>
        <w:pStyle w:val="Bibliography"/>
      </w:pPr>
      <w:r>
        <w:t xml:space="preserve">Landau, William Michael. 2021.</w:t>
      </w:r>
      <w:r>
        <w:t xml:space="preserve"> </w:t>
      </w:r>
      <w:r>
        <w:t xml:space="preserve">“The</w:t>
      </w:r>
      <w:r>
        <w:t xml:space="preserve"> </w:t>
      </w:r>
      <w:r>
        <w:t xml:space="preserve">targets</w:t>
      </w:r>
      <w:r>
        <w:t xml:space="preserve"> </w:t>
      </w:r>
      <w:r>
        <w:t xml:space="preserve">R</w:t>
      </w:r>
      <w:r>
        <w:t xml:space="preserve"> </w:t>
      </w:r>
      <w:r>
        <w:t xml:space="preserve">Package: A Dynamic Make-Like Function-Oriented Pipeline Toolkit for Reproducibility and High-Performance Computing.”</w:t>
      </w:r>
      <w:r>
        <w:t xml:space="preserve"> </w:t>
      </w:r>
      <w:r>
        <w:rPr>
          <w:i/>
          <w:iCs/>
        </w:rPr>
        <w:t xml:space="preserve">Journal of Open Source Software</w:t>
      </w:r>
      <w:r>
        <w:t xml:space="preserve"> </w:t>
      </w:r>
      <w:r>
        <w:t xml:space="preserve">6 (57): 2959.</w:t>
      </w:r>
      <w:r>
        <w:t xml:space="preserve"> </w:t>
      </w:r>
      <w:hyperlink r:id="rId85">
        <w:r>
          <w:rPr>
            <w:rStyle w:val="Hyperlink"/>
          </w:rPr>
          <w:t xml:space="preserve">https://doi.org/10.21105/joss.02959</w:t>
        </w:r>
      </w:hyperlink>
      <w:r>
        <w:t xml:space="preserve">.</w:t>
      </w:r>
    </w:p>
    <w:bookmarkEnd w:id="86"/>
    <w:bookmarkStart w:id="88" w:name="ref-local2021maps"/>
    <w:p>
      <w:pPr>
        <w:pStyle w:val="Bibliography"/>
      </w:pPr>
      <w:r>
        <w:t xml:space="preserve">Local Burden of Disease Child Growth Failure Collaborators. 2020.</w:t>
      </w:r>
      <w:r>
        <w:t xml:space="preserve"> </w:t>
      </w:r>
      <w:r>
        <w:t xml:space="preserve">“Mapping Local Patterns of Childhood Overweight and Wasting in Low- and Middle-Income Countries Between 2000 and 2017.”</w:t>
      </w:r>
      <w:r>
        <w:t xml:space="preserve"> </w:t>
      </w:r>
      <w:r>
        <w:rPr>
          <w:i/>
          <w:iCs/>
        </w:rPr>
        <w:t xml:space="preserve">Nature Medicine</w:t>
      </w:r>
      <w:r>
        <w:t xml:space="preserve"> </w:t>
      </w:r>
      <w:r>
        <w:t xml:space="preserve">26: 750–59.</w:t>
      </w:r>
      <w:r>
        <w:t xml:space="preserve"> </w:t>
      </w:r>
      <w:hyperlink r:id="rId87">
        <w:r>
          <w:rPr>
            <w:rStyle w:val="Hyperlink"/>
          </w:rPr>
          <w:t xml:space="preserve">https://doi.org/10.1038/s41591-020-0807-6</w:t>
        </w:r>
      </w:hyperlink>
      <w:r>
        <w:t xml:space="preserve">.</w:t>
      </w:r>
    </w:p>
    <w:bookmarkEnd w:id="88"/>
    <w:bookmarkStart w:id="90" w:name="ref-mercer2015small"/>
    <w:p>
      <w:pPr>
        <w:pStyle w:val="Bibliography"/>
      </w:pPr>
      <w:r>
        <w:t xml:space="preserve">Mercer, Laina D., Jon Wakefield, Marcello Pagano, Adam Schwartzman, Sebastian Klüsener, and Romain Müller. 2015.</w:t>
      </w:r>
      <w:r>
        <w:t xml:space="preserve"> </w:t>
      </w:r>
      <w:r>
        <w:t xml:space="preserve">“Small Area Estimation of Childhood Mortality in the Absence of Vital Registration.”</w:t>
      </w:r>
      <w:r>
        <w:t xml:space="preserve"> </w:t>
      </w:r>
      <w:r>
        <w:rPr>
          <w:i/>
          <w:iCs/>
        </w:rPr>
        <w:t xml:space="preserve">The Annals of Applied Statistics</w:t>
      </w:r>
      <w:r>
        <w:t xml:space="preserve"> </w:t>
      </w:r>
      <w:r>
        <w:t xml:space="preserve">9 (4): 1889–1905.</w:t>
      </w:r>
      <w:r>
        <w:t xml:space="preserve"> </w:t>
      </w:r>
      <w:hyperlink r:id="rId89">
        <w:r>
          <w:rPr>
            <w:rStyle w:val="Hyperlink"/>
          </w:rPr>
          <w:t xml:space="preserve">https://doi.org/10.1214/15-AOAS872</w:t>
        </w:r>
      </w:hyperlink>
      <w:r>
        <w:t xml:space="preserve">.</w:t>
      </w:r>
    </w:p>
    <w:bookmarkEnd w:id="90"/>
    <w:bookmarkStart w:id="92" w:name="ref-knms2011"/>
    <w:p>
      <w:pPr>
        <w:pStyle w:val="Bibliography"/>
      </w:pPr>
      <w:r>
        <w:t xml:space="preserve">Ministry of Health, Republic of Kenya, Kenya Medical Research Institute, National Public Health Laboratory Services, Kenya National Bureau of Statistics, Global Alliance for Improved Nutrition, and UNICEF Kenya Country Office. 2011.</w:t>
      </w:r>
      <w:r>
        <w:t xml:space="preserve"> </w:t>
      </w:r>
      <w:r>
        <w:t xml:space="preserve">“The</w:t>
      </w:r>
      <w:r>
        <w:t xml:space="preserve"> </w:t>
      </w:r>
      <w:r>
        <w:t xml:space="preserve">Kenya</w:t>
      </w:r>
      <w:r>
        <w:t xml:space="preserve"> </w:t>
      </w:r>
      <w:r>
        <w:t xml:space="preserve">National Micronutrient Survey 2011.”</w:t>
      </w:r>
      <w:r>
        <w:t xml:space="preserve"> </w:t>
      </w:r>
      <w:r>
        <w:t xml:space="preserve">Ministry of Health, Republic of Kenya.</w:t>
      </w:r>
      <w:r>
        <w:t xml:space="preserve"> </w:t>
      </w:r>
      <w:hyperlink r:id="rId91">
        <w:r>
          <w:rPr>
            <w:rStyle w:val="Hyperlink"/>
          </w:rPr>
          <w:t xml:space="preserve">https://www.gainhealth.org/sites/default/files/publications/documents/kenya-national-micronutrient-survey-report-2011.pdf</w:t>
        </w:r>
      </w:hyperlink>
      <w:r>
        <w:t xml:space="preserve">.</w:t>
      </w:r>
    </w:p>
    <w:bookmarkEnd w:id="92"/>
    <w:bookmarkStart w:id="94" w:name="ref-brinda2017adjustment"/>
    <w:p>
      <w:pPr>
        <w:pStyle w:val="Bibliography"/>
      </w:pPr>
      <w:r>
        <w:t xml:space="preserve">Namaste, Sorrel M L, Grant J Aaron, Ravi Varadhan, Janet M Peerson, Parminder S Suchdev, and BRINDA Working Group. 2017.</w:t>
      </w:r>
      <w:r>
        <w:t xml:space="preserve"> </w:t>
      </w:r>
      <w:r>
        <w:t xml:space="preserve">“Methodologic Approach for the Biomarkers Reflecting Inflammation and Nutritional Determinants of Anemia (BRINDA) Project.”</w:t>
      </w:r>
      <w:r>
        <w:t xml:space="preserve"> </w:t>
      </w:r>
      <w:r>
        <w:rPr>
          <w:i/>
          <w:iCs/>
        </w:rPr>
        <w:t xml:space="preserve">The American Journal of Clinical Nutrition</w:t>
      </w:r>
      <w:r>
        <w:t xml:space="preserve"> </w:t>
      </w:r>
      <w:r>
        <w:t xml:space="preserve">106 (Suppl 1): 333S–347S.</w:t>
      </w:r>
      <w:r>
        <w:t xml:space="preserve"> </w:t>
      </w:r>
      <w:hyperlink r:id="rId93">
        <w:r>
          <w:rPr>
            <w:rStyle w:val="Hyperlink"/>
          </w:rPr>
          <w:t xml:space="preserve">https://doi.org/10.3945/ajcn.116.142273</w:t>
        </w:r>
      </w:hyperlink>
      <w:r>
        <w:t xml:space="preserve">.</w:t>
      </w:r>
    </w:p>
    <w:bookmarkEnd w:id="94"/>
    <w:bookmarkStart w:id="96" w:name="ref-niculescu2005predicting"/>
    <w:p>
      <w:pPr>
        <w:pStyle w:val="Bibliography"/>
      </w:pPr>
      <w:r>
        <w:t xml:space="preserve">Niculescu-Mizil, Alexandru, and Rich Caruana. 2005.</w:t>
      </w:r>
      <w:r>
        <w:t xml:space="preserve"> </w:t>
      </w:r>
      <w:r>
        <w:t xml:space="preserve">“Predicting Good Probabilities with Supervised Learning.”</w:t>
      </w:r>
      <w:r>
        <w:t xml:space="preserve"> </w:t>
      </w:r>
      <w:r>
        <w:t xml:space="preserve">In</w:t>
      </w:r>
      <w:r>
        <w:t xml:space="preserve"> </w:t>
      </w:r>
      <w:r>
        <w:rPr>
          <w:i/>
          <w:iCs/>
        </w:rPr>
        <w:t xml:space="preserve">Proceedings of the 22nd International Conference on Machine Learning (ICML)</w:t>
      </w:r>
      <w:r>
        <w:t xml:space="preserve">, 625–32.</w:t>
      </w:r>
      <w:r>
        <w:t xml:space="preserve"> </w:t>
      </w:r>
      <w:hyperlink r:id="rId95">
        <w:r>
          <w:rPr>
            <w:rStyle w:val="Hyperlink"/>
          </w:rPr>
          <w:t xml:space="preserve">https://doi.org/10.1145/1102351.1102430</w:t>
        </w:r>
      </w:hyperlink>
      <w:r>
        <w:t xml:space="preserve">.</w:t>
      </w:r>
    </w:p>
    <w:bookmarkEnd w:id="96"/>
    <w:bookmarkStart w:id="98" w:name="ref-osgoodzimmerman2018mapping"/>
    <w:p>
      <w:pPr>
        <w:pStyle w:val="Bibliography"/>
      </w:pPr>
      <w:r>
        <w:t xml:space="preserve">Osgood-Zimmerman, Aaron, Anoushka I. Millear, Rebecca W. Stubbs, Chloe Shields, Brandon V. Pickering, Lucas Earl, Nicholas Graetz, et al. 2018.</w:t>
      </w:r>
      <w:r>
        <w:t xml:space="preserve"> </w:t>
      </w:r>
      <w:r>
        <w:t xml:space="preserve">“Mapping Child Growth Failure in</w:t>
      </w:r>
      <w:r>
        <w:t xml:space="preserve"> </w:t>
      </w:r>
      <w:r>
        <w:t xml:space="preserve">Africa</w:t>
      </w:r>
      <w:r>
        <w:t xml:space="preserve"> </w:t>
      </w:r>
      <w:r>
        <w:t xml:space="preserve">Between 2000 and 2015.”</w:t>
      </w:r>
      <w:r>
        <w:t xml:space="preserve"> </w:t>
      </w:r>
      <w:r>
        <w:rPr>
          <w:i/>
          <w:iCs/>
        </w:rPr>
        <w:t xml:space="preserve">Nature</w:t>
      </w:r>
      <w:r>
        <w:t xml:space="preserve"> </w:t>
      </w:r>
      <w:r>
        <w:t xml:space="preserve">555 (7694): 41–47.</w:t>
      </w:r>
      <w:r>
        <w:t xml:space="preserve"> </w:t>
      </w:r>
      <w:hyperlink r:id="rId97">
        <w:r>
          <w:rPr>
            <w:rStyle w:val="Hyperlink"/>
          </w:rPr>
          <w:t xml:space="preserve">https://doi.org/10.1038/nature25760</w:t>
        </w:r>
      </w:hyperlink>
      <w:r>
        <w:t xml:space="preserve">.</w:t>
      </w:r>
    </w:p>
    <w:bookmarkEnd w:id="98"/>
    <w:bookmarkStart w:id="100" w:name="ref-riebler2016intuitive"/>
    <w:p>
      <w:pPr>
        <w:pStyle w:val="Bibliography"/>
      </w:pPr>
      <w:r>
        <w:t xml:space="preserve">Riebler, Andrea, Sigrunn H. Sørbye, Daniel Simpson, and Håvard Rue. 2016.</w:t>
      </w:r>
      <w:r>
        <w:t xml:space="preserve"> </w:t>
      </w:r>
      <w:r>
        <w:t xml:space="preserve">“An Intuitive Bayesian Spatial Model for Disease Mapping That Accounts for Scaling.”</w:t>
      </w:r>
      <w:r>
        <w:t xml:space="preserve"> </w:t>
      </w:r>
      <w:r>
        <w:rPr>
          <w:i/>
          <w:iCs/>
        </w:rPr>
        <w:t xml:space="preserve">Statistical Methods in Medical Research</w:t>
      </w:r>
      <w:r>
        <w:t xml:space="preserve"> </w:t>
      </w:r>
      <w:r>
        <w:t xml:space="preserve">25 (4): 1145–65.</w:t>
      </w:r>
      <w:r>
        <w:t xml:space="preserve"> </w:t>
      </w:r>
      <w:hyperlink r:id="rId99">
        <w:r>
          <w:rPr>
            <w:rStyle w:val="Hyperlink"/>
          </w:rPr>
          <w:t xml:space="preserve">https://doi.org/10.1177/0962280216660421</w:t>
        </w:r>
      </w:hyperlink>
      <w:r>
        <w:t xml:space="preserve">.</w:t>
      </w:r>
    </w:p>
    <w:bookmarkEnd w:id="100"/>
    <w:bookmarkStart w:id="102" w:name="ref-rue2009approximate"/>
    <w:p>
      <w:pPr>
        <w:pStyle w:val="Bibliography"/>
      </w:pPr>
      <w:r>
        <w:t xml:space="preserve">Rue, Håvard, Sara Martino, and Nicolas Chopin. 2009.</w:t>
      </w:r>
      <w:r>
        <w:t xml:space="preserve"> </w:t>
      </w:r>
      <w:r>
        <w:t xml:space="preserve">“Approximate</w:t>
      </w:r>
      <w:r>
        <w:t xml:space="preserve"> </w:t>
      </w:r>
      <w:r>
        <w:t xml:space="preserve">Bayesian</w:t>
      </w:r>
      <w:r>
        <w:t xml:space="preserve"> </w:t>
      </w:r>
      <w:r>
        <w:t xml:space="preserve">Inference for Latent</w:t>
      </w:r>
      <w:r>
        <w:t xml:space="preserve"> </w:t>
      </w:r>
      <w:r>
        <w:t xml:space="preserve">Gaussian</w:t>
      </w:r>
      <w:r>
        <w:t xml:space="preserve"> </w:t>
      </w:r>
      <w:r>
        <w:t xml:space="preserve">Models by Using Integrated Nested</w:t>
      </w:r>
      <w:r>
        <w:t xml:space="preserve"> </w:t>
      </w:r>
      <w:r>
        <w:t xml:space="preserve">Laplace</w:t>
      </w:r>
      <w:r>
        <w:t xml:space="preserve"> </w:t>
      </w:r>
      <w:r>
        <w:t xml:space="preserve">Approximations.”</w:t>
      </w:r>
      <w:r>
        <w:t xml:space="preserve"> </w:t>
      </w:r>
      <w:r>
        <w:rPr>
          <w:i/>
          <w:iCs/>
        </w:rPr>
        <w:t xml:space="preserve">Journal of the Royal Statistical Society: Series B (Statistical Methodology)</w:t>
      </w:r>
      <w:r>
        <w:t xml:space="preserve"> </w:t>
      </w:r>
      <w:r>
        <w:t xml:space="preserve">71 (2): 319–92.</w:t>
      </w:r>
      <w:r>
        <w:t xml:space="preserve"> </w:t>
      </w:r>
      <w:hyperlink r:id="rId101">
        <w:r>
          <w:rPr>
            <w:rStyle w:val="Hyperlink"/>
          </w:rPr>
          <w:t xml:space="preserve">https://doi.org/10.1111/j.1467-9868.2008.00700.x</w:t>
        </w:r>
      </w:hyperlink>
      <w:r>
        <w:t xml:space="preserve">.</w:t>
      </w:r>
    </w:p>
    <w:bookmarkEnd w:id="102"/>
    <w:bookmarkStart w:id="104" w:name="ref-vansmedenetal2019sample"/>
    <w:p>
      <w:pPr>
        <w:pStyle w:val="Bibliography"/>
      </w:pPr>
      <w:r>
        <w:t xml:space="preserve">Smeden, Maarten van, Karel G M Moons, Joris A H de Groot, Gary S Collins, Douglas G Altman, Marinus J C Eijkemans, and Johannes B Reitsma. 2019.</w:t>
      </w:r>
      <w:r>
        <w:t xml:space="preserve"> </w:t>
      </w:r>
      <w:r>
        <w:t xml:space="preserve">“Sample Size for Binary Logistic Prediction Models: Beyond Events Per Variable Criteria.”</w:t>
      </w:r>
      <w:r>
        <w:t xml:space="preserve"> </w:t>
      </w:r>
      <w:r>
        <w:rPr>
          <w:i/>
          <w:iCs/>
        </w:rPr>
        <w:t xml:space="preserve">Statistical Methods in Medical Research</w:t>
      </w:r>
      <w:r>
        <w:t xml:space="preserve"> </w:t>
      </w:r>
      <w:r>
        <w:t xml:space="preserve">28 (8): 2455–74.</w:t>
      </w:r>
      <w:r>
        <w:t xml:space="preserve"> </w:t>
      </w:r>
      <w:hyperlink r:id="rId103">
        <w:r>
          <w:rPr>
            <w:rStyle w:val="Hyperlink"/>
          </w:rPr>
          <w:t xml:space="preserve">https://doi.org/10.1177/0962280218784726</w:t>
        </w:r>
      </w:hyperlink>
      <w:r>
        <w:t xml:space="preserve">.</w:t>
      </w:r>
    </w:p>
    <w:bookmarkEnd w:id="104"/>
    <w:bookmarkStart w:id="106" w:name="ref-stevens2022micronutrient"/>
    <w:p>
      <w:pPr>
        <w:pStyle w:val="Bibliography"/>
      </w:pPr>
      <w:r>
        <w:t xml:space="preserve">Stevens, Gretchen A, Ty Beal, Mduduzi N N Mbuya, Hanqi Luo, Lynnette M Neufeld, and Global Micronutrient Deficiencies Research Group. 2022.</w:t>
      </w:r>
      <w:r>
        <w:t xml:space="preserve"> </w:t>
      </w:r>
      <w:r>
        <w:t xml:space="preserve">“Micronutrient Deficiencies Among Preschool-Aged Children and Women of Reproductive Age Worldwide: A Pooled Analysis of Individual-Level Data from Population-Representative Surveys.”</w:t>
      </w:r>
      <w:r>
        <w:t xml:space="preserve"> </w:t>
      </w:r>
      <w:r>
        <w:rPr>
          <w:i/>
          <w:iCs/>
        </w:rPr>
        <w:t xml:space="preserve">The Lancet Global Health</w:t>
      </w:r>
      <w:r>
        <w:t xml:space="preserve"> </w:t>
      </w:r>
      <w:r>
        <w:t xml:space="preserve">10 (11): e1590–99.</w:t>
      </w:r>
      <w:r>
        <w:t xml:space="preserve"> </w:t>
      </w:r>
      <w:hyperlink r:id="rId105">
        <w:r>
          <w:rPr>
            <w:rStyle w:val="Hyperlink"/>
          </w:rPr>
          <w:t xml:space="preserve">https://doi.org/10.1016/S2214-109X(22)00367-9</w:t>
        </w:r>
      </w:hyperlink>
      <w:r>
        <w:t xml:space="preserve">.</w:t>
      </w:r>
    </w:p>
    <w:bookmarkEnd w:id="106"/>
    <w:bookmarkStart w:id="108" w:name="ref-brinda2017overview"/>
    <w:p>
      <w:pPr>
        <w:pStyle w:val="Bibliography"/>
      </w:pPr>
      <w:r>
        <w:t xml:space="preserve">Suchdev, Parminder S, Sorrel Namaste, Grant J Aaron, Daniel J Raiten, Kenneth H Brown, Rafael Flores-Ayala, and BRINDA Working Group. 2016.</w:t>
      </w:r>
      <w:r>
        <w:t xml:space="preserve"> </w:t>
      </w:r>
      <w:r>
        <w:t xml:space="preserve">“Overview of the Biomarkers Reflecting Inflammation and Nutritional Determinants of Anemia (BRINDA) Project.”</w:t>
      </w:r>
      <w:r>
        <w:t xml:space="preserve"> </w:t>
      </w:r>
      <w:r>
        <w:rPr>
          <w:i/>
          <w:iCs/>
        </w:rPr>
        <w:t xml:space="preserve">Advances in Nutrition</w:t>
      </w:r>
      <w:r>
        <w:t xml:space="preserve"> </w:t>
      </w:r>
      <w:r>
        <w:t xml:space="preserve">7 (2): 349–56.</w:t>
      </w:r>
      <w:r>
        <w:t xml:space="preserve"> </w:t>
      </w:r>
      <w:hyperlink r:id="rId107">
        <w:r>
          <w:rPr>
            <w:rStyle w:val="Hyperlink"/>
          </w:rPr>
          <w:t xml:space="preserve">https://doi.org/10.3945/an.115.010215</w:t>
        </w:r>
      </w:hyperlink>
      <w:r>
        <w:t xml:space="preserve">.</w:t>
      </w:r>
    </w:p>
    <w:bookmarkEnd w:id="108"/>
    <w:bookmarkStart w:id="110" w:name="ref-wakefield2019small"/>
    <w:p>
      <w:pPr>
        <w:pStyle w:val="Bibliography"/>
      </w:pPr>
      <w:r>
        <w:t xml:space="preserve">Wakefield, Jon, Taylor Okonek, and John Pedersen. 2020.</w:t>
      </w:r>
      <w:r>
        <w:t xml:space="preserve"> </w:t>
      </w:r>
      <w:r>
        <w:t xml:space="preserve">“Small Area Estimation for Disease Prevalence Mapping.”</w:t>
      </w:r>
      <w:r>
        <w:t xml:space="preserve"> </w:t>
      </w:r>
      <w:r>
        <w:rPr>
          <w:i/>
          <w:iCs/>
        </w:rPr>
        <w:t xml:space="preserve">International Statistical Review</w:t>
      </w:r>
      <w:r>
        <w:t xml:space="preserve"> </w:t>
      </w:r>
      <w:r>
        <w:t xml:space="preserve">88 (2): 398–418.</w:t>
      </w:r>
      <w:r>
        <w:t xml:space="preserve"> </w:t>
      </w:r>
      <w:hyperlink r:id="rId109">
        <w:r>
          <w:rPr>
            <w:rStyle w:val="Hyperlink"/>
          </w:rPr>
          <w:t xml:space="preserve">https://doi.org/10.1111/insr.12400</w:t>
        </w:r>
      </w:hyperlink>
      <w:r>
        <w:t xml:space="preserve">.</w:t>
      </w:r>
    </w:p>
    <w:bookmarkEnd w:id="110"/>
    <w:bookmarkStart w:id="111" w:name="ref-who_vmnis_thresholds"/>
    <w:p>
      <w:pPr>
        <w:pStyle w:val="Bibliography"/>
      </w:pPr>
      <w:r>
        <w:t xml:space="preserve">World Health Organization. 2011.</w:t>
      </w:r>
      <w:r>
        <w:t xml:space="preserve"> </w:t>
      </w:r>
      <w:r>
        <w:t xml:space="preserve">“Serum Retinol Concentrations for Determining the Prevalence of Vitamin a Deficiency in Populations.”</w:t>
      </w:r>
      <w:r>
        <w:t xml:space="preserve"> </w:t>
      </w:r>
      <w:r>
        <w:t xml:space="preserve">WHO/NMH/NHD/MNM/11.3.</w:t>
      </w:r>
    </w:p>
    <w:bookmarkEnd w:id="111"/>
    <w:bookmarkStart w:id="113" w:name="ref-who2020anaemia"/>
    <w:p>
      <w:pPr>
        <w:pStyle w:val="Bibliography"/>
      </w:pPr>
      <w:r>
        <w:t xml:space="preserve">———. 2021.</w:t>
      </w:r>
      <w:r>
        <w:t xml:space="preserve"> </w:t>
      </w:r>
      <w:r>
        <w:t xml:space="preserve">“WHO Global Anaemia Estimates, 2021 Edition.”</w:t>
      </w:r>
      <w:r>
        <w:t xml:space="preserve"> </w:t>
      </w:r>
      <w:hyperlink r:id="rId112">
        <w:r>
          <w:rPr>
            <w:rStyle w:val="Hyperlink"/>
          </w:rPr>
          <w:t xml:space="preserve">https://www.who.int/data/gho/data/themes/topics/anaemia_in_women_and_children</w:t>
        </w:r>
      </w:hyperlink>
      <w:r>
        <w:t xml:space="preserve">.</w:t>
      </w:r>
    </w:p>
    <w:bookmarkEnd w:id="113"/>
    <w:bookmarkStart w:id="115" w:name="ref-who_vmnis"/>
    <w:p>
      <w:pPr>
        <w:pStyle w:val="Bibliography"/>
      </w:pPr>
      <w:r>
        <w:t xml:space="preserve">———. 2023.</w:t>
      </w:r>
      <w:r>
        <w:t xml:space="preserve"> </w:t>
      </w:r>
      <w:r>
        <w:t xml:space="preserve">“Vitamin and Mineral Nutrition Information System (VMNIS).”</w:t>
      </w:r>
      <w:r>
        <w:t xml:space="preserve"> </w:t>
      </w:r>
      <w:hyperlink r:id="rId114">
        <w:r>
          <w:rPr>
            <w:rStyle w:val="Hyperlink"/>
          </w:rPr>
          <w:t xml:space="preserve">https://www.who.int/teams/nutrition-and-food-safety/databases/vitamin-and-mineral-nutrition-information-system</w:t>
        </w:r>
      </w:hyperlink>
      <w:r>
        <w:t xml:space="preserve">.</w:t>
      </w:r>
    </w:p>
    <w:bookmarkEnd w:id="115"/>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hyperlink" Id="rId75" Target="https://dhsprogram.com/" TargetMode="External" /><Relationship Type="http://schemas.openxmlformats.org/officeDocument/2006/relationships/hyperlink" Id="rId77" Target="https://doi.org/10.1007/BF00116466" TargetMode="External" /><Relationship Type="http://schemas.openxmlformats.org/officeDocument/2006/relationships/hyperlink" Id="rId105" Target="https://doi.org/10.1016/S2214-109X(22)00367-9" TargetMode="External" /><Relationship Type="http://schemas.openxmlformats.org/officeDocument/2006/relationships/hyperlink" Id="rId81" Target="https://doi.org/10.1016/j.rse.2017.06.031" TargetMode="External" /><Relationship Type="http://schemas.openxmlformats.org/officeDocument/2006/relationships/hyperlink" Id="rId97" Target="https://doi.org/10.1038/nature25760" TargetMode="External" /><Relationship Type="http://schemas.openxmlformats.org/officeDocument/2006/relationships/hyperlink" Id="rId87" Target="https://doi.org/10.1038/s41591-020-0807-6" TargetMode="External" /><Relationship Type="http://schemas.openxmlformats.org/officeDocument/2006/relationships/hyperlink" Id="rId79" Target="https://doi.org/10.1080/01621459.1979.10482505" TargetMode="External" /><Relationship Type="http://schemas.openxmlformats.org/officeDocument/2006/relationships/hyperlink" Id="rId109" Target="https://doi.org/10.1111/insr.12400" TargetMode="External" /><Relationship Type="http://schemas.openxmlformats.org/officeDocument/2006/relationships/hyperlink" Id="rId101" Target="https://doi.org/10.1111/j.1467-9868.2008.00700.x" TargetMode="External" /><Relationship Type="http://schemas.openxmlformats.org/officeDocument/2006/relationships/hyperlink" Id="rId95" Target="https://doi.org/10.1145/1102351.1102430" TargetMode="External" /><Relationship Type="http://schemas.openxmlformats.org/officeDocument/2006/relationships/hyperlink" Id="rId99" Target="https://doi.org/10.1177/0962280216660421" TargetMode="External" /><Relationship Type="http://schemas.openxmlformats.org/officeDocument/2006/relationships/hyperlink" Id="rId103" Target="https://doi.org/10.1177/0962280218784726" TargetMode="External" /><Relationship Type="http://schemas.openxmlformats.org/officeDocument/2006/relationships/hyperlink" Id="rId89" Target="https://doi.org/10.1214/15-AOAS872" TargetMode="External" /><Relationship Type="http://schemas.openxmlformats.org/officeDocument/2006/relationships/hyperlink" Id="rId85" Target="https://doi.org/10.21105/joss.02959" TargetMode="External" /><Relationship Type="http://schemas.openxmlformats.org/officeDocument/2006/relationships/hyperlink" Id="rId83" Target="https://doi.org/10.2202/1544-6115.1309" TargetMode="External" /><Relationship Type="http://schemas.openxmlformats.org/officeDocument/2006/relationships/hyperlink" Id="rId93" Target="https://doi.org/10.3945/ajcn.116.142273" TargetMode="External" /><Relationship Type="http://schemas.openxmlformats.org/officeDocument/2006/relationships/hyperlink" Id="rId107" Target="https://doi.org/10.3945/an.115.010215" TargetMode="External" /><Relationship Type="http://schemas.openxmlformats.org/officeDocument/2006/relationships/hyperlink" Id="rId91" Target="https://www.gainhealth.org/sites/default/files/publications/documents/kenya-national-micronutrient-survey-report-2011.pdf" TargetMode="External" /><Relationship Type="http://schemas.openxmlformats.org/officeDocument/2006/relationships/hyperlink" Id="rId112" Target="https://www.who.int/data/gho/data/themes/topics/anaemia_in_women_and_children" TargetMode="External" /><Relationship Type="http://schemas.openxmlformats.org/officeDocument/2006/relationships/hyperlink" Id="rId114" Target="https://www.who.int/teams/nutrition-and-food-safety/databases/vitamin-and-mineral-nutrition-information-system" TargetMode="External" /></Relationships>
</file>

<file path=word/_rels/footnotes.xml.rels><?xml version="1.0" encoding="UTF-8"?><Relationships xmlns="http://schemas.openxmlformats.org/package/2006/relationships"><Relationship Type="http://schemas.openxmlformats.org/officeDocument/2006/relationships/hyperlink" Id="rId75" Target="https://dhsprogram.com/" TargetMode="External" /><Relationship Type="http://schemas.openxmlformats.org/officeDocument/2006/relationships/hyperlink" Id="rId77" Target="https://doi.org/10.1007/BF00116466" TargetMode="External" /><Relationship Type="http://schemas.openxmlformats.org/officeDocument/2006/relationships/hyperlink" Id="rId105" Target="https://doi.org/10.1016/S2214-109X(22)00367-9" TargetMode="External" /><Relationship Type="http://schemas.openxmlformats.org/officeDocument/2006/relationships/hyperlink" Id="rId81" Target="https://doi.org/10.1016/j.rse.2017.06.031" TargetMode="External" /><Relationship Type="http://schemas.openxmlformats.org/officeDocument/2006/relationships/hyperlink" Id="rId97" Target="https://doi.org/10.1038/nature25760" TargetMode="External" /><Relationship Type="http://schemas.openxmlformats.org/officeDocument/2006/relationships/hyperlink" Id="rId87" Target="https://doi.org/10.1038/s41591-020-0807-6" TargetMode="External" /><Relationship Type="http://schemas.openxmlformats.org/officeDocument/2006/relationships/hyperlink" Id="rId79" Target="https://doi.org/10.1080/01621459.1979.10482505" TargetMode="External" /><Relationship Type="http://schemas.openxmlformats.org/officeDocument/2006/relationships/hyperlink" Id="rId109" Target="https://doi.org/10.1111/insr.12400" TargetMode="External" /><Relationship Type="http://schemas.openxmlformats.org/officeDocument/2006/relationships/hyperlink" Id="rId101" Target="https://doi.org/10.1111/j.1467-9868.2008.00700.x" TargetMode="External" /><Relationship Type="http://schemas.openxmlformats.org/officeDocument/2006/relationships/hyperlink" Id="rId95" Target="https://doi.org/10.1145/1102351.1102430" TargetMode="External" /><Relationship Type="http://schemas.openxmlformats.org/officeDocument/2006/relationships/hyperlink" Id="rId99" Target="https://doi.org/10.1177/0962280216660421" TargetMode="External" /><Relationship Type="http://schemas.openxmlformats.org/officeDocument/2006/relationships/hyperlink" Id="rId103" Target="https://doi.org/10.1177/0962280218784726" TargetMode="External" /><Relationship Type="http://schemas.openxmlformats.org/officeDocument/2006/relationships/hyperlink" Id="rId89" Target="https://doi.org/10.1214/15-AOAS872" TargetMode="External" /><Relationship Type="http://schemas.openxmlformats.org/officeDocument/2006/relationships/hyperlink" Id="rId85" Target="https://doi.org/10.21105/joss.02959" TargetMode="External" /><Relationship Type="http://schemas.openxmlformats.org/officeDocument/2006/relationships/hyperlink" Id="rId83" Target="https://doi.org/10.2202/1544-6115.1309" TargetMode="External" /><Relationship Type="http://schemas.openxmlformats.org/officeDocument/2006/relationships/hyperlink" Id="rId93" Target="https://doi.org/10.3945/ajcn.116.142273" TargetMode="External" /><Relationship Type="http://schemas.openxmlformats.org/officeDocument/2006/relationships/hyperlink" Id="rId107" Target="https://doi.org/10.3945/an.115.010215" TargetMode="External" /><Relationship Type="http://schemas.openxmlformats.org/officeDocument/2006/relationships/hyperlink" Id="rId91" Target="https://www.gainhealth.org/sites/default/files/publications/documents/kenya-national-micronutrient-survey-report-2011.pdf" TargetMode="External" /><Relationship Type="http://schemas.openxmlformats.org/officeDocument/2006/relationships/hyperlink" Id="rId112" Target="https://www.who.int/data/gho/data/themes/topics/anaemia_in_women_and_children" TargetMode="External" /><Relationship Type="http://schemas.openxmlformats.org/officeDocument/2006/relationships/hyperlink" Id="rId114" Target="https://www.who.int/teams/nutrition-and-food-safety/databases/vitamin-and-mineral-nutrition-information-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Subnational micronutrient deficiency prediction in sub-Saharan Africa from proxy indicators: a multi-country SuperLearner ensemble benchmarked against small-area-estimation methods</dc:title>
  <dc:creator>Andrew N. Mertens</dc:creator>
  <cp:keywords>micronutrient deficiency, small area estimation, DHS, transportability, SuperLearner, vitamin A, iron deficiency</cp:keywords>
  <dcterms:created xsi:type="dcterms:W3CDTF">2026-08-30T22:21:17Z</dcterms:created>
  <dcterms:modified xsi:type="dcterms:W3CDTF">2026-08-30T22:21:17Z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Subnational maps of micronutrient deficiency are central to targeted nutrition programming, yet biomarker surveys remain scarce and geographically uneven. We assessed whether ensemble machine-learning models trained on harmonised Demographic and Health Surveys (DHS) and remote-sensing predictors can reproduce admin-2 deficiency patterns and national prevalence within and across four sub-Saharan African countries, whether they outperform simple baselines and canonical small-area estimation (SAE) methods, and how much of any shortfall is attributable to the deficiency outcome itself being measured with too few biomarker samples per district to support fine-grained prediction.Methods: We harmonised individual-level DHS biomarker measurements for iron, vitamin A, vitamin B12, folate, and zinc deficiency from Gambia (2018), Ghana (2017), Sierra Leone (2013), and Malawi (2016), and combined them with earth-observation aggregates at the admin-2 polygon level (206 polygons pooled). Estimation strategies compared at admin-2 included: individual-level SuperLearner (12 learners spanning penalised regression, random forests, gradient boosting and BART) aggregated to admin-2; an area-level SuperLearner fit directly on admin-2 aggregates; a spatial-smoothing-only model with no covariates; a national-mean null; and, across countries, 21 comparator methods spanning frequentist regressions, Bayesian SAE (Fay–Herriot, BYM2/INLA), and spatial and invariance-based transport methods. Because most admin-2 polygons contribute only 6–36 biomarker measurements, we additionally estimated a reliability ceiling for each country–outcome cell — the maximum Pearson r any model could achieve given survey sampling noise alone — and report observed performance as a fraction of that ceiling. All approaches were evaluated within country by k-fold cross-validation and across countries by leave-one-country-out (LOCO) holdout.Results: Individual-level prediction aggregated to admin-2 was the only approach that clearly outperformed the national-mean null (median Pearson r 0.516 vs. a null MAE of 9.55 percentage points, reaching 8.55 pp; 92% of the estimated reliability ceiling). Neither area-level SuperLearner variant beat the null (MAE 9.31–9.84 pp vs. 9.55 pp), and a covariate-free spatial smoother outperformed both (r 0.393 vs. 0.16–0.22). The reliability ceiling itself was low (median r_max 0.098; 4 of 24 country–outcome cells had no detectable signal above sampling noise), indicating that admin-2 is finer than these surveys were powered to resolve, not that the models under-fit. Cross-country (LOCO) transport remained the hardest problem: median Spearman ρ was 0.06–0.30 across outcomes and the SuperLearner ensemble matched or beat the best of 21 comparator methods on 0 of 16 evaluable holdouts; a penalised regression achieved the lowest LOCO MAE (10.6 pp, vs. 11.1 pp for the null) but with near-zero pattern correlation, while spatial-only methods achieved the best pattern correlation (r up to 0.28) but worse absolute error — level and pattern transported by different methods and neither transported well. By contrast, national-level aggregation was accurate throughout: predicted national prevalence fell within the survey’s own 95% confidence interval for all 24 country–outcome combinations (median absolute error 0.74 percentage points, 8.6% relative). Among predictor domains available for a proxy-only model (i.e., excluding survey items unavailable outside a biomarker survey), environment and climate variables carried the most transportable signal (median AUC contribution 0.043 and 0.034), while calibration of binary classifiers remained poor (median slope 0.44) and required post-hoc correction.Conclusions: Admin-2 prediction of micronutrient deficiency from proxy indicators is constrained primarily by the reliability of the admin-2 biomarker target itself, not by model choice: these DHS surveys were powered for national estimation, and most of the between-district variance at admin-2 is sampling noise. Individual-level prediction aggregated to admin-2 is the strongest tested approach and already captures most of the achievable signal; area-level models fit directly on the small number of administrative units do not outperform a national mean. National-level estimates, in contrast, are recovered reliably and are the more defensible deliverable for programming in the near term. Cross-country transport remains unreliable, and any admin-2 or transported estimate should be reported alongside its reliability ceiling and benchmarked against a national-mean and spatial-only null before use in resource-allocation decisions.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date">
    <vt:lpwstr>2026-08-30</vt:lpwstr>
  </property>
  <property fmtid="{D5CDD505-2E9C-101B-9397-08002B2CF9AE}" pid="10" name="execute">
    <vt:lpwstr/>
  </property>
  <property fmtid="{D5CDD505-2E9C-101B-9397-08002B2CF9AE}" pid="11" name="fig-cap-location">
    <vt:lpwstr>bottom</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horttitle">
    <vt:lpwstr>Subnational micronutrient prediction in sub-Saharan Africa</vt:lpwstr>
  </property>
  <property fmtid="{D5CDD505-2E9C-101B-9397-08002B2CF9AE}" pid="17" name="tbl-cap-location">
    <vt:lpwstr>top</vt:lpwstr>
  </property>
  <property fmtid="{D5CDD505-2E9C-101B-9397-08002B2CF9AE}" pid="18" name="toc-title">
    <vt:lpwstr>Table of contents</vt:lpwstr>
  </property>
</Properties>
</file>