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Appendix: Subnational micronutrient deficiency prediction in sub-Saharan Africa from proxy indicators</w:t>
      </w:r>
    </w:p>
    <w:p>
      <w:pPr>
        <w:pStyle w:val="Author"/>
      </w:pPr>
      <w:r>
        <w:t xml:space="preserve">Andrew N. Mertens</w:t>
      </w:r>
    </w:p>
    <w:p>
      <w:pPr>
        <w:pStyle w:val="Date"/>
      </w:pPr>
      <w:r>
        <w:t xml:space="preserve">2026-08-28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appendix documents, in full, the methods summarised at a high level in the</w:t>
      </w:r>
      <w:r>
        <w:t xml:space="preserve"> </w:t>
      </w:r>
      <w:r>
        <w:t xml:space="preserve">main text. It covers the data sources, the data cleaning and linkage pipeline,</w:t>
      </w:r>
      <w:r>
        <w:t xml:space="preserve"> </w:t>
      </w:r>
      <w:r>
        <w:t xml:space="preserve">the harmonisation of outcome definitions across surveys, the modelling methods,</w:t>
      </w:r>
      <w:r>
        <w:t xml:space="preserve"> </w:t>
      </w:r>
      <w:r>
        <w:t xml:space="preserve">the procedures used to assess predictive accuracy, and the sensitivity analyses.</w:t>
      </w:r>
      <w:r>
        <w:t xml:space="preserve"> </w:t>
      </w:r>
      <w:r>
        <w:t xml:space="preserve">It reflects the analysis as currently implemented in the project’s reproducible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pipeline. The most granular file-by-file data lineage (exact source</w:t>
      </w:r>
      <w:r>
        <w:t xml:space="preserve"> </w:t>
      </w:r>
      <w:r>
        <w:t xml:space="preserve">filenames, fuzzy-match thresholds, and per-domain missingness rates) is</w:t>
      </w:r>
      <w:r>
        <w:t xml:space="preserve"> </w:t>
      </w:r>
      <w:r>
        <w:t xml:space="preserve">maintained alongside this appendix in</w:t>
      </w:r>
      <w:r>
        <w:t xml:space="preserve"> </w:t>
      </w:r>
      <w:r>
        <w:rPr>
          <w:rStyle w:val="VerbatimChar"/>
        </w:rPr>
        <w:t xml:space="preserve">docs/data_sources_appendix.qmd</w:t>
      </w:r>
      <w:r>
        <w:t xml:space="preserve">, which</w:t>
      </w:r>
      <w:r>
        <w:t xml:space="preserve"> </w:t>
      </w:r>
      <w:r>
        <w:t xml:space="preserve">this document summarises and extends.</w:t>
      </w:r>
    </w:p>
    <w:bookmarkStart w:id="22" w:name="s1.-data-sources"/>
    <w:p>
      <w:pPr>
        <w:pStyle w:val="Heading1"/>
      </w:pPr>
      <w:r>
        <w:t xml:space="preserve">1. S1. Data sources</w:t>
      </w:r>
    </w:p>
    <w:bookmarkStart w:id="20" w:name="s1.1-biomarker-outcome-surveys"/>
    <w:p>
      <w:pPr>
        <w:pStyle w:val="Heading2"/>
      </w:pPr>
      <w:r>
        <w:t xml:space="preserve">1.1 S1.1 Biomarker (outcome) surveys</w:t>
      </w:r>
    </w:p>
    <w:p>
      <w:pPr>
        <w:pStyle w:val="FirstParagraph"/>
      </w:pPr>
      <w:r>
        <w:t xml:space="preserve">Outcomes come from four nationally representative micronutrient or</w:t>
      </w:r>
      <w:r>
        <w:t xml:space="preserve"> </w:t>
      </w:r>
      <w:r>
        <w:t xml:space="preserve">micronutrient-containing biomarker surveys, one per country, each conducted in a</w:t>
      </w:r>
      <w:r>
        <w:t xml:space="preserve"> </w:t>
      </w:r>
      <w:r>
        <w:t xml:space="preserve">different year and with a partly different biomarker panel:</w:t>
      </w:r>
    </w:p>
    <w:p>
      <w:pPr>
        <w:pStyle w:val="Compact"/>
        <w:numPr>
          <w:ilvl w:val="0"/>
          <w:numId w:val="1001"/>
        </w:numPr>
      </w:pPr>
      <w:r>
        <w:t xml:space="preserve">The Gambia, 2018 (Gambia National Micronutrient Survey).</w:t>
      </w:r>
    </w:p>
    <w:p>
      <w:pPr>
        <w:pStyle w:val="Compact"/>
        <w:numPr>
          <w:ilvl w:val="0"/>
          <w:numId w:val="1001"/>
        </w:numPr>
      </w:pPr>
      <w:r>
        <w:t xml:space="preserve">Ghana, 2017 (Ghana Micronutrient Survey).</w:t>
      </w:r>
    </w:p>
    <w:p>
      <w:pPr>
        <w:pStyle w:val="Compact"/>
        <w:numPr>
          <w:ilvl w:val="0"/>
          <w:numId w:val="1001"/>
        </w:numPr>
      </w:pPr>
      <w:r>
        <w:t xml:space="preserve">Sierra Leone, 2013 (Sierra Leone Micronutrient Survey).</w:t>
      </w:r>
    </w:p>
    <w:p>
      <w:pPr>
        <w:pStyle w:val="Compact"/>
        <w:numPr>
          <w:ilvl w:val="0"/>
          <w:numId w:val="1001"/>
        </w:numPr>
      </w:pPr>
      <w:r>
        <w:t xml:space="preserve">Malawi, 2015 to 2016 (Malawi Micronutrient Survey).</w:t>
      </w:r>
    </w:p>
    <w:p>
      <w:pPr>
        <w:pStyle w:val="FirstParagraph"/>
      </w:pPr>
      <w:r>
        <w:t xml:space="preserve">We initially added a fifth country, Tanzania (2009-2010 Tanzania DHS,</w:t>
      </w:r>
      <w:r>
        <w:t xml:space="preserve"> </w:t>
      </w:r>
      <w:r>
        <w:t xml:space="preserve">vitamin A only, via the obstetric/biomarker module rather than a dedicated</w:t>
      </w:r>
      <w:r>
        <w:t xml:space="preserve"> </w:t>
      </w:r>
      <w:r>
        <w:t xml:space="preserve">micronutrient survey), but withdrew it before finalising this appendix. A</w:t>
      </w:r>
      <w:r>
        <w:t xml:space="preserve"> </w:t>
      </w:r>
      <w:r>
        <w:t xml:space="preserve">project collaborator identified the survey’s dried-blood-spot RBP</w:t>
      </w:r>
      <w:r>
        <w:t xml:space="preserve"> </w:t>
      </w:r>
      <w:r>
        <w:t xml:space="preserve">measurements as unreliable, consistent with a unit-label error found in the</w:t>
      </w:r>
      <w:r>
        <w:t xml:space="preserve"> </w:t>
      </w:r>
      <w:r>
        <w:t xml:space="preserve">survey’s own biomarker documentation (</w:t>
      </w:r>
      <w:r>
        <w:rPr>
          <w:rStyle w:val="VerbatimChar"/>
        </w:rPr>
        <w:t xml:space="preserve">TZ61BIOMARKER.DOC</w:t>
      </w:r>
      <w:r>
        <w:t xml:space="preserve">) and a 77-92</w:t>
      </w:r>
      <w:r>
        <w:t xml:space="preserve"> </w:t>
      </w:r>
      <w:r>
        <w:t xml:space="preserve">percentage-point national-level bias observed when Tanzania was held out</w:t>
      </w:r>
      <w:r>
        <w:t xml:space="preserve"> </w:t>
      </w:r>
      <w:r>
        <w:t xml:space="preserve">under leave-one-country-out evaluation during a supplementary analysis. See</w:t>
      </w:r>
      <w:r>
        <w:t xml:space="preserve"> </w:t>
      </w:r>
      <w:r>
        <w:rPr>
          <w:rStyle w:val="VerbatimChar"/>
        </w:rPr>
        <w:t xml:space="preserve">archive/src/Tanzania/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R/config.R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get_country_config_tanzania_archived_2010()</w:t>
      </w:r>
      <w:r>
        <w:t xml:space="preserve"> </w:t>
      </w:r>
      <w:r>
        <w:t xml:space="preserve">for the preserved cleaning</w:t>
      </w:r>
      <w:r>
        <w:t xml:space="preserve"> </w:t>
      </w:r>
      <w:r>
        <w:t xml:space="preserve">scripts and configuration, and the project’s archive manifest for the full</w:t>
      </w:r>
      <w:r>
        <w:t xml:space="preserve"> </w:t>
      </w:r>
      <w:r>
        <w:t xml:space="preserve">rationale. We plan to revisit Tanzania via the 2023 DHS round, which we</w:t>
      </w:r>
      <w:r>
        <w:t xml:space="preserve"> </w:t>
      </w:r>
      <w:r>
        <w:t xml:space="preserve">understand uses serum rather than dried-blood-spot vitamin-A assessment,</w:t>
      </w:r>
      <w:r>
        <w:t xml:space="preserve"> </w:t>
      </w:r>
      <w:r>
        <w:t xml:space="preserve">once its data become accessible.</w:t>
      </w:r>
    </w:p>
    <w:p>
      <w:pPr>
        <w:pStyle w:val="BodyText"/>
      </w:pPr>
      <w:r>
        <w:t xml:space="preserve">Within each survey, biomarkers were extracted for women of reproductive age (15</w:t>
      </w:r>
      <w:r>
        <w:t xml:space="preserve"> </w:t>
      </w:r>
      <w:r>
        <w:t xml:space="preserve">to 49 years) and for children 6 to 59 months, where measured. One to two surveys</w:t>
      </w:r>
      <w:r>
        <w:t xml:space="preserve"> </w:t>
      </w:r>
      <w:r>
        <w:t xml:space="preserve">additionally measured adult men. Each survey is nationally representative but</w:t>
      </w:r>
      <w:r>
        <w:t xml:space="preserve"> </w:t>
      </w:r>
      <w:r>
        <w:t xml:space="preserve">modest in size (roughly 1,000 to 1,400 individuals per outcome), is georeferenced</w:t>
      </w:r>
      <w:r>
        <w:t xml:space="preserve"> </w:t>
      </w:r>
      <w:r>
        <w:t xml:space="preserve">at the survey-cluster (primary sampling unit) level, and carries survey design</w:t>
      </w:r>
      <w:r>
        <w:t xml:space="preserve"> </w:t>
      </w:r>
      <w:r>
        <w:t xml:space="preserve">information (sampling weights, primary sampling units, and strata).</w:t>
      </w:r>
    </w:p>
    <w:p>
      <w:pPr>
        <w:pStyle w:val="BodyText"/>
      </w:pPr>
      <w:r>
        <w:t xml:space="preserve">Iron is measured by serum ferritin in all four countries. Vitamin A is measured</w:t>
      </w:r>
      <w:r>
        <w:t xml:space="preserve"> </w:t>
      </w:r>
      <w:r>
        <w:t xml:space="preserve">by retinol-binding protein (a proxy for serum retinol). Vitamin B12, folate, and</w:t>
      </w:r>
      <w:r>
        <w:t xml:space="preserve"> </w:t>
      </w:r>
      <w:r>
        <w:t xml:space="preserve">zinc are measured by their serum concentrations and are available in a subset of</w:t>
      </w:r>
      <w:r>
        <w:t xml:space="preserve"> </w:t>
      </w:r>
      <w:r>
        <w:t xml:space="preserve">countries. The cross-country comparability of these biomarkers is itself debated</w:t>
      </w:r>
      <w:r>
        <w:t xml:space="preserve"> </w:t>
      </w:r>
      <w:r>
        <w:t xml:space="preserve">in the nutrition field, which is one motivation for treating absolute prevalence</w:t>
      </w:r>
      <w:r>
        <w:t xml:space="preserve"> </w:t>
      </w:r>
      <w:r>
        <w:t xml:space="preserve">levels with caution and emphasising within-country spatial ranking.</w:t>
      </w:r>
    </w:p>
    <w:bookmarkEnd w:id="20"/>
    <w:bookmarkStart w:id="21" w:name="s1.2-predictor-domains"/>
    <w:p>
      <w:pPr>
        <w:pStyle w:val="Heading2"/>
      </w:pPr>
      <w:r>
        <w:t xml:space="preserve">1.2 S1.2 Predictor domains</w:t>
      </w:r>
    </w:p>
    <w:p>
      <w:pPr>
        <w:pStyle w:val="FirstParagraph"/>
      </w:pPr>
      <w:r>
        <w:t xml:space="preserve">Predictors are drawn from eleven data-source domains. With one exception (the</w:t>
      </w:r>
      <w:r>
        <w:t xml:space="preserve"> </w:t>
      </w:r>
      <w:r>
        <w:t xml:space="preserve">survey biomarker matrix, which is excluded from the deployable models) all are</w:t>
      </w:r>
      <w:r>
        <w:t xml:space="preserve"> </w:t>
      </w:r>
      <w:r>
        <w:t xml:space="preserve">publicly available or accessible through common interfaces, so the resulting</w:t>
      </w:r>
      <w:r>
        <w:t xml:space="preserve"> </w:t>
      </w:r>
      <w:r>
        <w:t xml:space="preserve">models can be applied where no biomarker survey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Survey biomarker matrix (</w:t>
      </w:r>
      <w:r>
        <w:rPr>
          <w:rStyle w:val="VerbatimChar"/>
          <w:b/>
          <w:bCs/>
        </w:rPr>
        <w:t xml:space="preserve">gw_</w:t>
      </w:r>
      <w:r>
        <w:rPr>
          <w:b/>
          <w:bCs/>
        </w:rPr>
        <w:t xml:space="preserve"> </w:t>
      </w:r>
      <w:r>
        <w:rPr>
          <w:b/>
          <w:bCs/>
        </w:rPr>
        <w:t xml:space="preserve">prefix).</w:t>
      </w:r>
      <w:r>
        <w:t xml:space="preserve"> </w:t>
      </w:r>
      <w:r>
        <w:t xml:space="preserve">The original survey items,</w:t>
      </w:r>
      <w:r>
        <w:t xml:space="preserve"> </w:t>
      </w:r>
      <w:r>
        <w:t xml:space="preserve">including the biomarkers themselves and survey-derived dietary and household</w:t>
      </w:r>
      <w:r>
        <w:t xml:space="preserve"> </w:t>
      </w:r>
      <w:r>
        <w:t xml:space="preserve">items. These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primary (proxy-only) models so that</w:t>
      </w:r>
      <w:r>
        <w:t xml:space="preserve"> </w:t>
      </w:r>
      <w:r>
        <w:t xml:space="preserve">predictions do not depend on having run a biomarker survey. They are retained</w:t>
      </w:r>
      <w:r>
        <w:t xml:space="preserve"> </w:t>
      </w:r>
      <w:r>
        <w:t xml:space="preserve">only for the benchmark models that deliberately use full survey information.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DHS (</w:t>
      </w:r>
      <w:r>
        <w:rPr>
          <w:rStyle w:val="VerbatimChar"/>
          <w:b/>
          <w:bCs/>
        </w:rPr>
        <w:t xml:space="preserve">dhs&lt;year&gt;_</w:t>
      </w:r>
      <w:r>
        <w:rPr>
          <w:b/>
          <w:bCs/>
        </w:rPr>
        <w:t xml:space="preserve">).</w:t>
      </w:r>
      <w:r>
        <w:t xml:space="preserve"> </w:t>
      </w:r>
      <w:r>
        <w:t xml:space="preserve">Demographic and Health Survey indicators aggregated to</w:t>
      </w:r>
      <w:r>
        <w:t xml:space="preserve"> </w:t>
      </w:r>
      <w:r>
        <w:t xml:space="preserve">the administrative unit (mother’s education, household assets, water and</w:t>
      </w:r>
      <w:r>
        <w:t xml:space="preserve"> </w:t>
      </w:r>
      <w:r>
        <w:t xml:space="preserve">sanitation, child health and nutrition, malaria interventions). Each indicator</w:t>
      </w:r>
      <w:r>
        <w:t xml:space="preserve"> </w:t>
      </w:r>
      <w:r>
        <w:t xml:space="preserve">is stamped with the DHS round year, so the column names differ by country and</w:t>
      </w:r>
      <w:r>
        <w:t xml:space="preserve"> </w:t>
      </w:r>
      <w:r>
        <w:t xml:space="preserve">the DHS indicators do not share names across countries.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MICS (</w:t>
      </w:r>
      <w:r>
        <w:rPr>
          <w:rStyle w:val="VerbatimChar"/>
          <w:b/>
          <w:bCs/>
        </w:rPr>
        <w:t xml:space="preserve">mics_</w:t>
      </w:r>
      <w:r>
        <w:rPr>
          <w:b/>
          <w:bCs/>
        </w:rPr>
        <w:t xml:space="preserve">).</w:t>
      </w:r>
      <w:r>
        <w:t xml:space="preserve"> </w:t>
      </w:r>
      <w:r>
        <w:t xml:space="preserve">Multiple Indicator Cluster Survey aggregates, where</w:t>
      </w:r>
      <w:r>
        <w:t xml:space="preserve"> </w:t>
      </w:r>
      <w:r>
        <w:t xml:space="preserve">available, providing additional household and child indicators.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IHME GBD geospatial estimates (</w:t>
      </w:r>
      <w:r>
        <w:rPr>
          <w:rStyle w:val="VerbatimChar"/>
          <w:b/>
          <w:bCs/>
        </w:rPr>
        <w:t xml:space="preserve">ihme_</w:t>
      </w:r>
      <w:r>
        <w:rPr>
          <w:b/>
          <w:bCs/>
        </w:rPr>
        <w:t xml:space="preserve">).</w:t>
      </w:r>
      <w:r>
        <w:t xml:space="preserve"> </w:t>
      </w:r>
      <w:r>
        <w:t xml:space="preserve">Modelled estimates of related</w:t>
      </w:r>
      <w:r>
        <w:t xml:space="preserve"> </w:t>
      </w:r>
      <w:r>
        <w:t xml:space="preserve">conditions (for example stunting, wasting, diarrhoeal disease, anaemia,</w:t>
      </w:r>
      <w:r>
        <w:t xml:space="preserve"> </w:t>
      </w:r>
      <w:r>
        <w:t xml:space="preserve">under-five mortality), aggregated to admin-1 and admin-2.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LSMS (</w:t>
      </w:r>
      <w:r>
        <w:rPr>
          <w:rStyle w:val="VerbatimChar"/>
          <w:b/>
          <w:bCs/>
        </w:rPr>
        <w:t xml:space="preserve">lsms_</w:t>
      </w:r>
      <w:r>
        <w:rPr>
          <w:b/>
          <w:bCs/>
        </w:rPr>
        <w:t xml:space="preserve">).</w:t>
      </w:r>
      <w:r>
        <w:t xml:space="preserve"> </w:t>
      </w:r>
      <w:r>
        <w:t xml:space="preserve">World Bank Living Standards Measurement Study aggregates;</w:t>
      </w:r>
      <w:r>
        <w:t xml:space="preserve"> </w:t>
      </w:r>
      <w:r>
        <w:t xml:space="preserve">wired for Ghana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Malaria Atlas Project (</w:t>
      </w:r>
      <w:r>
        <w:rPr>
          <w:rStyle w:val="VerbatimChar"/>
          <w:b/>
          <w:bCs/>
        </w:rPr>
        <w:t xml:space="preserve">MAP_</w:t>
      </w:r>
      <w:r>
        <w:rPr>
          <w:b/>
          <w:bCs/>
        </w:rPr>
        <w:t xml:space="preserve">).</w:t>
      </w:r>
      <w:r>
        <w:t xml:space="preserve"> </w:t>
      </w:r>
      <w:r>
        <w:t xml:space="preserve">Rasters of malaria epidemiology</w:t>
      </w:r>
      <w:r>
        <w:t xml:space="preserve"> </w:t>
      </w:r>
      <w:r>
        <w:t xml:space="preserve">(</w:t>
      </w:r>
      <w:r>
        <w:rPr>
          <w:i/>
          <w:iCs/>
        </w:rPr>
        <w:t xml:space="preserve">P. falciparum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P. vivax</w:t>
      </w:r>
      <w:r>
        <w:t xml:space="preserve"> </w:t>
      </w:r>
      <w:r>
        <w:t xml:space="preserve">incidence, parasite rate, mortality, and the</w:t>
      </w:r>
      <w:r>
        <w:t xml:space="preserve"> </w:t>
      </w:r>
      <w:r>
        <w:rPr>
          <w:i/>
          <w:iCs/>
        </w:rPr>
        <w:t xml:space="preserve">Pf</w:t>
      </w:r>
      <w:r>
        <w:t xml:space="preserve"> </w:t>
      </w:r>
      <w:r>
        <w:t xml:space="preserve">reproductive number), malaria interventions (insecticide-treated-net</w:t>
      </w:r>
      <w:r>
        <w:t xml:space="preserve"> </w:t>
      </w:r>
      <w:r>
        <w:t xml:space="preserve">access and use, indoor residual spraying, effective antimalarial treatment),</w:t>
      </w:r>
      <w:r>
        <w:t xml:space="preserve"> </w:t>
      </w:r>
      <w:r>
        <w:t xml:space="preserve">and inherited blood disorders (HbS, HbC, G6PD deficiency, Duffy negativity)</w:t>
      </w:r>
      <w:r>
        <w:t xml:space="preserve"> </w:t>
      </w:r>
      <w:r>
        <w:t xml:space="preserve">that confound ferritin-based iron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Earth Engine rasters (</w:t>
      </w:r>
      <w:r>
        <w:rPr>
          <w:rStyle w:val="VerbatimChar"/>
          <w:b/>
          <w:bCs/>
        </w:rPr>
        <w:t xml:space="preserve">gee_</w:t>
      </w:r>
      <w:r>
        <w:rPr>
          <w:b/>
          <w:bCs/>
        </w:rPr>
        <w:t xml:space="preserve">).</w:t>
      </w:r>
      <w:r>
        <w:t xml:space="preserve"> </w:t>
      </w:r>
      <w:r>
        <w:t xml:space="preserve">Two complementary extractions:</w:t>
      </w:r>
    </w:p>
    <w:p>
      <w:pPr>
        <w:pStyle w:val="Compact"/>
        <w:numPr>
          <w:ilvl w:val="1"/>
          <w:numId w:val="1003"/>
        </w:numPr>
      </w:pPr>
      <w:r>
        <w:t xml:space="preserve">cluster-buffer summaries, in which each survey cluster’s GPS point is</w:t>
      </w:r>
      <w:r>
        <w:t xml:space="preserve"> </w:t>
      </w:r>
      <w:r>
        <w:t xml:space="preserve">buffered at 10, 25, and 50 km and raster families are summarised within each</w:t>
      </w:r>
      <w:r>
        <w:t xml:space="preserve"> </w:t>
      </w:r>
      <w:r>
        <w:t xml:space="preserve">buffer (monthly precipitation, vegetation index, and land-surface temperature;</w:t>
      </w:r>
      <w:r>
        <w:t xml:space="preserve"> </w:t>
      </w:r>
      <w:r>
        <w:t xml:space="preserve">plus single-value population density, built-up surface, settlement model,</w:t>
      </w:r>
      <w:r>
        <w:t xml:space="preserve"> </w:t>
      </w:r>
      <w:r>
        <w:t xml:space="preserve">global human modification, and grassland fraction); and (b) admin-2 polygon</w:t>
      </w:r>
      <w:r>
        <w:t xml:space="preserve"> </w:t>
      </w:r>
      <w:r>
        <w:t xml:space="preserve">zonal means for the full set of rasters, including soil chemistry, climate,</w:t>
      </w:r>
      <w:r>
        <w:t xml:space="preserve"> </w:t>
      </w:r>
      <w:r>
        <w:t xml:space="preserve">vegetation and agriculture, settlement and human modification, accessibility,</w:t>
      </w:r>
      <w:r>
        <w:t xml:space="preserve"> </w:t>
      </w:r>
      <w:r>
        <w:t xml:space="preserve">demography, land cover, and livestock layers.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WFP food prices (</w:t>
      </w:r>
      <w:r>
        <w:rPr>
          <w:rStyle w:val="VerbatimChar"/>
          <w:b/>
          <w:bCs/>
        </w:rPr>
        <w:t xml:space="preserve">wfp_</w:t>
      </w:r>
      <w:r>
        <w:rPr>
          <w:b/>
          <w:bCs/>
        </w:rPr>
        <w:t xml:space="preserve">).</w:t>
      </w:r>
      <w:r>
        <w:t xml:space="preserve"> </w:t>
      </w:r>
      <w:r>
        <w:t xml:space="preserve">Market food-price series.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FluNet (</w:t>
      </w:r>
      <w:r>
        <w:rPr>
          <w:rStyle w:val="VerbatimChar"/>
          <w:b/>
          <w:bCs/>
        </w:rPr>
        <w:t xml:space="preserve">flunet_</w:t>
      </w:r>
      <w:r>
        <w:rPr>
          <w:b/>
          <w:bCs/>
        </w:rPr>
        <w:t xml:space="preserve">).</w:t>
      </w:r>
      <w:r>
        <w:t xml:space="preserve"> </w:t>
      </w:r>
      <w:r>
        <w:t xml:space="preserve">Influenza surveillance indicators.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Food security (</w:t>
      </w:r>
      <w:r>
        <w:rPr>
          <w:rStyle w:val="VerbatimChar"/>
          <w:b/>
          <w:bCs/>
        </w:rPr>
        <w:t xml:space="preserve">fsec_</w:t>
      </w:r>
      <w:r>
        <w:rPr>
          <w:b/>
          <w:bCs/>
        </w:rPr>
        <w:t xml:space="preserve">).</w:t>
      </w:r>
      <w:r>
        <w:t xml:space="preserve"> </w:t>
      </w:r>
      <w:r>
        <w:t xml:space="preserve">Household food-insecurity indicators (HungerMap /</w:t>
      </w:r>
      <w:r>
        <w:t xml:space="preserve"> </w:t>
      </w:r>
      <w:r>
        <w:t xml:space="preserve">HFID) and IPC / Cadre Harmonisé food-security phase classifications.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SoilGrids / ISRIC (</w:t>
      </w:r>
      <w:r>
        <w:rPr>
          <w:rStyle w:val="VerbatimChar"/>
          <w:b/>
          <w:bCs/>
        </w:rPr>
        <w:t xml:space="preserve">soil_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gee_a2_Soil*</w:t>
      </w:r>
      <w:r>
        <w:rPr>
          <w:b/>
          <w:bCs/>
        </w:rPr>
        <w:t xml:space="preserve">).</w:t>
      </w:r>
      <w:r>
        <w:t xml:space="preserve"> </w:t>
      </w:r>
      <w:r>
        <w:t xml:space="preserve">Remotely sensed soil</w:t>
      </w:r>
      <w:r>
        <w:t xml:space="preserve"> </w:t>
      </w:r>
      <w:r>
        <w:t xml:space="preserve">micronutrient and chemistry layers (zinc, iron, calcium, magnesium,</w:t>
      </w:r>
      <w:r>
        <w:t xml:space="preserve"> </w:t>
      </w:r>
      <w:r>
        <w:t xml:space="preserve">phosphorus, potassium, sulphur, nitrogen, total carbon, cation exchange</w:t>
      </w:r>
      <w:r>
        <w:t xml:space="preserve"> </w:t>
      </w:r>
      <w:r>
        <w:t xml:space="preserve">capacity, aluminium).</w:t>
      </w:r>
    </w:p>
    <w:p>
      <w:pPr>
        <w:pStyle w:val="FirstParagraph"/>
      </w:pPr>
      <w:r>
        <w:t xml:space="preserve">Two predictor sets are assembled from these domains. The</w:t>
      </w:r>
      <w:r>
        <w:t xml:space="preserve"> </w:t>
      </w:r>
      <w:r>
        <w:rPr>
          <w:b/>
          <w:bCs/>
        </w:rPr>
        <w:t xml:space="preserve">individual-level set</w:t>
      </w:r>
      <w:r>
        <w:t xml:space="preserve"> </w:t>
      </w:r>
      <w:r>
        <w:t xml:space="preserve">is roughly 200 harmonised socio-demographic and household proxy indicators shared</w:t>
      </w:r>
      <w:r>
        <w:t xml:space="preserve"> </w:t>
      </w:r>
      <w:r>
        <w:t xml:space="preserve">across the four DHS surveys. The</w:t>
      </w:r>
      <w:r>
        <w:t xml:space="preserve"> </w:t>
      </w:r>
      <w:r>
        <w:rPr>
          <w:b/>
          <w:bCs/>
        </w:rPr>
        <w:t xml:space="preserve">area-level set</w:t>
      </w:r>
      <w:r>
        <w:t xml:space="preserve"> </w:t>
      </w:r>
      <w:r>
        <w:t xml:space="preserve">is over 2,500</w:t>
      </w:r>
      <w:r>
        <w:t xml:space="preserve"> </w:t>
      </w:r>
      <w:r>
        <w:t xml:space="preserve">earth-observation aggregates at the admin-2 polygon level; for cross-country</w:t>
      </w:r>
      <w:r>
        <w:t xml:space="preserve"> </w:t>
      </w:r>
      <w:r>
        <w:t xml:space="preserve">analyses this is restricted to the 152 variables present in at least three</w:t>
      </w:r>
      <w:r>
        <w:t xml:space="preserve"> </w:t>
      </w:r>
      <w:r>
        <w:t xml:space="preserve">countries’ extracts (the common-vocabulary set). Exact per-domain and per-country</w:t>
      </w:r>
      <w:r>
        <w:t xml:space="preserve"> </w:t>
      </w:r>
      <w:r>
        <w:t xml:space="preserve">counts are tabulated in</w:t>
      </w:r>
      <w:r>
        <w:t xml:space="preserve"> </w:t>
      </w:r>
      <w:r>
        <w:rPr>
          <w:rStyle w:val="VerbatimChar"/>
        </w:rPr>
        <w:t xml:space="preserve">docs/data_sources_appendix.qmd</w:t>
      </w:r>
      <w:r>
        <w:t xml:space="preserve">.</w:t>
      </w:r>
    </w:p>
    <w:bookmarkEnd w:id="21"/>
    <w:bookmarkEnd w:id="22"/>
    <w:bookmarkStart w:id="23" w:name="X4b8013679b94aa76c515fbfd388d69f4f8135f6"/>
    <w:p>
      <w:pPr>
        <w:pStyle w:val="Heading1"/>
      </w:pPr>
      <w:r>
        <w:t xml:space="preserve">2. S2. Data cleaning and pipeline architecture</w:t>
      </w:r>
    </w:p>
    <w:p>
      <w:pPr>
        <w:pStyle w:val="FirstParagraph"/>
      </w:pPr>
      <w:r>
        <w:t xml:space="preserve">Cleaning and assembly run in two stages.</w:t>
      </w:r>
      <w:r>
        <w:t xml:space="preserve"> </w:t>
      </w:r>
      <w:r>
        <w:rPr>
          <w:b/>
          <w:bCs/>
        </w:rPr>
        <w:t xml:space="preserve">Stage 1</w:t>
      </w:r>
      <w:r>
        <w:t xml:space="preserve"> </w:t>
      </w:r>
      <w:r>
        <w:t xml:space="preserve">is a set of per-country</w:t>
      </w:r>
      <w:r>
        <w:t xml:space="preserve"> </w:t>
      </w:r>
      <w:r>
        <w:t xml:space="preserve">cleaning scripts that read each raw survey and each external source, standardise</w:t>
      </w:r>
      <w:r>
        <w:t xml:space="preserve"> </w:t>
      </w:r>
      <w:r>
        <w:t xml:space="preserve">variable names and types, derive the inflammation-adjusted biomarkers and binary</w:t>
      </w:r>
      <w:r>
        <w:t xml:space="preserve"> </w:t>
      </w:r>
      <w:r>
        <w:t xml:space="preserve">deficiency flags, and write a per-country merged analytic table.</w:t>
      </w:r>
      <w:r>
        <w:t xml:space="preserve"> </w:t>
      </w:r>
      <w:r>
        <w:rPr>
          <w:b/>
          <w:bCs/>
        </w:rPr>
        <w:t xml:space="preserve">Stage 2</w:t>
      </w:r>
      <w:r>
        <w:t xml:space="preserve"> </w:t>
      </w:r>
      <w:r>
        <w:t xml:space="preserve">is</w:t>
      </w:r>
      <w:r>
        <w:t xml:space="preserve"> </w:t>
      </w:r>
      <w:r>
        <w:t xml:space="preserve">the reproducible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 that reads those merged tables and runs all</w:t>
      </w:r>
      <w:r>
        <w:t xml:space="preserve"> </w:t>
      </w:r>
      <w:r>
        <w:t xml:space="preserve">modelling, evaluation, and reporting.</w:t>
      </w:r>
    </w:p>
    <w:p>
      <w:pPr>
        <w:pStyle w:val="BodyText"/>
      </w:pPr>
      <w:r>
        <w:t xml:space="preserve">Key cleaning conventions: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Outcome-leakage exclusion.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gw_</w:t>
      </w:r>
      <w:r>
        <w:t xml:space="preserve"> </w:t>
      </w:r>
      <w:r>
        <w:t xml:space="preserve">survey items are removed from the</w:t>
      </w:r>
      <w:r>
        <w:t xml:space="preserve"> </w:t>
      </w:r>
      <w:r>
        <w:t xml:space="preserve">proxy-only predictor pool by prefix matching, so no biomarker-survey</w:t>
      </w:r>
      <w:r>
        <w:t xml:space="preserve"> </w:t>
      </w:r>
      <w:r>
        <w:t xml:space="preserve">information enters the deployable models.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High-cardinality categoricals</w:t>
      </w:r>
      <w:r>
        <w:t xml:space="preserve"> </w:t>
      </w:r>
      <w:r>
        <w:t xml:space="preserve">are dropped or collapsed to avoid</w:t>
      </w:r>
      <w:r>
        <w:t xml:space="preserve"> </w:t>
      </w:r>
      <w:r>
        <w:t xml:space="preserve">overfitting on identifiers.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Geometry and raw temporal columns</w:t>
      </w:r>
      <w:r>
        <w:t xml:space="preserve"> </w:t>
      </w:r>
      <w:r>
        <w:t xml:space="preserve">are removed from the analytic feature</w:t>
      </w:r>
      <w:r>
        <w:t xml:space="preserve"> </w:t>
      </w:r>
      <w:r>
        <w:t xml:space="preserve">matrix after they have been used for linkage and temporal alignment.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data</w:t>
      </w:r>
      <w:r>
        <w:t xml:space="preserve"> </w:t>
      </w:r>
      <w:r>
        <w:t xml:space="preserve">are retained as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in the merged table; imputation is done</w:t>
      </w:r>
      <w:r>
        <w:t xml:space="preserve"> </w:t>
      </w:r>
      <w:r>
        <w:t xml:space="preserve">downstream inside model fitting (and, in the corrected methods, strictly within</w:t>
      </w:r>
      <w:r>
        <w:t xml:space="preserve"> </w:t>
      </w:r>
      <w:r>
        <w:t xml:space="preserve">each training fold; see S6).</w:t>
      </w:r>
    </w:p>
    <w:p>
      <w:pPr>
        <w:pStyle w:val="FirstParagraph"/>
      </w:pPr>
      <w:r>
        <w:t xml:space="preserve">The final analytic object for each country is a single individual-level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data/IPD/&lt;Country&gt;/&lt;Country&gt;_merged_dataset.rds</w:t>
      </w:r>
      <w:r>
        <w:t xml:space="preserve">) carrying the outcomes, the</w:t>
      </w:r>
      <w:r>
        <w:t xml:space="preserve"> </w:t>
      </w:r>
      <w:r>
        <w:t xml:space="preserve">survey design columns, and all predictor domains.</w:t>
      </w:r>
    </w:p>
    <w:bookmarkEnd w:id="23"/>
    <w:bookmarkStart w:id="27" w:name="Xcafb49d9f5b936cd9db5e368adf1f26c1a92907"/>
    <w:p>
      <w:pPr>
        <w:pStyle w:val="Heading1"/>
      </w:pPr>
      <w:r>
        <w:t xml:space="preserve">3. S3. Geographic and temporal harmonisation, and record linkage</w:t>
      </w:r>
    </w:p>
    <w:bookmarkStart w:id="24" w:name="Xc8c8d857e66a5cdf54626364024701209b1bddb"/>
    <w:p>
      <w:pPr>
        <w:pStyle w:val="Heading2"/>
      </w:pPr>
      <w:r>
        <w:t xml:space="preserve">3.1 S3.1 Geographic units and cluster-to-area assignment</w:t>
      </w:r>
    </w:p>
    <w:p>
      <w:pPr>
        <w:pStyle w:val="FirstParagraph"/>
      </w:pPr>
      <w:r>
        <w:t xml:space="preserve">Administrative polygons are taken from GADM (admin-1 region/province and admin-2</w:t>
      </w:r>
      <w:r>
        <w:t xml:space="preserve"> </w:t>
      </w:r>
      <w:r>
        <w:t xml:space="preserve">district; admin-3 chiefdom for Sierra Leone, used in a resolution sensitivity</w:t>
      </w:r>
      <w:r>
        <w:t xml:space="preserve"> </w:t>
      </w:r>
      <w:r>
        <w:t xml:space="preserve">analysis). Each survey cluster is assigned to its admin-1 and admin-2 polygon by</w:t>
      </w:r>
      <w:r>
        <w:t xml:space="preserve"> </w:t>
      </w:r>
      <w:r>
        <w:t xml:space="preserve">point-in-polygon location of the cluster GPS coordinate.</w:t>
      </w:r>
    </w:p>
    <w:bookmarkEnd w:id="24"/>
    <w:bookmarkStart w:id="25" w:name="s3.2-linkage-of-predictors-to-outcomes"/>
    <w:p>
      <w:pPr>
        <w:pStyle w:val="Heading2"/>
      </w:pPr>
      <w:r>
        <w:t xml:space="preserve">3.2 S3.2 Linkage of predictors to outcomes</w:t>
      </w:r>
    </w:p>
    <w:p>
      <w:pPr>
        <w:pStyle w:val="FirstParagraph"/>
      </w:pPr>
      <w:r>
        <w:t xml:space="preserve">Predictors are linked at the finest feasible resolution: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Cluster-level linkage.</w:t>
      </w:r>
      <w:r>
        <w:t xml:space="preserve"> </w:t>
      </w:r>
      <w:r>
        <w:t xml:space="preserve">Earth-observation cluster-buffer summaries and</w:t>
      </w:r>
      <w:r>
        <w:t xml:space="preserve"> </w:t>
      </w:r>
      <w:r>
        <w:t xml:space="preserve">Malaria Atlas rasters are extracted at each cluster’s GPS point (buffer means</w:t>
      </w:r>
      <w:r>
        <w:t xml:space="preserve"> </w:t>
      </w:r>
      <w:r>
        <w:t xml:space="preserve">for GEE; bilinear interpolation for MAP) and joined on cluster identifier.</w:t>
      </w:r>
      <w:r>
        <w:t xml:space="preserve"> </w:t>
      </w:r>
      <w:r>
        <w:t xml:space="preserve">These predictors are therefore constant within a cluster.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Area-level linkage.</w:t>
      </w:r>
      <w:r>
        <w:t xml:space="preserve"> </w:t>
      </w:r>
      <w:r>
        <w:t xml:space="preserve">Sources that are only available as area aggregates</w:t>
      </w:r>
      <w:r>
        <w:t xml:space="preserve"> </w:t>
      </w:r>
      <w:r>
        <w:t xml:space="preserve">(DHS, MICS, IHME, LSMS, food security, and the GEE admin-2 zonal means) are</w:t>
      </w:r>
      <w:r>
        <w:t xml:space="preserve"> </w:t>
      </w:r>
      <w:r>
        <w:t xml:space="preserve">joined to the survey by administrative unit. Because survey and external admin</w:t>
      </w:r>
      <w:r>
        <w:t xml:space="preserve"> </w:t>
      </w:r>
      <w:r>
        <w:t xml:space="preserve">names are spelled inconsistently, names are matched with fuzzy string matching</w:t>
      </w:r>
      <w:r>
        <w:t xml:space="preserve"> </w:t>
      </w:r>
      <w:r>
        <w:t xml:space="preserve">(Jaro-Winkler at admin-1, string-distance methods at admin-2, with conservative</w:t>
      </w:r>
      <w:r>
        <w:t xml:space="preserve"> </w:t>
      </w:r>
      <w:r>
        <w:t xml:space="preserve">thresholds); unmatched units are left missing rather than guessed. Every</w:t>
      </w:r>
      <w:r>
        <w:t xml:space="preserve"> </w:t>
      </w:r>
      <w:r>
        <w:t xml:space="preserve">survey-to-area join is keyed on the pair (country, admin-2), never on admin-2</w:t>
      </w:r>
      <w:r>
        <w:t xml:space="preserve"> </w:t>
      </w:r>
      <w:r>
        <w:t xml:space="preserve">name alone, to prevent cross-country mismatches.</w:t>
      </w:r>
    </w:p>
    <w:bookmarkEnd w:id="25"/>
    <w:bookmarkStart w:id="26" w:name="s3.3-temporal-alignment"/>
    <w:p>
      <w:pPr>
        <w:pStyle w:val="Heading2"/>
      </w:pPr>
      <w:r>
        <w:t xml:space="preserve">3.3 S3.3 Temporal alignment</w:t>
      </w:r>
    </w:p>
    <w:p>
      <w:pPr>
        <w:pStyle w:val="FirstParagraph"/>
      </w:pPr>
      <w:r>
        <w:t xml:space="preserve">For sources with multiple time points, the version closest to each country’s</w:t>
      </w:r>
      <w:r>
        <w:t xml:space="preserve"> </w:t>
      </w:r>
      <w:r>
        <w:t xml:space="preserve">survey fieldwork year is selected. Climate variables use the survey year</w:t>
      </w:r>
      <w:r>
        <w:t xml:space="preserve"> </w:t>
      </w:r>
      <w:r>
        <w:t xml:space="preserve">directly; slowly changing layers (for example soil properties) use the most</w:t>
      </w:r>
      <w:r>
        <w:t xml:space="preserve"> </w:t>
      </w:r>
      <w:r>
        <w:t xml:space="preserve">recent global version. Multi-band rasters whose bands are temporal subdivisions</w:t>
      </w:r>
      <w:r>
        <w:t xml:space="preserve"> </w:t>
      </w:r>
      <w:r>
        <w:t xml:space="preserve">of a year are collapsed to the survey-year annual mean.</w:t>
      </w:r>
    </w:p>
    <w:bookmarkEnd w:id="26"/>
    <w:bookmarkEnd w:id="27"/>
    <w:bookmarkStart w:id="30" w:name="X87a645458997ad831a6e7d71e1d7a10f728bf37"/>
    <w:p>
      <w:pPr>
        <w:pStyle w:val="Heading1"/>
      </w:pPr>
      <w:r>
        <w:t xml:space="preserve">4. S4. Outcome definitions and harmonisation</w:t>
      </w:r>
    </w:p>
    <w:p>
      <w:pPr>
        <w:pStyle w:val="FirstParagraph"/>
      </w:pPr>
      <w:r>
        <w:t xml:space="preserve">Each continuous biomarker is converted to a binary deficiency indicator using a</w:t>
      </w:r>
      <w:r>
        <w:t xml:space="preserve"> </w:t>
      </w:r>
      <w:r>
        <w:t xml:space="preserve">WHO or BRINDA-recommended threshold. Definitions, and the inflammation</w:t>
      </w:r>
      <w:r>
        <w:t xml:space="preserve"> </w:t>
      </w:r>
      <w:r>
        <w:t xml:space="preserve">adjustment that precedes them, vary across surveys; harmonising them is a</w:t>
      </w:r>
      <w:r>
        <w:t xml:space="preserve"> </w:t>
      </w:r>
      <w:r>
        <w:t xml:space="preserve">central data-preparation step.</w:t>
      </w:r>
    </w:p>
    <w:bookmarkStart w:id="28" w:name="X78357dbb5cdd0bd4491bb295e009b54deeb39fd"/>
    <w:p>
      <w:pPr>
        <w:pStyle w:val="Heading2"/>
      </w:pPr>
      <w:r>
        <w:t xml:space="preserve">4.1 S4.1 Deficiency thresholds (binary outcomes)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Vitamin A</w:t>
      </w:r>
      <w:r>
        <w:t xml:space="preserve"> </w:t>
      </w:r>
      <w:r>
        <w:t xml:space="preserve">(women and children): retinol-binding protein below 0.70 µmol/L.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Iron</w:t>
      </w:r>
      <w:r>
        <w:t xml:space="preserve"> </w:t>
      </w:r>
      <w:r>
        <w:t xml:space="preserve">(ferritin): serum ferritin below 15 µg/L in women and below 12 µg/L</w:t>
      </w:r>
      <w:r>
        <w:t xml:space="preserve"> </w:t>
      </w:r>
      <w:r>
        <w:t xml:space="preserve">in children. The Gambia outcome is defined on the log-ferritin scale at the</w:t>
      </w:r>
      <w:r>
        <w:t xml:space="preserve"> </w:t>
      </w:r>
      <w:r>
        <w:t xml:space="preserve">equivalent cut-points (log 15 and log 12); Ghana uses Thurnham-adjusted</w:t>
      </w:r>
      <w:r>
        <w:t xml:space="preserve"> </w:t>
      </w:r>
      <w:r>
        <w:t xml:space="preserve">ferritin on the linear scale; Sierra Leone and Malawi use the standard</w:t>
      </w:r>
      <w:r>
        <w:t xml:space="preserve"> </w:t>
      </w:r>
      <w:r>
        <w:t xml:space="preserve">ferritin cut-points.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Folate</w:t>
      </w:r>
      <w:r>
        <w:t xml:space="preserve"> </w:t>
      </w:r>
      <w:r>
        <w:t xml:space="preserve">(women): serum folate below 10 nmol/L. Malawi’s native rule (below</w:t>
      </w:r>
      <w:r>
        <w:t xml:space="preserve"> </w:t>
      </w:r>
      <w:r>
        <w:t xml:space="preserve">3 ng/mL) is otherwise non-comparable, so folate is harmonised to the common</w:t>
      </w:r>
      <w:r>
        <w:t xml:space="preserve"> </w:t>
      </w:r>
      <w:r>
        <w:t xml:space="preserve">serum cut-point for cross-country analysis.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Vitamin B12</w:t>
      </w:r>
      <w:r>
        <w:t xml:space="preserve"> </w:t>
      </w:r>
      <w:r>
        <w:t xml:space="preserve">(women): serum B12 below 148 pmol/L.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Zinc</w:t>
      </w:r>
      <w:r>
        <w:t xml:space="preserve"> </w:t>
      </w:r>
      <w:r>
        <w:t xml:space="preserve">(women and children, Malawi only): serum zinc below the WHO</w:t>
      </w:r>
      <w:r>
        <w:t xml:space="preserve"> </w:t>
      </w:r>
      <w:r>
        <w:t xml:space="preserve">age/sex/fasting-specific cut-point.</w:t>
      </w:r>
    </w:p>
    <w:p>
      <w:pPr>
        <w:pStyle w:val="FirstParagraph"/>
      </w:pPr>
      <w:r>
        <w:t xml:space="preserve">Public-health severity tiers (low / mild / moderate / severe), used for the</w:t>
      </w:r>
      <w:r>
        <w:t xml:space="preserve"> </w:t>
      </w:r>
      <w:r>
        <w:t xml:space="preserve">map’s WHO classification, are separate from these individual cut-points and</w:t>
      </w:r>
      <w:r>
        <w:t xml:space="preserve"> </w:t>
      </w:r>
      <w:r>
        <w:t xml:space="preserve">follow the standard prevalence bands (for example, for iron, prevalence</w:t>
      </w:r>
      <w:r>
        <w:t xml:space="preserve"> </w:t>
      </w:r>
      <w:r>
        <w:t xml:space="preserve">thresholds at 5%, 20%, and 40%; for vitamin A, at 2%, 10%, and 20%).</w:t>
      </w:r>
    </w:p>
    <w:p>
      <w:pPr>
        <w:pStyle w:val="BodyText"/>
      </w:pPr>
      <w:r>
        <w:rPr>
          <w:b/>
          <w:bCs/>
        </w:rPr>
        <w:t xml:space="preserve">Historical note — Tanzania’s RBP units (archived).</w:t>
      </w:r>
      <w:r>
        <w:t xml:space="preserve"> </w:t>
      </w:r>
      <w:r>
        <w:t xml:space="preserve">During the withdrawn</w:t>
      </w:r>
      <w:r>
        <w:t xml:space="preserve"> </w:t>
      </w:r>
      <w:r>
        <w:t xml:space="preserve">Tanzania inclusion (S1.1), we traced an apparent unit inconsistency in that</w:t>
      </w:r>
      <w:r>
        <w:t xml:space="preserve"> </w:t>
      </w:r>
      <w:r>
        <w:t xml:space="preserve">survey’s RBP field:</w:t>
      </w:r>
      <w:r>
        <w:t xml:space="preserve"> </w:t>
      </w:r>
      <w:r>
        <w:rPr>
          <w:rStyle w:val="VerbatimChar"/>
        </w:rPr>
        <w:t xml:space="preserve">TZ61BIOMARKER.DOC</w:t>
      </w:r>
      <w:r>
        <w:t xml:space="preserve"> </w:t>
      </w:r>
      <w:r>
        <w:t xml:space="preserve">states the field is already in</w:t>
      </w:r>
      <w:r>
        <w:t xml:space="preserve"> </w:t>
      </w:r>
      <w:r>
        <w:t xml:space="preserve">µmol/L, but the raw values (median ≈ 26-27) are roughly 15-20× too large to</w:t>
      </w:r>
      <w:r>
        <w:t xml:space="preserve"> </w:t>
      </w:r>
      <w:r>
        <w:t xml:space="preserve">be a physiologically plausible µmol/L serum RBP concentration (normal range</w:t>
      </w:r>
      <w:r>
        <w:t xml:space="preserve"> </w:t>
      </w:r>
      <w:r>
        <w:t xml:space="preserve">≈ 1-3 µmol/L). Dividing by the RBP4 molar mass (≈ 21.2 kDa) brought the</w:t>
      </w:r>
      <w:r>
        <w:t xml:space="preserve"> </w:t>
      </w:r>
      <w:r>
        <w:t xml:space="preserve">values into range (median 1.04 µmol/L in children, 1.40 µmol/L in women),</w:t>
      </w:r>
      <w:r>
        <w:t xml:space="preserve"> </w:t>
      </w:r>
      <w:r>
        <w:t xml:space="preserve">and we take the</w:t>
      </w:r>
      <w:r>
        <w:t xml:space="preserve"> </w:t>
      </w:r>
      <w:r>
        <w:rPr>
          <w:rStyle w:val="VerbatimChar"/>
        </w:rPr>
        <w:t xml:space="preserve">.DOC</w:t>
      </w:r>
      <w:r>
        <w:t xml:space="preserve">’s unit label to be a copy-paste error in a boilerplate</w:t>
      </w:r>
      <w:r>
        <w:t xml:space="preserve"> </w:t>
      </w:r>
      <w:r>
        <w:t xml:space="preserve">template shared across DHS survey rounds. Independent confirmation: the DHS</w:t>
      </w:r>
      <w:r>
        <w:t xml:space="preserve"> </w:t>
      </w:r>
      <w:r>
        <w:t xml:space="preserve">Program’s own published report for this survey (</w:t>
      </w:r>
      <w:r>
        <w:rPr>
          <w:i/>
          <w:iCs/>
        </w:rPr>
        <w:t xml:space="preserve">DHS Further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Report NUT5,</w:t>
      </w:r>
      <w:r>
        <w:rPr>
          <w:i/>
          <w:iCs/>
        </w:rPr>
        <w:t xml:space="preserve"> </w:t>
      </w:r>
      <w:r>
        <w:rPr>
          <w:i/>
          <w:iCs/>
        </w:rPr>
        <w:t xml:space="preserve">“Micronutrients: Results of the 2010 Tanzania Demographic and</w:t>
      </w:r>
      <w:r>
        <w:rPr>
          <w:i/>
          <w:iCs/>
        </w:rPr>
        <w:t xml:space="preserve"> </w:t>
      </w:r>
      <w:r>
        <w:rPr>
          <w:i/>
          <w:iCs/>
        </w:rPr>
        <w:t xml:space="preserve">Health Survey”</w:t>
      </w:r>
      <w:r>
        <w:t xml:space="preserve">, dhsprogram.com/pubs/pdf/NUT5/NUT5.pdf) gives Tanzania-specific</w:t>
      </w:r>
      <w:r>
        <w:t xml:space="preserve"> </w:t>
      </w:r>
      <w:r>
        <w:t xml:space="preserve">RBP cut-points of 0.825 µmol/L (children) and 1.24 µmol/L (women), rather</w:t>
      </w:r>
      <w:r>
        <w:t xml:space="preserve"> </w:t>
      </w:r>
      <w:r>
        <w:t xml:space="preserve">than the generic 0.70 µmol/L cut-point used above; scoring the</w:t>
      </w:r>
      <w:r>
        <w:t xml:space="preserve"> </w:t>
      </w:r>
      <w:r>
        <w:t xml:space="preserve">molar-mass-converted values against those cut-points reproduced the</w:t>
      </w:r>
      <w:r>
        <w:t xml:space="preserve"> </w:t>
      </w:r>
      <w:r>
        <w:t xml:space="preserve">published national prevalence almost exactly (31.4% vs. published 33% in</w:t>
      </w:r>
      <w:r>
        <w:t xml:space="preserve"> </w:t>
      </w:r>
      <w:r>
        <w:t xml:space="preserve">children, 35.3% vs. published ~37% in women), which is strong evidence the</w:t>
      </w:r>
      <w:r>
        <w:t xml:space="preserve"> </w:t>
      </w:r>
      <w:r>
        <w:t xml:space="preserve">21.2 kDa conversion was correct. This confirms the</w:t>
      </w:r>
      <w:r>
        <w:t xml:space="preserve"> </w:t>
      </w:r>
      <w:r>
        <w:rPr>
          <w:i/>
          <w:iCs/>
        </w:rPr>
        <w:t xml:space="preserve">unit conversion</w:t>
      </w:r>
      <w:r>
        <w:t xml:space="preserve"> </w:t>
      </w:r>
      <w:r>
        <w:t xml:space="preserve">was</w:t>
      </w:r>
      <w:r>
        <w:t xml:space="preserve"> </w:t>
      </w:r>
      <w:r>
        <w:t xml:space="preserve">right; it does not bear on the separate, larger data-quality concern (S1.1)</w:t>
      </w:r>
      <w:r>
        <w:t xml:space="preserve"> </w:t>
      </w:r>
      <w:r>
        <w:t xml:space="preserve">that led us to withdraw the round entirely. We preserve this note in case a</w:t>
      </w:r>
      <w:r>
        <w:t xml:space="preserve"> </w:t>
      </w:r>
      <w:r>
        <w:t xml:space="preserve">future Tanzania round needs the same RBP-unit check.</w:t>
      </w:r>
    </w:p>
    <w:bookmarkEnd w:id="28"/>
    <w:bookmarkStart w:id="29" w:name="s4.2-inflammation-adjustment"/>
    <w:p>
      <w:pPr>
        <w:pStyle w:val="Heading2"/>
      </w:pPr>
      <w:r>
        <w:t xml:space="preserve">4.2 S4.2 Inflammation adjustment</w:t>
      </w:r>
    </w:p>
    <w:p>
      <w:pPr>
        <w:pStyle w:val="FirstParagraph"/>
      </w:pPr>
      <w:r>
        <w:t xml:space="preserve">Ferritin (and, to a lesser extent, retinol-binding protein) rises with acute and</w:t>
      </w:r>
      <w:r>
        <w:t xml:space="preserve"> </w:t>
      </w:r>
      <w:r>
        <w:t xml:space="preserve">chronic inflammation, so unadjusted values understate iron deficiency in</w:t>
      </w:r>
      <w:r>
        <w:t xml:space="preserve"> </w:t>
      </w:r>
      <w:r>
        <w:t xml:space="preserve">high-infection settings. Where the acute-phase proteins C-reactive protein and</w:t>
      </w:r>
      <w:r>
        <w:t xml:space="preserve"> </w:t>
      </w:r>
      <w:r>
        <w:t xml:space="preserve">alpha-1-acid glycoprotein were measured, ferritin is corrected using the BRINDA</w:t>
      </w:r>
      <w:r>
        <w:t xml:space="preserve"> </w:t>
      </w:r>
      <w:r>
        <w:t xml:space="preserve">regression approach (or the Thurnham correction-factor approach, depending on</w:t>
      </w:r>
      <w:r>
        <w:t xml:space="preserve"> </w:t>
      </w:r>
      <w:r>
        <w:t xml:space="preserve">the country’s original processing) before the deficiency cut-point is applied.</w:t>
      </w:r>
      <w:r>
        <w:t xml:space="preserve"> </w:t>
      </w:r>
      <w:r>
        <w:t xml:space="preserve">Country-specific details of which adjustment was applied to which biomarker are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docs/data_sources_appendix.qmd</w:t>
      </w:r>
      <w:r>
        <w:t xml:space="preserve">. A practical consequence is that</w:t>
      </w:r>
      <w:r>
        <w:t xml:space="preserve"> </w:t>
      </w:r>
      <w:r>
        <w:t xml:space="preserve">the iron-deficiency definition is not perfectly identical across countries, which</w:t>
      </w:r>
      <w:r>
        <w:t xml:space="preserve"> </w:t>
      </w:r>
      <w:r>
        <w:t xml:space="preserve">contributes to the between-country differences in absolute prevalence and is one</w:t>
      </w:r>
      <w:r>
        <w:t xml:space="preserve"> </w:t>
      </w:r>
      <w:r>
        <w:t xml:space="preserve">reason transport of absolute levels is unreliable.</w:t>
      </w:r>
    </w:p>
    <w:bookmarkEnd w:id="29"/>
    <w:bookmarkEnd w:id="30"/>
    <w:bookmarkStart w:id="39" w:name="s5.-modelling-methods"/>
    <w:p>
      <w:pPr>
        <w:pStyle w:val="Heading1"/>
      </w:pPr>
      <w:r>
        <w:t xml:space="preserve">5. S5. Modelling methods</w:t>
      </w:r>
    </w:p>
    <w:bookmarkStart w:id="32" w:name="s5.1-estimation-strategies-compared"/>
    <w:p>
      <w:pPr>
        <w:pStyle w:val="Heading2"/>
      </w:pPr>
      <w:r>
        <w:t xml:space="preserve">5.1 S5.1 Estimation strategies compared</w:t>
      </w:r>
    </w:p>
    <w:p>
      <w:pPr>
        <w:pStyle w:val="FirstParagraph"/>
      </w:pPr>
      <w:r>
        <w:t xml:space="preserve">Table S1 lists every estimation strategy, its loss function, and its</w:t>
      </w:r>
      <w:r>
        <w:t xml:space="preserve"> </w:t>
      </w:r>
      <w:r>
        <w:t xml:space="preserve">implementation. The strategies fall into the area-level small-area-estimation</w:t>
      </w:r>
      <w:r>
        <w:t xml:space="preserve"> </w:t>
      </w:r>
      <w:r>
        <w:t xml:space="preserve">family (the primary analysis) and the individual-level SuperLearner aggregated to</w:t>
      </w:r>
      <w:r>
        <w:t xml:space="preserve"> </w:t>
      </w:r>
      <w:r>
        <w:t xml:space="preserve">admin-2 (a sensitivity analysis), plus frequentist, Bayesian, and</w:t>
      </w:r>
      <w:r>
        <w:t xml:space="preserve"> </w:t>
      </w:r>
      <w:r>
        <w:t xml:space="preserve">transportability-aware comparators.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1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Table S1. Estimation strategies compared, with loss functions and implementations.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30"/>
              <w:gridCol w:w="1548"/>
              <w:gridCol w:w="45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Strategy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Implementation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Individual SuperLearner (aggregated to admin-2)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NLL (binary) / MSE (continuous)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mlr3superlearner (5 learners fast mode / 12 full mode, + class-weighted variants for rare outcomes), survey-weighted aggregation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Area-level SuperLearner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MSE on prevalence (and NLL variant)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mlr3superlearner on admin-2 aggregates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 / elastic-net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MSE (weighted by survey 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 / cv.glmnet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Fay–Herriot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Gaussian likelihood + sampling variance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sae::eblupFH (REML)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BYM2 (INLA)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Binomial / Gaussian (survey-n weighted)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R-INLA, PC priors (Riebler 2016)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Mixed model (random country intercept)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REML, weights = survey 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lme4::lmer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Two-stage (country mean + within-country deviation)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MSE stage 1; weighted MSE stage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 country means; cv.glmnet on residuals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Forward selection with LOCO-CV criterion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MSE, weights = survey 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stepwise add, LOCO-r screen, max 6 vars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GAM (thin-plate spatial spline)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REML, weights = survey 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mgcv::gam, thin-plate spline on centroids, k = 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Group-lasso by data source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Grouped L2, weights = survey 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gglasso, groups by data-source prefix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Stacked LOCO ensemble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Inherits from base methods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NNLS stack over base methods, country-disjoint 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Quasi-binomial logit GLM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Quasi-binomial deviance, weights = survey 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glm(quasibinomial, logit)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Quantile (median) 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L1 (median), weights = survey 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quantreg::rq at tau = 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 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 likelihood (mean +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betareg (logit link)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DAG-based variable selection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MSE on DAG adjustment 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 adjustment sets, then OLS</w:t>
                  </w:r>
                </w:p>
              </w:tc>
            </w:tr>
          </w:tbl>
          <w:bookmarkEnd w:id="31"/>
          <w:p/>
        </w:tc>
      </w:tr>
    </w:tbl>
    <w:bookmarkEnd w:id="32"/>
    <w:bookmarkStart w:id="33" w:name="s5.2-individual-level-superlearner"/>
    <w:p>
      <w:pPr>
        <w:pStyle w:val="Heading2"/>
      </w:pPr>
      <w:r>
        <w:t xml:space="preserve">5.2 S5.2 Individual-level SuperLearner</w:t>
      </w:r>
    </w:p>
    <w:p>
      <w:pPr>
        <w:pStyle w:val="FirstParagraph"/>
      </w:pPr>
      <w:r>
        <w:t xml:space="preserve">The individual-level SuperLearner is run in one of two modes with a shared</w:t>
      </w:r>
      <w:r>
        <w:t xml:space="preserve"> </w:t>
      </w:r>
      <w:r>
        <w:t xml:space="preserve">implementation (</w:t>
      </w:r>
      <w:r>
        <w:rPr>
          <w:rStyle w:val="VerbatimChar"/>
        </w:rPr>
        <w:t xml:space="preserve">R/sensitivity/mlr3_fitting.R</w:t>
      </w:r>
      <w:r>
        <w:t xml:space="preserve">), so the learner count is</w:t>
      </w:r>
      <w:r>
        <w:t xml:space="preserve"> </w:t>
      </w:r>
      <w:r>
        <w:t xml:space="preserve">derived from the library specification at fit time rather than hard-coded.</w:t>
      </w:r>
      <w:r>
        <w:t xml:space="preserve"> </w:t>
      </w:r>
      <w:r>
        <w:rPr>
          <w:b/>
          <w:bCs/>
        </w:rPr>
        <w:t xml:space="preserve">Fast mode</w:t>
      </w:r>
      <w:r>
        <w:t xml:space="preserve"> </w:t>
      </w:r>
      <w:r>
        <w:t xml:space="preserve">(beta-testing / iteration) uses 5 base learners: a mean</w:t>
      </w:r>
      <w:r>
        <w:t xml:space="preserve"> </w:t>
      </w:r>
      <w:r>
        <w:t xml:space="preserve">(intercept) learner, penalised lasso and elastic-net (glmnet), a ranger</w:t>
      </w:r>
      <w:r>
        <w:t xml:space="preserve"> </w:t>
      </w:r>
      <w:r>
        <w:t xml:space="preserve">random forest, and gradient-boosted trees (XGBoost).</w:t>
      </w:r>
      <w:r>
        <w:t xml:space="preserve"> </w:t>
      </w:r>
      <w:r>
        <w:rPr>
          <w:b/>
          <w:bCs/>
        </w:rPr>
        <w:t xml:space="preserve">Full mode</w:t>
      </w:r>
      <w:r>
        <w:t xml:space="preserve"> </w:t>
      </w:r>
      <w:r>
        <w:t xml:space="preserve">(publication analysis) uses 12: the fast-mode set plus a ridge penalty</w:t>
      </w:r>
      <w:r>
        <w:t xml:space="preserve"> </w:t>
      </w:r>
      <w:r>
        <w:t xml:space="preserve">(glmnet, alpha = 0), two additional ranger configurations (</w:t>
      </w:r>
      <w:r>
        <w:rPr>
          <w:rStyle w:val="VerbatimChar"/>
        </w:rPr>
        <w:t xml:space="preserve">ranger_low_mtry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ranger_deep</w:t>
      </w:r>
      <w:r>
        <w:t xml:space="preserve">, num.trees = 1000), a deeper XGBoost (</w:t>
      </w:r>
      <w:r>
        <w:rPr>
          <w:rStyle w:val="VerbatimChar"/>
        </w:rPr>
        <w:t xml:space="preserve">xgb_deep</w:t>
      </w:r>
      <w:r>
        <w:t xml:space="preserve">), and three</w:t>
      </w:r>
      <w:r>
        <w:t xml:space="preserve"> </w:t>
      </w:r>
      <w:r>
        <w:t xml:space="preserve">Bayesian Additive Regression Trees (BART) learners at increasing tree counts</w:t>
      </w:r>
      <w:r>
        <w:t xml:space="preserve"> </w:t>
      </w:r>
      <w:r>
        <w:t xml:space="preserve">(50, 100, and 200 trees) — BART is the learner that holds up on the rarest</w:t>
      </w:r>
      <w:r>
        <w:t xml:space="preserve"> </w:t>
      </w:r>
      <w:r>
        <w:t xml:space="preserve">outcomes (women’s vitamin A and B12, at 1 to 3% prevalence), where the other</w:t>
      </w:r>
      <w:r>
        <w:t xml:space="preserve"> </w:t>
      </w:r>
      <w:r>
        <w:t xml:space="preserve">learners collapse toward the mean. A Gaussian process (</w:t>
      </w:r>
      <w:r>
        <w:rPr>
          <w:rStyle w:val="VerbatimChar"/>
        </w:rPr>
        <w:t xml:space="preserve">kernlab::gausspr</w:t>
      </w:r>
      <w:r>
        <w:t xml:space="preserve">)</w:t>
      </w:r>
      <w:r>
        <w:t xml:space="preserve"> </w:t>
      </w:r>
      <w:r>
        <w:t xml:space="preserve">was evaluated as a 13th full-mode learner but is not included in either</w:t>
      </w:r>
      <w:r>
        <w:t xml:space="preserve"> </w:t>
      </w:r>
      <w:r>
        <w:t xml:space="preserve">mode as of the 2026-08 rebuild: a controlled sensitivity check refitting</w:t>
      </w:r>
      <w:r>
        <w:t xml:space="preserve"> </w:t>
      </w:r>
      <w:r>
        <w:t xml:space="preserve">Ghana child iron with and without it in the candidate library found it</w:t>
      </w:r>
      <w:r>
        <w:t xml:space="preserve"> </w:t>
      </w:r>
      <w:r>
        <w:t xml:space="preserve">received effectively zero ensemble weight (identical binary AUC to 16</w:t>
      </w:r>
      <w:r>
        <w:t xml:space="preserve"> </w:t>
      </w:r>
      <w:r>
        <w:t xml:space="preserve">decimal places) while being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in rows — costly enough that it made</w:t>
      </w:r>
      <w:r>
        <w:t xml:space="preserve"> </w:t>
      </w:r>
      <w:r>
        <w:t xml:space="preserve">the largest pooled LOCO fits (10,011 and 13,107 rows) impractical to</w:t>
      </w:r>
      <w:r>
        <w:t xml:space="preserve"> </w:t>
      </w:r>
      <w:r>
        <w:t xml:space="preserve">complete (main text Results). For binary outcomes with prevalence below</w:t>
      </w:r>
      <w:r>
        <w:t xml:space="preserve"> </w:t>
      </w:r>
      <w:r>
        <w:t xml:space="preserve">15%, a class-weighted XGBoost and a class-weighted ranger are appended to</w:t>
      </w:r>
      <w:r>
        <w:t xml:space="preserve"> </w:t>
      </w:r>
      <w:r>
        <w:t xml:space="preserve">the candidate library at fit time in both modes, so a rare outcome carries</w:t>
      </w:r>
      <w:r>
        <w:t xml:space="preserve"> </w:t>
      </w:r>
      <w:r>
        <w:t xml:space="preserve">7 learners in fast mode and 15 in full mode; this augmentation is a property</w:t>
      </w:r>
      <w:r>
        <w:t xml:space="preserve"> </w:t>
      </w:r>
      <w:r>
        <w:t xml:space="preserve">of the outcome’s prevalence, not of the mode setting. Cross-validation folds</w:t>
      </w:r>
      <w:r>
        <w:t xml:space="preserve"> </w:t>
      </w:r>
      <w:r>
        <w:t xml:space="preserve">are formed at the survey-cluster (primary sampling unit) level so that</w:t>
      </w:r>
      <w:r>
        <w:t xml:space="preserve"> </w:t>
      </w:r>
      <w:r>
        <w:t xml:space="preserve">individuals in the same cluster are never split across folds. To produce an</w:t>
      </w:r>
      <w:r>
        <w:t xml:space="preserve"> </w:t>
      </w:r>
      <w:r>
        <w:t xml:space="preserve">admin-2 map, person-level predictions are averaged within each district</w:t>
      </w:r>
      <w:r>
        <w:t xml:space="preserve"> </w:t>
      </w:r>
      <w:r>
        <w:t xml:space="preserve">using survey weights.</w:t>
      </w:r>
    </w:p>
    <w:bookmarkEnd w:id="33"/>
    <w:bookmarkStart w:id="34" w:name="s5.3-area-level-superlearner"/>
    <w:p>
      <w:pPr>
        <w:pStyle w:val="Heading2"/>
      </w:pPr>
      <w:r>
        <w:t xml:space="preserve">5.3 S5.3 Area-level SuperLearner</w:t>
      </w:r>
    </w:p>
    <w:p>
      <w:pPr>
        <w:pStyle w:val="FirstParagraph"/>
      </w:pPr>
      <w:r>
        <w:t xml:space="preserve">The area-level SuperLearner repeats the ensemble fit with the admin-2 polygon as</w:t>
      </w:r>
      <w:r>
        <w:t xml:space="preserve"> </w:t>
      </w:r>
      <w:r>
        <w:t xml:space="preserve">the unit of analysis: one row per district, the target being survey-weighted</w:t>
      </w:r>
      <w:r>
        <w:t xml:space="preserve"> </w:t>
      </w:r>
      <w:r>
        <w:t xml:space="preserve">district prevalence and the predictors being the polygon-aggregated covariates.</w:t>
      </w:r>
      <w:r>
        <w:t xml:space="preserve"> </w:t>
      </w:r>
      <w:r>
        <w:t xml:space="preserve">Both a mean-squared-error loss and an approximate negative-log-likelihood loss</w:t>
      </w:r>
      <w:r>
        <w:t xml:space="preserve"> </w:t>
      </w:r>
      <w:r>
        <w:t xml:space="preserve">were evaluated. Because the covariates are resolved at the district level, the</w:t>
      </w:r>
      <w:r>
        <w:t xml:space="preserve"> </w:t>
      </w:r>
      <w:r>
        <w:t xml:space="preserve">effective sample size for this fit is the number of polygons (14 to 90 per</w:t>
      </w:r>
      <w:r>
        <w:t xml:space="preserve"> </w:t>
      </w:r>
      <w:r>
        <w:t xml:space="preserve">country), which is the source of the area-level overfitting reported in the main</w:t>
      </w:r>
      <w:r>
        <w:t xml:space="preserve"> </w:t>
      </w:r>
      <w:r>
        <w:t xml:space="preserve">text. Two uninformed baselines — a national-mean null and a covariate-free</w:t>
      </w:r>
      <w:r>
        <w:t xml:space="preserve"> </w:t>
      </w:r>
      <w:r>
        <w:t xml:space="preserve">spatial-only smoother on admin-2 centroid coordinates — were added to this</w:t>
      </w:r>
      <w:r>
        <w:t xml:space="preserve"> </w:t>
      </w:r>
      <w:r>
        <w:t xml:space="preserve">comparison in the 2026-08 methods review (S8) so that</w:t>
      </w:r>
      <w:r>
        <w:t xml:space="preserve"> </w:t>
      </w:r>
      <w:r>
        <w:t xml:space="preserve">“better than the</w:t>
      </w:r>
      <w:r>
        <w:t xml:space="preserve"> </w:t>
      </w:r>
      <w:r>
        <w:t xml:space="preserve">alternatives”</w:t>
      </w:r>
      <w:r>
        <w:t xml:space="preserve"> </w:t>
      </w:r>
      <w:r>
        <w:t xml:space="preserve">could be distinguished from</w:t>
      </w:r>
      <w:r>
        <w:t xml:space="preserve"> </w:t>
      </w:r>
      <w:r>
        <w:t xml:space="preserve">“better than doing nothing”</w:t>
      </w:r>
      <w:r>
        <w:t xml:space="preserve">; neither</w:t>
      </w:r>
      <w:r>
        <w:t xml:space="preserve"> </w:t>
      </w:r>
      <w:r>
        <w:t xml:space="preserve">area-level SuperLearner loss variant clears the national-mean null on median</w:t>
      </w:r>
      <w:r>
        <w:t xml:space="preserve"> </w:t>
      </w:r>
      <w:r>
        <w:t xml:space="preserve">MAE (main text Results).</w:t>
      </w:r>
    </w:p>
    <w:bookmarkEnd w:id="34"/>
    <w:bookmarkStart w:id="35" w:name="s5.4-frequentist-baselines"/>
    <w:p>
      <w:pPr>
        <w:pStyle w:val="Heading2"/>
      </w:pPr>
      <w:r>
        <w:t xml:space="preserve">5.4 S5.4 Frequentist baselines</w:t>
      </w:r>
    </w:p>
    <w:p>
      <w:pPr>
        <w:pStyle w:val="FirstParagraph"/>
      </w:pPr>
      <w:r>
        <w:t xml:space="preserve">Ordinary least squares using up to eight top-correlated covariates (capped to</w:t>
      </w:r>
      <w:r>
        <w:t xml:space="preserve"> </w:t>
      </w:r>
      <w:r>
        <w:t xml:space="preserve">avoid rank deficiency on small training sets) and a 10-fold cross-validated</w:t>
      </w:r>
      <w:r>
        <w:t xml:space="preserve"> </w:t>
      </w:r>
      <w:r>
        <w:t xml:space="preserve">elastic-net (alpha 0.5, with a ridge fallback for very small samples). Each was</w:t>
      </w:r>
      <w:r>
        <w:t xml:space="preserve"> </w:t>
      </w:r>
      <w:r>
        <w:t xml:space="preserve">evaluated on both the raw prevalence scale and the logit scale with</w:t>
      </w:r>
      <w:r>
        <w:t xml:space="preserve"> </w:t>
      </w:r>
      <w:r>
        <w:t xml:space="preserve">back-transformation. A country-mean predictor is included as a floor.</w:t>
      </w:r>
    </w:p>
    <w:bookmarkEnd w:id="35"/>
    <w:bookmarkStart w:id="36" w:name="s5.5-bayesian-small-area-models"/>
    <w:p>
      <w:pPr>
        <w:pStyle w:val="Heading2"/>
      </w:pPr>
      <w:r>
        <w:t xml:space="preserve">5.5 S5.5 Bayesian small-area models</w:t>
      </w:r>
    </w:p>
    <w:p>
      <w:pPr>
        <w:pStyle w:val="FirstParagraph"/>
      </w:pPr>
      <w:r>
        <w:t xml:space="preserve">The Fay–Herriot area-level model uses auxiliary covariates and known</w:t>
      </w:r>
      <w:r>
        <w:t xml:space="preserve"> </w:t>
      </w:r>
      <w:r>
        <w:t xml:space="preserve">sampling variances derived from survey-weighted prevalence and effective sample</w:t>
      </w:r>
      <w:r>
        <w:t xml:space="preserve"> </w:t>
      </w:r>
      <w:r>
        <w:t xml:space="preserve">size. The BYM2 model is a Besag–York–Mollié disease-mapping model with</w:t>
      </w:r>
      <w:r>
        <w:t xml:space="preserve"> </w:t>
      </w:r>
      <w:r>
        <w:t xml:space="preserve">penalised-complexity priors, fit by integrated nested Laplace approximation.</w:t>
      </w:r>
      <w:r>
        <w:t xml:space="preserve"> </w:t>
      </w:r>
      <w:r>
        <w:t xml:space="preserve">Admin-2 adjacency is built from GADM polygons by Queen’s contiguity; for</w:t>
      </w:r>
      <w:r>
        <w:t xml:space="preserve"> </w:t>
      </w:r>
      <w:r>
        <w:t xml:space="preserve">leave-one-country-out evaluation the adjacency graph is block-diagonal across</w:t>
      </w:r>
      <w:r>
        <w:t xml:space="preserve"> </w:t>
      </w:r>
      <w:r>
        <w:t xml:space="preserve">training countries (no edges to the held-out country), and held-out districts</w:t>
      </w:r>
      <w:r>
        <w:t xml:space="preserve"> </w:t>
      </w:r>
      <w:r>
        <w:t xml:space="preserve">receive predictions from the covariate (fixed-effect) component only.</w:t>
      </w:r>
    </w:p>
    <w:bookmarkEnd w:id="36"/>
    <w:bookmarkStart w:id="37" w:name="s5.6-transportability-aware-comparators"/>
    <w:p>
      <w:pPr>
        <w:pStyle w:val="Heading2"/>
      </w:pPr>
      <w:r>
        <w:t xml:space="preserve">5.6 S5.6 Transportability-aware comparators</w:t>
      </w:r>
    </w:p>
    <w:p>
      <w:pPr>
        <w:pStyle w:val="FirstParagraph"/>
      </w:pPr>
      <w:r>
        <w:t xml:space="preserve">Several comparators target cross-country transport directly: a country</w:t>
      </w:r>
      <w:r>
        <w:t xml:space="preserve"> </w:t>
      </w:r>
      <w:r>
        <w:t xml:space="preserve">random-intercept mixed model whose held-out predictions use the marginal mean</w:t>
      </w:r>
      <w:r>
        <w:t xml:space="preserve"> </w:t>
      </w:r>
      <w:r>
        <w:t xml:space="preserve">(random effect set to zero, so transport depends only on covariate slopes); a</w:t>
      </w:r>
      <w:r>
        <w:t xml:space="preserve"> </w:t>
      </w:r>
      <w:r>
        <w:t xml:space="preserve">two-stage model that predicts a country-level mean from country-aggregated</w:t>
      </w:r>
      <w:r>
        <w:t xml:space="preserve"> </w:t>
      </w:r>
      <w:r>
        <w:t xml:space="preserve">covariates and adds a within-country deviation from centred area covariates; a</w:t>
      </w:r>
      <w:r>
        <w:t xml:space="preserve"> </w:t>
      </w:r>
      <w:r>
        <w:t xml:space="preserve">forward variable-selection model that chooses variables to maximise the average</w:t>
      </w:r>
      <w:r>
        <w:t xml:space="preserve"> </w:t>
      </w:r>
      <w:r>
        <w:t xml:space="preserve">correlation across leave-one-training-country-out splits; a thin-plate spatial</w:t>
      </w:r>
      <w:r>
        <w:t xml:space="preserve"> </w:t>
      </w:r>
      <w:r>
        <w:t xml:space="preserve">GAM on polygon centroids; a group-lasso that selects whole data-source domains;</w:t>
      </w:r>
      <w:r>
        <w:t xml:space="preserve"> </w:t>
      </w:r>
      <w:r>
        <w:t xml:space="preserve">and a stacked ensemble whose non-negative weights are estimated on</w:t>
      </w:r>
      <w:r>
        <w:t xml:space="preserve"> </w:t>
      </w:r>
      <w:r>
        <w:t xml:space="preserve">country-disjoint folds so the stack does not overfit within-training-country</w:t>
      </w:r>
      <w:r>
        <w:t xml:space="preserve"> </w:t>
      </w:r>
      <w:r>
        <w:t xml:space="preserve">structure.</w:t>
      </w:r>
    </w:p>
    <w:bookmarkEnd w:id="37"/>
    <w:bookmarkStart w:id="38" w:name="X23f383ceabb6ff03c896dc2ebcd9c6469dc863d"/>
    <w:p>
      <w:pPr>
        <w:pStyle w:val="Heading2"/>
      </w:pPr>
      <w:r>
        <w:t xml:space="preserve">5.7 S5.7 Post-hoc calibration, feature augmentation, and intervals</w:t>
      </w:r>
    </w:p>
    <w:p>
      <w:pPr>
        <w:pStyle w:val="FirstParagraph"/>
      </w:pPr>
      <w:r>
        <w:t xml:space="preserve">Binary classifier probabilities were recalibrated with Platt logistic</w:t>
      </w:r>
      <w:r>
        <w:t xml:space="preserve"> </w:t>
      </w:r>
      <w:r>
        <w:t xml:space="preserve">recalibration; in the corrected analysis of record this is done out-of-fold</w:t>
      </w:r>
      <w:r>
        <w:t xml:space="preserve"> </w:t>
      </w:r>
      <w:r>
        <w:t xml:space="preserve">(S6). Outcome-aware feature augmentation added a small number of</w:t>
      </w:r>
      <w:r>
        <w:t xml:space="preserve"> </w:t>
      </w:r>
      <w:r>
        <w:t xml:space="preserve">biologically motivated interaction terms before transport fitting (for example</w:t>
      </w:r>
      <w:r>
        <w:t xml:space="preserve"> </w:t>
      </w:r>
      <w:r>
        <w:t xml:space="preserve">bed-net coverage by cereal share for iron, vegetation by livelihood density for</w:t>
      </w:r>
      <w:r>
        <w:t xml:space="preserve"> </w:t>
      </w:r>
      <w:r>
        <w:t xml:space="preserve">vitamin A, soil zinc by staple-crop yield for zinc, livestock density by</w:t>
      </w:r>
      <w:r>
        <w:t xml:space="preserve"> </w:t>
      </w:r>
      <w:r>
        <w:t xml:space="preserve">accessibility for B12 and folate); each interaction passed through the same</w:t>
      </w:r>
      <w:r>
        <w:t xml:space="preserve"> </w:t>
      </w:r>
      <w:r>
        <w:t xml:space="preserve">screening as the base covariates. Uncertainty on the transport correlation point</w:t>
      </w:r>
      <w:r>
        <w:t xml:space="preserve"> </w:t>
      </w:r>
      <w:r>
        <w:t xml:space="preserve">estimates was characterised by resampling admin-2 polygons within each held-out</w:t>
      </w:r>
      <w:r>
        <w:t xml:space="preserve"> </w:t>
      </w:r>
      <w:r>
        <w:t xml:space="preserve">country with replacement (500 bootstrap replicates).</w:t>
      </w:r>
    </w:p>
    <w:bookmarkEnd w:id="38"/>
    <w:bookmarkEnd w:id="39"/>
    <w:bookmarkStart w:id="40" w:name="X5108bd66f44b99827f14ff64625c11495c9c30f"/>
    <w:p>
      <w:pPr>
        <w:pStyle w:val="Heading1"/>
      </w:pPr>
      <w:r>
        <w:t xml:space="preserve">6. S6. The corrected (P1–P8) methods: the analysis of record</w:t>
      </w:r>
    </w:p>
    <w:p>
      <w:pPr>
        <w:pStyle w:val="FirstParagraph"/>
      </w:pPr>
      <w:r>
        <w:t xml:space="preserve">Initial benchmarking showed that an analysis at this scale can overstate its own</w:t>
      </w:r>
      <w:r>
        <w:t xml:space="preserve"> </w:t>
      </w:r>
      <w:r>
        <w:t xml:space="preserve">performance through subtle leakage and optimistic evaluation. The corrected</w:t>
      </w:r>
      <w:r>
        <w:t xml:space="preserve"> </w:t>
      </w:r>
      <w:r>
        <w:t xml:space="preserve">methods below address eight such issues and are the analysis of record; the</w:t>
      </w:r>
      <w:r>
        <w:t xml:space="preserve"> </w:t>
      </w:r>
      <w:r>
        <w:t xml:space="preserve">original pipeline outputs are retained as a sensitivity comparison. They are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R/corrected/</w:t>
      </w:r>
      <w:r>
        <w:t xml:space="preserve"> </w:t>
      </w:r>
      <w:r>
        <w:t xml:space="preserve">within the single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 and consume</w:t>
      </w:r>
      <w:r>
        <w:t xml:space="preserve"> </w:t>
      </w:r>
      <w:r>
        <w:t xml:space="preserve">the same per-slice data the main pipeline builds.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P1. Leakage-free fitting and honest cross-validation.</w:t>
      </w:r>
      <w:r>
        <w:t xml:space="preserve"> </w:t>
      </w:r>
      <w:r>
        <w:t xml:space="preserve">All preprocessing</w:t>
      </w:r>
      <w:r>
        <w:t xml:space="preserve"> </w:t>
      </w:r>
      <w:r>
        <w:t xml:space="preserve">(screening, correlation filtering, standardisation, imputation) is performed</w:t>
      </w:r>
      <w:r>
        <w:t xml:space="preserve"> </w:t>
      </w:r>
      <w:r>
        <w:t xml:space="preserve">inside each training fold only. Folds are formed by survey cluster and,</w:t>
      </w:r>
      <w:r>
        <w:t xml:space="preserve"> </w:t>
      </w:r>
      <w:r>
        <w:t xml:space="preserve">separately, by spatial region, so spatially autocorrelated information cannot</w:t>
      </w:r>
      <w:r>
        <w:t xml:space="preserve"> </w:t>
      </w:r>
      <w:r>
        <w:t xml:space="preserve">leak from held-out areas. An optimistic scheme (random folds with full-data</w:t>
      </w:r>
      <w:r>
        <w:t xml:space="preserve"> </w:t>
      </w:r>
      <w:r>
        <w:t xml:space="preserve">preprocessing) is fit alongside purely for comparison, which quantifies the</w:t>
      </w:r>
      <w:r>
        <w:t xml:space="preserve"> </w:t>
      </w:r>
      <w:r>
        <w:t xml:space="preserve">optimism of the original design.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P2. Out-of-fold calibration.</w:t>
      </w:r>
      <w:r>
        <w:t xml:space="preserve"> </w:t>
      </w:r>
      <w:r>
        <w:t xml:space="preserve">Platt recalibration parameters are estimated</w:t>
      </w:r>
      <w:r>
        <w:t xml:space="preserve"> </w:t>
      </w:r>
      <w:r>
        <w:t xml:space="preserve">on training folds and applied to held-out folds, rather than fit in-sample. The</w:t>
      </w:r>
      <w:r>
        <w:t xml:space="preserve"> </w:t>
      </w:r>
      <w:r>
        <w:t xml:space="preserve">in-sample calibration (slope forced toward 1) is reported only as the</w:t>
      </w:r>
      <w:r>
        <w:t xml:space="preserve"> </w:t>
      </w:r>
      <w:r>
        <w:t xml:space="preserve">optimistic reference.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P3. Decision-value targeting.</w:t>
      </w:r>
      <w:r>
        <w:t xml:space="preserve"> </w:t>
      </w:r>
      <w:r>
        <w:t xml:space="preserve">Predictions are scored on the operational</w:t>
      </w:r>
      <w:r>
        <w:t xml:space="preserve"> </w:t>
      </w:r>
      <w:r>
        <w:t xml:space="preserve">task of ranking districts: the share of true burden captured by the top 20% of</w:t>
      </w:r>
      <w:r>
        <w:t xml:space="preserve"> </w:t>
      </w:r>
      <w:r>
        <w:t xml:space="preserve">districts ranked by predicted prevalence (reach), the lift of that reach over</w:t>
      </w:r>
      <w:r>
        <w:t xml:space="preserve"> </w:t>
      </w:r>
      <w:r>
        <w:t xml:space="preserve">untargeted allocation, and the hit-rate of the predicted top-20% against the</w:t>
      </w:r>
      <w:r>
        <w:t xml:space="preserve"> </w:t>
      </w:r>
      <w:r>
        <w:t xml:space="preserve">true top-20%.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P4. Honest prediction intervals.</w:t>
      </w:r>
      <w:r>
        <w:t xml:space="preserve"> </w:t>
      </w:r>
      <w:r>
        <w:t xml:space="preserve">Each district receives a split-conformal</w:t>
      </w:r>
      <w:r>
        <w:t xml:space="preserve"> </w:t>
      </w:r>
      <w:r>
        <w:t xml:space="preserve">prediction interval (calibration residuals from a held-out half), with the</w:t>
      </w:r>
      <w:r>
        <w:t xml:space="preserve"> </w:t>
      </w:r>
      <w:r>
        <w:t xml:space="preserve">finite-sample correction clamped so the conformal level is valid for small</w:t>
      </w:r>
      <w:r>
        <w:t xml:space="preserve"> </w:t>
      </w:r>
      <w:r>
        <w:t xml:space="preserve">calibration sets, plus a design-based survey interval where available.</w:t>
      </w:r>
      <w:r>
        <w:t xml:space="preserve"> </w:t>
      </w:r>
      <w:r>
        <w:t xml:space="preserve">Empirical held-out coverage is reported against the nominal level.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P5. Sampling-error-aware error.</w:t>
      </w:r>
      <w:r>
        <w:t xml:space="preserve"> </w:t>
      </w:r>
      <w:r>
        <w:t xml:space="preserve">District-level prediction error is</w:t>
      </w:r>
      <w:r>
        <w:t xml:space="preserve"> </w:t>
      </w:r>
      <w:r>
        <w:t xml:space="preserve">decomposed into a survey-sampling component (what survey noise alone would</w:t>
      </w:r>
      <w:r>
        <w:t xml:space="preserve"> </w:t>
      </w:r>
      <w:r>
        <w:t xml:space="preserve">produce) and a model component, so the honest model error (sampling-adjusted</w:t>
      </w:r>
      <w:r>
        <w:t xml:space="preserve"> </w:t>
      </w:r>
      <w:r>
        <w:t xml:space="preserve">RMSE) is separated from irreducible survey noise.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P6. Out-of-support trust flags.</w:t>
      </w:r>
      <w:r>
        <w:t xml:space="preserve"> </w:t>
      </w:r>
      <w:r>
        <w:t xml:space="preserve">Each district is flagged on three criteria:</w:t>
      </w:r>
      <w:r>
        <w:t xml:space="preserve"> </w:t>
      </w:r>
      <w:r>
        <w:t xml:space="preserve">whether its covariates fall outside the range spanned by the surveyed</w:t>
      </w:r>
      <w:r>
        <w:t xml:space="preserve"> </w:t>
      </w:r>
      <w:r>
        <w:t xml:space="preserve">(training) districts (out-of-support distance), small survey sample, and a wide</w:t>
      </w:r>
      <w:r>
        <w:t xml:space="preserve"> </w:t>
      </w:r>
      <w:r>
        <w:t xml:space="preserve">prediction interval. The combined OK-to-use versus do-not-rely label drives the</w:t>
      </w:r>
      <w:r>
        <w:t xml:space="preserve"> </w:t>
      </w:r>
      <w:r>
        <w:t xml:space="preserve">dashboard’s certainty layer.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P7. Partial-pooling small-area estimator.</w:t>
      </w:r>
      <w:r>
        <w:t xml:space="preserve"> </w:t>
      </w:r>
      <w:r>
        <w:t xml:space="preserve">An empirical-Bayes estimator</w:t>
      </w:r>
      <w:r>
        <w:t xml:space="preserve"> </w:t>
      </w:r>
      <w:r>
        <w:t xml:space="preserve">shrinks each district’s direct survey estimate toward the covariate-model</w:t>
      </w:r>
      <w:r>
        <w:t xml:space="preserve"> </w:t>
      </w:r>
      <w:r>
        <w:t xml:space="preserve">prediction in proportion to its sampling uncertainty, giving stable estimates</w:t>
      </w:r>
      <w:r>
        <w:t xml:space="preserve"> </w:t>
      </w:r>
      <w:r>
        <w:t xml:space="preserve">for sparsely sampled districts.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P8. Join and centring bug fixes (by construction).</w:t>
      </w:r>
      <w:r>
        <w:t xml:space="preserve"> </w:t>
      </w:r>
      <w:r>
        <w:t xml:space="preserve">Every survey-to-area</w:t>
      </w:r>
      <w:r>
        <w:t xml:space="preserve"> </w:t>
      </w:r>
      <w:r>
        <w:t xml:space="preserve">join is keyed on (country, admin-2); all standardisation uses training</w:t>
      </w:r>
      <w:r>
        <w:t xml:space="preserve"> </w:t>
      </w:r>
      <w:r>
        <w:t xml:space="preserve">statistics only; and out-of-sample imputation uses training medians, never the</w:t>
      </w:r>
      <w:r>
        <w:t xml:space="preserve"> </w:t>
      </w:r>
      <w:r>
        <w:t xml:space="preserve">target rows’ own values.</w:t>
      </w:r>
    </w:p>
    <w:bookmarkEnd w:id="40"/>
    <w:bookmarkStart w:id="41" w:name="s7.-assessment-of-predictive-accuracy"/>
    <w:p>
      <w:pPr>
        <w:pStyle w:val="Heading1"/>
      </w:pPr>
      <w:r>
        <w:t xml:space="preserve">7. S7. Assessment of predictive accuracy</w:t>
      </w:r>
    </w:p>
    <w:p>
      <w:pPr>
        <w:pStyle w:val="FirstParagraph"/>
      </w:pPr>
      <w:r>
        <w:t xml:space="preserve">Two questions are evaluated.</w:t>
      </w:r>
      <w:r>
        <w:t xml:space="preserve"> </w:t>
      </w:r>
      <w:r>
        <w:rPr>
          <w:b/>
          <w:bCs/>
        </w:rPr>
        <w:t xml:space="preserve">Within-country</w:t>
      </w:r>
      <w:r>
        <w:t xml:space="preserve"> </w:t>
      </w:r>
      <w:r>
        <w:t xml:space="preserve">accuracy is estimated by 5-fold</w:t>
      </w:r>
      <w:r>
        <w:t xml:space="preserve"> </w:t>
      </w:r>
      <w:r>
        <w:t xml:space="preserve">cross-validation on each country’s admin-2 set (or by the honest cluster- and</w:t>
      </w:r>
      <w:r>
        <w:t xml:space="preserve"> </w:t>
      </w:r>
      <w:r>
        <w:t xml:space="preserve">spatial-block schemes of S6), with all metrics computed on the union of</w:t>
      </w:r>
      <w:r>
        <w:t xml:space="preserve"> </w:t>
      </w:r>
      <w:r>
        <w:t xml:space="preserve">out-of-fold predictions, never in-sample.</w:t>
      </w:r>
      <w:r>
        <w:t xml:space="preserve"> </w:t>
      </w:r>
      <w:r>
        <w:rPr>
          <w:b/>
          <w:bCs/>
        </w:rPr>
        <w:t xml:space="preserve">Cross-country transportability</w:t>
      </w:r>
      <w:r>
        <w:t xml:space="preserve"> </w:t>
      </w:r>
      <w:r>
        <w:t xml:space="preserve">is</w:t>
      </w:r>
      <w:r>
        <w:t xml:space="preserve"> </w:t>
      </w:r>
      <w:r>
        <w:t xml:space="preserve">assessed by leave-one-country-out holdout: the model is trained on three</w:t>
      </w:r>
      <w:r>
        <w:t xml:space="preserve"> </w:t>
      </w:r>
      <w:r>
        <w:t xml:space="preserve">countries’ districts and evaluated on the fourth, which contributed no data.</w:t>
      </w:r>
    </w:p>
    <w:p>
      <w:pPr>
        <w:pStyle w:val="BodyText"/>
      </w:pPr>
      <w:r>
        <w:t xml:space="preserve">Metrics. For the area-level prevalence task: Pearson and Spearman correlation</w:t>
      </w:r>
      <w:r>
        <w:t xml:space="preserve"> </w:t>
      </w:r>
      <w:r>
        <w:t xml:space="preserve">between predicted and observed district prevalence (spatial ranking), mean</w:t>
      </w:r>
      <w:r>
        <w:t xml:space="preserve"> </w:t>
      </w:r>
      <w:r>
        <w:t xml:space="preserve">absolute error and root-mean-squared error in percentage points (absolute</w:t>
      </w:r>
      <w:r>
        <w:t xml:space="preserve"> </w:t>
      </w:r>
      <w:r>
        <w:t xml:space="preserve">accuracy), mean bias in percentage points, and the calibration slope from a</w:t>
      </w:r>
      <w:r>
        <w:t xml:space="preserve"> </w:t>
      </w:r>
      <w:r>
        <w:t xml:space="preserve">regression of observed on predicted prevalence. For binary classifiers: area</w:t>
      </w:r>
      <w:r>
        <w:t xml:space="preserve"> </w:t>
      </w:r>
      <w:r>
        <w:t xml:space="preserve">under the ROC curve, Brier score and Brier skill score, expected and maximum</w:t>
      </w:r>
      <w:r>
        <w:t xml:space="preserve"> </w:t>
      </w:r>
      <w:r>
        <w:t xml:space="preserve">calibration error, and the calibration intercept and slope. The corrected</w:t>
      </w:r>
      <w:r>
        <w:t xml:space="preserve"> </w:t>
      </w:r>
      <w:r>
        <w:t xml:space="preserve">analysis adds the sampling-adjusted RMSE (S6 P5), split-conformal interval</w:t>
      </w:r>
      <w:r>
        <w:t xml:space="preserve"> </w:t>
      </w:r>
      <w:r>
        <w:t xml:space="preserve">coverage (P4), and the decision-value measures (P3). National prevalence</w:t>
      </w:r>
      <w:r>
        <w:t xml:space="preserve"> </w:t>
      </w:r>
      <w:r>
        <w:t xml:space="preserve">estimates are compared against survey-weighted national values.</w:t>
      </w:r>
    </w:p>
    <w:p>
      <w:pPr>
        <w:pStyle w:val="BodyText"/>
      </w:pPr>
      <w:r>
        <w:t xml:space="preserve">A central methodological point is that honest, out-of-fold evaluation is</w:t>
      </w:r>
      <w:r>
        <w:t xml:space="preserve"> </w:t>
      </w:r>
      <w:r>
        <w:t xml:space="preserve">materially less flattering than in-sample or random-fold evaluation, and that</w:t>
      </w:r>
      <w:r>
        <w:t xml:space="preserve"> </w:t>
      </w:r>
      <w:r>
        <w:t xml:space="preserve">within-country accuracy is a poor guide to cross-country transportability.</w:t>
      </w:r>
    </w:p>
    <w:bookmarkEnd w:id="41"/>
    <w:bookmarkStart w:id="42" w:name="s8.-sensitivity-analyses"/>
    <w:p>
      <w:pPr>
        <w:pStyle w:val="Heading1"/>
      </w:pPr>
      <w:r>
        <w:t xml:space="preserve">8. S8. Sensitivity analyses</w:t>
      </w:r>
    </w:p>
    <w:p>
      <w:pPr>
        <w:pStyle w:val="FirstParagraph"/>
      </w:pPr>
      <w:r>
        <w:t xml:space="preserve">The following analyses test the robustness of the main findings and are reported</w:t>
      </w:r>
      <w:r>
        <w:t xml:space="preserve"> </w:t>
      </w:r>
      <w:r>
        <w:t xml:space="preserve">as sensitivity analyses rather than headline results: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Individual-level versus area-level fitting.</w:t>
      </w:r>
      <w:r>
        <w:t xml:space="preserve"> </w:t>
      </w:r>
      <w:r>
        <w:t xml:space="preserve">The individual-level</w:t>
      </w:r>
      <w:r>
        <w:t xml:space="preserve"> </w:t>
      </w:r>
      <w:r>
        <w:t xml:space="preserve">SuperLearner aggregated to admin-2 is compared against the area-level fit; the</w:t>
      </w:r>
      <w:r>
        <w:t xml:space="preserve"> </w:t>
      </w:r>
      <w:r>
        <w:t xml:space="preserve">comparison motivates treating the area-level SAE as primary.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Loss function and scale.</w:t>
      </w:r>
      <w:r>
        <w:t xml:space="preserve"> </w:t>
      </w:r>
      <w:r>
        <w:t xml:space="preserve">Area models were evaluated under both</w:t>
      </w:r>
      <w:r>
        <w:t xml:space="preserve"> </w:t>
      </w:r>
      <w:r>
        <w:t xml:space="preserve">mean-squared-error and negative-log-likelihood losses, and on both the raw and</w:t>
      </w:r>
      <w:r>
        <w:t xml:space="preserve"> </w:t>
      </w:r>
      <w:r>
        <w:t xml:space="preserve">logit prevalence scales.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Outcome-definition harmonisation.</w:t>
      </w:r>
      <w:r>
        <w:t xml:space="preserve"> </w:t>
      </w:r>
      <w:r>
        <w:t xml:space="preserve">Folate transport was assessed before and</w:t>
      </w:r>
      <w:r>
        <w:t xml:space="preserve"> </w:t>
      </w:r>
      <w:r>
        <w:t xml:space="preserve">after harmonising Malawi’s native cut-point to the common serum definition.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Finer spatial resolution.</w:t>
      </w:r>
      <w:r>
        <w:t xml:space="preserve"> </w:t>
      </w:r>
      <w:r>
        <w:t xml:space="preserve">Sierra Leone was re-analysed at admin-3</w:t>
      </w:r>
      <w:r>
        <w:t xml:space="preserve"> </w:t>
      </w:r>
      <w:r>
        <w:t xml:space="preserve">(chiefdom) resolution to show that its anti-predictive admin-2 transport</w:t>
      </w:r>
      <w:r>
        <w:t xml:space="preserve"> </w:t>
      </w:r>
      <w:r>
        <w:t xml:space="preserve">estimates are largely a small-sample artefact (14 districts).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Raw versus recalibrated classifiers.</w:t>
      </w:r>
      <w:r>
        <w:t xml:space="preserve"> </w:t>
      </w:r>
      <w:r>
        <w:t xml:space="preserve">Binary calibration diagnostics are</w:t>
      </w:r>
      <w:r>
        <w:t xml:space="preserve"> </w:t>
      </w:r>
      <w:r>
        <w:t xml:space="preserve">reported both raw and after out-of-fold Platt recalibration.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Corrected versus production pipeline.</w:t>
      </w:r>
      <w:r>
        <w:t xml:space="preserve"> </w:t>
      </w:r>
      <w:r>
        <w:t xml:space="preserve">The full corrected-versus-original</w:t>
      </w:r>
      <w:r>
        <w:t xml:space="preserve"> </w:t>
      </w:r>
      <w:r>
        <w:t xml:space="preserve">comparison (CV honesty, calibration, admin-2 error, intervals, decision value,</w:t>
      </w:r>
      <w:r>
        <w:t xml:space="preserve"> </w:t>
      </w:r>
      <w:r>
        <w:t xml:space="preserve">trust, partial pooling) is the basis for adopting the corrected methods as the</w:t>
      </w:r>
      <w:r>
        <w:t xml:space="preserve"> </w:t>
      </w:r>
      <w:r>
        <w:t xml:space="preserve">analysis of record.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Predictor-set restrictions.</w:t>
      </w:r>
      <w:r>
        <w:t xml:space="preserve"> </w:t>
      </w:r>
      <w:r>
        <w:t xml:space="preserve">A remote-sensing-only (GEE-only) transport</w:t>
      </w:r>
      <w:r>
        <w:t xml:space="preserve"> </w:t>
      </w:r>
      <w:r>
        <w:t xml:space="preserve">analysis, and a parsimonious model using a small set of soil-micronutrient</w:t>
      </w:r>
      <w:r>
        <w:t xml:space="preserve"> </w:t>
      </w:r>
      <w:r>
        <w:t xml:space="preserve">features plus a spatial term, test which signal transports.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All-methods comparison on a representative outcome.</w:t>
      </w:r>
      <w:r>
        <w:t xml:space="preserve"> </w:t>
      </w:r>
      <w:r>
        <w:t xml:space="preserve">Every method and</w:t>
      </w:r>
      <w:r>
        <w:t xml:space="preserve"> </w:t>
      </w:r>
      <w:r>
        <w:t xml:space="preserve">SuperLearner library variant was run on child iron deficiency, the</w:t>
      </w:r>
      <w:r>
        <w:t xml:space="preserve"> </w:t>
      </w:r>
      <w:r>
        <w:t xml:space="preserve">best-transporting outcome, under both within-country and transport evaluation.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Reliability ceiling and uninformed baselines (2026-08 methods review).</w:t>
      </w:r>
      <w:r>
        <w:t xml:space="preserve"> </w:t>
      </w:r>
      <w:r>
        <w:t xml:space="preserve">Because a median admin-2 district contributes only 6 to 36 biomarker</w:t>
      </w:r>
      <w:r>
        <w:t xml:space="preserve"> </w:t>
      </w:r>
      <w:r>
        <w:t xml:space="preserve">measurements, a design-based sampling-noise decomposition was used to</w:t>
      </w:r>
      <w:r>
        <w:t xml:space="preserve"> </w:t>
      </w:r>
      <w:r>
        <w:t xml:space="preserve">estimate, per country-outcome cell, the maximum Pearson r any model could</w:t>
      </w:r>
      <w:r>
        <w:t xml:space="preserve"> </w:t>
      </w:r>
      <w:r>
        <w:t xml:space="preserve">achieve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m:t>sampling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rPr>
                        <m:nor/>
                        <m:sty m:val="p"/>
                      </m:rPr>
                      <m:t>obs</m:t>
                    </m:r>
                  </m:sub>
                </m:sSub>
              </m:e>
            </m:d>
          </m:e>
        </m:rad>
      </m:oMath>
      <w:r>
        <w:t xml:space="preserve">);</w:t>
      </w:r>
      <w:r>
        <w:t xml:space="preserve"> </w:t>
      </w:r>
      <w:r>
        <w:t xml:space="preserve">a national-mean null and a covariate-free spatial-only smoother were added</w:t>
      </w:r>
      <w:r>
        <w:t xml:space="preserve"> </w:t>
      </w:r>
      <w:r>
        <w:t xml:space="preserve">to the area-level comparison as the uninformed floor. This is reported as a</w:t>
      </w:r>
      <w:r>
        <w:t xml:space="preserve"> </w:t>
      </w:r>
      <w:r>
        <w:t xml:space="preserve">primary result in the main text, not a sensitivity check, because it</w:t>
      </w:r>
      <w:r>
        <w:t xml:space="preserve"> </w:t>
      </w:r>
      <w:r>
        <w:t xml:space="preserve">materially changes which approach is judged the strongest.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Gaussian-process learner necessity.</w:t>
      </w:r>
      <w:r>
        <w:t xml:space="preserve"> </w:t>
      </w:r>
      <w:r>
        <w:t xml:space="preserve">The candidate 13th full-mode learner</w:t>
      </w:r>
      <w:r>
        <w:t xml:space="preserve"> </w:t>
      </w:r>
      <w:r>
        <w:t xml:space="preserve">(a Gaussian process) was refit against a held-out cell (Ghana child iron)</w:t>
      </w:r>
      <w:r>
        <w:t xml:space="preserve"> </w:t>
      </w:r>
      <w:r>
        <w:t xml:space="preserve">with and without it in the library; it received zero ensemble weight at</w:t>
      </w:r>
      <w:r>
        <w:t xml:space="preserve"> </w:t>
      </w:r>
      <w:r>
        <w:t xml:space="preserve">substantial (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) computational cost and was dropped from the stack.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Pre-resampling variable-selection audit.</w:t>
      </w:r>
      <w:r>
        <w:t xml:space="preserve"> </w:t>
      </w:r>
      <w:r>
        <w:t xml:space="preserve">The area-level prevalence</w:t>
      </w:r>
      <w:r>
        <w:t xml:space="preserve"> </w:t>
      </w:r>
      <w:r>
        <w:t xml:space="preserve">recipe’s covariate pre-filter and its LOCO comparator ranking were</w:t>
      </w:r>
      <w:r>
        <w:t xml:space="preserve"> </w:t>
      </w:r>
      <w:r>
        <w:t xml:space="preserve">originally derived once on the full dataset before splitting into</w:t>
      </w:r>
      <w:r>
        <w:t xml:space="preserve"> </w:t>
      </w:r>
      <w:r>
        <w:t xml:space="preserve">resampling folds. Re-deriving the pre-filter honestly inside each fold, and</w:t>
      </w:r>
      <w:r>
        <w:t xml:space="preserve"> </w:t>
      </w:r>
      <w:r>
        <w:t xml:space="preserve">separating comparator selection from comparator evaluation, reduced the</w:t>
      </w:r>
      <w:r>
        <w:t xml:space="preserve"> </w:t>
      </w:r>
      <w:r>
        <w:t xml:space="preserve">recipe’s apparent Spearman gain by 0.16 (admin-2) to 0.30 (admin-1) and its</w:t>
      </w:r>
      <w:r>
        <w:t xml:space="preserve"> </w:t>
      </w:r>
      <w:r>
        <w:t xml:space="preserve">best LOCO comparator’s correlation from 0.305 to 0.117; the corrected,</w:t>
      </w:r>
      <w:r>
        <w:t xml:space="preserve"> </w:t>
      </w:r>
      <w:r>
        <w:t xml:space="preserve">audited numbers are reported as primary in the main text (S6-style</w:t>
      </w:r>
      <w:r>
        <w:t xml:space="preserve"> </w:t>
      </w:r>
      <w:r>
        <w:t xml:space="preserve">correction, though implemented outside the P1-P8 pipeline proper).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Tanzania (withdrawn).</w:t>
      </w:r>
      <w:r>
        <w:t xml:space="preserve"> </w:t>
      </w:r>
      <w:r>
        <w:t xml:space="preserve">A fifth country, Tanzania (vitamin A only via the</w:t>
      </w:r>
      <w:r>
        <w:t xml:space="preserve"> </w:t>
      </w:r>
      <w:r>
        <w:t xml:space="preserve">2010 TDHS), was added and evaluated in a supplementary analysis before</w:t>
      </w:r>
      <w:r>
        <w:t xml:space="preserve"> </w:t>
      </w:r>
      <w:r>
        <w:t xml:space="preserve">being withdrawn (S1.1). Holding it out under leave-one-country-out</w:t>
      </w:r>
      <w:r>
        <w:t xml:space="preserve"> </w:t>
      </w:r>
      <w:r>
        <w:t xml:space="preserve">evaluation produced degenerate predictions and 77-92 percentage-point</w:t>
      </w:r>
      <w:r>
        <w:t xml:space="preserve"> </w:t>
      </w:r>
      <w:r>
        <w:t xml:space="preserve">national-level bias, an order of magnitude larger than any other cell —</w:t>
      </w:r>
      <w:r>
        <w:t xml:space="preserve"> </w:t>
      </w:r>
      <w:r>
        <w:t xml:space="preserve">one of the anomalies, alongside a project collaborator’s independent</w:t>
      </w:r>
      <w:r>
        <w:t xml:space="preserve"> </w:t>
      </w:r>
      <w:r>
        <w:t xml:space="preserve">data-quality warning, that led to the withdrawal.</w:t>
      </w:r>
    </w:p>
    <w:bookmarkEnd w:id="42"/>
    <w:bookmarkStart w:id="43" w:name="s9.-reproducibility"/>
    <w:p>
      <w:pPr>
        <w:pStyle w:val="Heading1"/>
      </w:pPr>
      <w:r>
        <w:t xml:space="preserve">9. S9. Reproducibility</w:t>
      </w:r>
    </w:p>
    <w:p>
      <w:pPr>
        <w:pStyle w:val="FirstParagraph"/>
      </w:pPr>
      <w:r>
        <w:t xml:space="preserve">The entire analysis is a single dependency-aware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_targets.R</w:t>
      </w:r>
      <w:r>
        <w:t xml:space="preserve">) that builds the data tables, fits every model, runs the corrected</w:t>
      </w:r>
      <w:r>
        <w:t xml:space="preserve"> </w:t>
      </w:r>
      <w:r>
        <w:t xml:space="preserve">(P1–P8) methods, computes all metrics, and writes the result tables consumed by</w:t>
      </w:r>
      <w:r>
        <w:t xml:space="preserve"> </w:t>
      </w:r>
      <w:r>
        <w:t xml:space="preserve">the manuscript and the dashboard. Stage 1 cleaning scripts regenerate the merged</w:t>
      </w:r>
      <w:r>
        <w:t xml:space="preserve"> </w:t>
      </w:r>
      <w:r>
        <w:t xml:space="preserve">per-country analytic tables from the raw sources. The corrected methods write</w:t>
      </w:r>
      <w:r>
        <w:t xml:space="preserve"> </w:t>
      </w:r>
      <w:r>
        <w:t xml:space="preserve">their canonical outputs to</w:t>
      </w:r>
      <w:r>
        <w:t xml:space="preserve"> </w:t>
      </w:r>
      <w:r>
        <w:rPr>
          <w:rStyle w:val="VerbatimChar"/>
        </w:rPr>
        <w:t xml:space="preserve">results/tables/corrected/</w:t>
      </w:r>
      <w:r>
        <w:t xml:space="preserve">. Pipeline definitions and</w:t>
      </w:r>
      <w:r>
        <w:t xml:space="preserve"> </w:t>
      </w:r>
      <w:r>
        <w:t xml:space="preserve">code are available in the project repository; the deepest data lineage is in</w:t>
      </w:r>
      <w:r>
        <w:t xml:space="preserve"> </w:t>
      </w:r>
      <w:r>
        <w:rPr>
          <w:rStyle w:val="VerbatimChar"/>
        </w:rPr>
        <w:t xml:space="preserve">docs/data_sources_appendix.qmd</w:t>
      </w:r>
      <w:r>
        <w:t xml:space="preserve">. The full 2026-08 methods-review audit that</w:t>
      </w:r>
      <w:r>
        <w:t xml:space="preserve"> </w:t>
      </w:r>
      <w:r>
        <w:t xml:space="preserve">produced the reliability-ceiling estimator, the uninformed baselines, and the</w:t>
      </w:r>
      <w:r>
        <w:t xml:space="preserve"> </w:t>
      </w:r>
      <w:r>
        <w:t xml:space="preserve">pre-resampling variable-selection correction (S8) is documented in</w:t>
      </w:r>
      <w:r>
        <w:t xml:space="preserve"> </w:t>
      </w:r>
      <w:r>
        <w:rPr>
          <w:rStyle w:val="VerbatimChar"/>
        </w:rPr>
        <w:t xml:space="preserve">sandbox_parsimony/FINDINGS.md</w:t>
      </w:r>
      <w:r>
        <w:t xml:space="preserve">, with its underlying scripts and output CSVs</w:t>
      </w:r>
      <w:r>
        <w:t xml:space="preserve"> </w:t>
      </w:r>
      <w:r>
        <w:t xml:space="preserve">in the same directory.</w:t>
      </w:r>
    </w:p>
    <w:bookmarkEnd w:id="43"/>
    <w:bookmarkStart w:id="45" w:name="references"/>
    <w:p>
      <w:pPr>
        <w:pStyle w:val="Heading1"/>
      </w:pPr>
      <w:r>
        <w:t xml:space="preserve">10. References</w:t>
      </w:r>
    </w:p>
    <w:bookmarkStart w:id="44" w:name="refs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Appendix: Subnational micronutrient deficiency prediction in sub-Saharan Africa from proxy indicators</dc:title>
  <dc:creator>Andrew N. Mertens</dc:creator>
  <cp:keywords/>
  <dcterms:created xsi:type="dcterms:W3CDTF">2026-08-28T18:03:19Z</dcterms:created>
  <dcterms:modified xsi:type="dcterms:W3CDTF">2026-08-28T18:03:19Z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2026-08-28</vt:lpwstr>
  </property>
  <property fmtid="{D5CDD505-2E9C-101B-9397-08002B2CF9AE}" pid="9" name="execute">
    <vt:lpwstr/>
  </property>
  <property fmtid="{D5CDD505-2E9C-101B-9397-08002B2CF9AE}" pid="10" name="fig-cap-location">
    <vt:lpwstr>bottom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horttitle">
    <vt:lpwstr>Supplementary Appendix</vt:lpwstr>
  </property>
  <property fmtid="{D5CDD505-2E9C-101B-9397-08002B2CF9AE}" pid="16" name="tbl-cap-location">
    <vt:lpwstr>top</vt:lpwstr>
  </property>
  <property fmtid="{D5CDD505-2E9C-101B-9397-08002B2CF9AE}" pid="17" name="toc-title">
    <vt:lpwstr>Table of contents</vt:lpwstr>
  </property>
</Properties>
</file>