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Spoken script: 3-minute short oral, Micronutrient Forum 2026</w:t>
      </w:r>
    </w:p>
    <w:p>
      <w:pPr>
        <w:pStyle w:val="Subtitle"/>
      </w:pPr>
      <w:r>
        <w:t xml:space="preserve">Which public data layers predict micronutrient deficiency, and what they do and do not tell us. Andrew N. Mertens. Draft for editing.</w:t>
      </w:r>
    </w:p>
    <w:p>
      <w:pPr>
        <w:pStyle w:val="Date"/>
      </w:pPr>
      <w:r>
        <w:t xml:space="preserve">19 September 2026</w:t>
      </w:r>
    </w:p>
    <w:p>
      <w:pPr>
        <w:pStyle w:val="FirstParagraph"/>
      </w:pPr>
      <w:r>
        <w:t xml:space="preserve">Three slides, three minutes, on the Forum’s short-oral template (</w:t>
      </w:r>
      <w:r>
        <w:rPr>
          <w:rStyle w:val="VerbatimChar"/>
        </w:rPr>
        <w:t xml:space="preserve">MN-proxy-lightning-predictors-MNF2026.pptx</w:t>
      </w:r>
      <w:r>
        <w:t xml:space="preserve">). Time budgets 45, 80 and 55 seconds; the same text is in the speaker notes.</w:t>
      </w:r>
    </w:p>
    <w:bookmarkStart w:id="9" w:name="slide-1.-background-aims-and-methods"/>
    <w:p>
      <w:pPr>
        <w:pStyle w:val="Heading1"/>
      </w:pPr>
      <w:r>
        <w:t xml:space="preserve">Slide 1. Background, aims and methods</w:t>
      </w:r>
    </w:p>
    <w:p>
      <w:pPr>
        <w:pStyle w:val="FirstParagraph"/>
      </w:pPr>
      <w:r>
        <w:rPr>
          <w:b/>
          <w:bCs/>
        </w:rPr>
        <w:t xml:space="preserve">About 45 seconds, 128 words.</w:t>
      </w:r>
    </w:p>
    <w:p>
      <w:pPr>
        <w:pStyle w:val="BodyText"/>
      </w:pPr>
      <w:r>
        <w:t xml:space="preserve">Micronutrient surveys are rare and expensive. Most countries have no recent estimate, and even where one exists it was designed to report regions, so programmes choose districts with almost no data. Our question: can data that already exist for every district fill that gap? Satellite, climate, soil, crops, disease maps, prices, household surveys. Four national biomarker surveys, in The Gambia, Ghana, Malawi and Sierra Leone, are the ground truth: 206 districts, five nutrients. We linked 575 public layers to every district, none of which needs a blood sample. Each family of layers becomes a few summary scores, weighted by how well it tracks deficiency where blood was drawn. Nothing is tuned. And every number you will see comes from predicting districts, and whole countries, the model never saw.</w:t>
      </w:r>
    </w:p>
    <w:bookmarkEnd w:id="9"/>
    <w:bookmarkStart w:id="10" w:name="X7cf2495a434ae063af203b89c3923e90004764f"/>
    <w:p>
      <w:pPr>
        <w:pStyle w:val="Heading1"/>
      </w:pPr>
      <w:r>
        <w:t xml:space="preserve">Slide 2. Every model uses the same three layers; each nutrient adds its own</w:t>
      </w:r>
    </w:p>
    <w:p>
      <w:pPr>
        <w:pStyle w:val="FirstParagraph"/>
      </w:pPr>
      <w:r>
        <w:rPr>
          <w:b/>
          <w:bCs/>
        </w:rPr>
        <w:t xml:space="preserve">About 80 seconds, 184 words.</w:t>
      </w:r>
    </w:p>
    <w:p>
      <w:pPr>
        <w:pStyle w:val="BodyText"/>
      </w:pPr>
      <w:r>
        <w:t xml:space="preserve">This is the finding. Each panel is one nutrient, and the bars are the share of the model’s weight carried by each family of predictors. The top three bars are the same in every panel: satellite imagery, climate and soil, just under half the weight whichever nutrient you take. Then look below them, because a nutritionist would recognise all of it. B12, the nutrient you get almost only from animal-source food, leans on infant feeding: districts where more infants are fed meat or fish. Iron and folate lean on modelled anaemia, their clinical consequence. Vitamin A leans on child wasting. Children’s iron leans on a cereal-and-livestock farming gradient. And the nutrient with the clearest dietary marker is the one we predict best: women’s B12 reaches 0.63 inside a country and 0.52 in a country never surveyed, against 0.08 for chance. One practical point. The layers that cross a border are the free ones. Openly downloadable data alone score 0.32 in a new country; adding public survey microdata, which cost us weeks and a registration each, takes it to 0.30, and DHS microdata to 0.28.</w:t>
      </w:r>
    </w:p>
    <w:bookmarkEnd w:id="10"/>
    <w:bookmarkStart w:id="11" w:name="X70ec2c4cd117af6a9d96d1d99b3287c9bb9f95b"/>
    <w:p>
      <w:pPr>
        <w:pStyle w:val="Heading1"/>
      </w:pPr>
      <w:r>
        <w:t xml:space="preserve">Slide 3. Malawi: the model finds place-markers, not mechanisms</w:t>
      </w:r>
    </w:p>
    <w:p>
      <w:pPr>
        <w:pStyle w:val="FirstParagraph"/>
      </w:pPr>
      <w:r>
        <w:rPr>
          <w:b/>
          <w:bCs/>
        </w:rPr>
        <w:t xml:space="preserve">About 55 seconds, 135 words.</w:t>
      </w:r>
    </w:p>
    <w:p>
      <w:pPr>
        <w:pStyle w:val="BodyText"/>
      </w:pPr>
      <w:r>
        <w:t xml:space="preserve">And the caution. Malawi women’s B12 is our best-predicted outcome, at 0.70. Inside it, the anaemia layer points the wrong way: districts with more anaemia have better B12 status. No biology says that. The maps say why. Anaemia and malaria peak along the lakeshore and in the south, and that is exactly where households eat fish, the main source of B12 in Malawi. The model found a marker for a place, not a cause, and it cannot tell the difference. So the rule we hold to: these layers tell you where to look, not what to change. What a country gets today is a ranking of its own districts from data it can download, enough to target a programme and to place the next survey. The level still needs one measured national sample. Thank you.</w:t>
      </w:r>
    </w:p>
    <w:p>
      <w:pPr>
        <w:pStyle w:val="BodyText"/>
      </w:pPr>
      <w:r>
        <w:t xml:space="preserve">Total 447 words, about 180 seconds at 150 words a minute.</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zh-CN" w:val="en-US"/>
      </w:rPr>
    </w:rPrDefault>
    <w:pPrDefault>
      <w:pPr>
        <w:spacing w:after="120" w:line="264"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9"/>
      <w:szCs w:val="19"/>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cs="Calibri" w:eastAsia="Calibri" w:hAnsi="Calibri"/>
      <w:sz w:val="56"/>
      <w:szCs w:val="56"/>
    </w:rPr>
  </w:style>
  <w:style w:customStyle="1" w:styleId="TitleChar" w:type="character">
    <w:name w:val="Title Char"/>
    <w:basedOn w:val="DefaultParagraphFont"/>
    <w:link w:val="Title"/>
    <w:uiPriority w:val="10"/>
    <w:rsid w:val="00A10FD9"/>
    <w:rPr>
      <w:rFonts w:ascii="Calibri" w:cs="Calibri" w:eastAsia="Calibri" w:hAnsi="Calibri"/>
      <w:sz w:val="56"/>
      <w:szCs w:val="56"/>
    </w:rPr>
  </w:style>
  <w:style w:styleId="Subtitle" w:type="paragraph">
    <w:name w:val="Subtitle"/>
    <w:basedOn w:val="Title"/>
    <w:next w:val="BodyText"/>
    <w:link w:val="SubtitleChar"/>
    <w:uiPriority w:val="11"/>
    <w:qFormat/>
    <w:rsid w:val="00A10FD9"/>
    <w:pPr>
      <w:numPr>
        <w:ilvl w:val="1"/>
      </w:numPr>
    </w:pPr>
    <w:rPr>
      <w:rFonts w:cs="Calibri" w:eastAsia="Calibri"/>
      <w:spacing w:val="15"/>
      <w:sz w:val="28"/>
      <w:szCs w:val="28"/>
    </w:rPr>
  </w:style>
  <w:style w:customStyle="1" w:styleId="SubtitleChar" w:type="character">
    <w:name w:val="Subtitle Char"/>
    <w:basedOn w:val="DefaultParagraphFont"/>
    <w:link w:val="Subtitle"/>
    <w:uiPriority w:val="11"/>
    <w:rsid w:val="00A10FD9"/>
    <w:rPr>
      <w:rFonts w:cs="Calibri" w:eastAsia="Calibr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cs="Calibri" w:eastAsia="Calibri" w:hAnsi="Calibri"/>
      <w:color w:val="0B5563"/>
      <w:sz w:val="34"/>
      <w:szCs w:val="3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cs="Calibri" w:eastAsia="Calibri" w:hAnsi="Calibri"/>
      <w:color w:val="0B5563"/>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Calibri" w:eastAsia="Calibri"/>
      <w:color w:val="404040"/>
      <w:sz w:val="23"/>
      <w:szCs w:val="23"/>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Calibri" w:eastAsia="Calibri"/>
      <w:i/>
      <w:iCs/>
      <w:color w:val="40404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Calibri" w:eastAsia="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Calibri" w:eastAsia="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Calibri" w:eastAsia="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Calibri" w:eastAsia="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Calibri" w:eastAsia="Calibri"/>
      <w:color w:themeColor="text1" w:themeTint="D8" w:val="272727"/>
    </w:rPr>
  </w:style>
  <w:style w:customStyle="1" w:styleId="Heading1Char" w:type="character">
    <w:name w:val="Heading 1 Char"/>
    <w:basedOn w:val="DefaultParagraphFont"/>
    <w:link w:val="Heading1"/>
    <w:uiPriority w:val="9"/>
    <w:rsid w:val="00A10FD9"/>
    <w:rPr>
      <w:rFonts w:ascii="Calibri" w:cs="Calibri" w:eastAsia="Calibri" w:hAnsi="Calibr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cs="Calibri" w:eastAsia="Calibri" w:hAnsi="Calibr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Calibri" w:eastAsia="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Calibri" w:eastAsia="Calibri"/>
      <w:i/>
      <w:iCs/>
      <w:color w:themeColor="accent1" w:themeShade="BF" w:val="0F4761"/>
    </w:rPr>
  </w:style>
  <w:style w:customStyle="1" w:styleId="Heading5Char" w:type="character">
    <w:name w:val="Heading 5 Char"/>
    <w:basedOn w:val="DefaultParagraphFont"/>
    <w:link w:val="Heading5"/>
    <w:uiPriority w:val="9"/>
    <w:semiHidden/>
    <w:rsid w:val="00A10FD9"/>
    <w:rPr>
      <w:rFonts w:cs="Calibri" w:eastAsia="Calibri"/>
      <w:color w:themeColor="accent1" w:themeShade="BF" w:val="0F4761"/>
    </w:rPr>
  </w:style>
  <w:style w:customStyle="1" w:styleId="Heading6Char" w:type="character">
    <w:name w:val="Heading 6 Char"/>
    <w:basedOn w:val="DefaultParagraphFont"/>
    <w:link w:val="Heading6"/>
    <w:uiPriority w:val="9"/>
    <w:semiHidden/>
    <w:rsid w:val="00A10FD9"/>
    <w:rPr>
      <w:rFonts w:cs="Calibri" w:eastAsia="Calibri"/>
      <w:i/>
      <w:iCs/>
      <w:color w:themeColor="text1" w:themeTint="A6" w:val="595959"/>
    </w:rPr>
  </w:style>
  <w:style w:customStyle="1" w:styleId="Heading7Char" w:type="character">
    <w:name w:val="Heading 7 Char"/>
    <w:basedOn w:val="DefaultParagraphFont"/>
    <w:link w:val="Heading7"/>
    <w:uiPriority w:val="9"/>
    <w:semiHidden/>
    <w:rsid w:val="00A10FD9"/>
    <w:rPr>
      <w:rFonts w:cs="Calibri" w:eastAsia="Calibri"/>
      <w:color w:themeColor="text1" w:themeTint="A6" w:val="595959"/>
    </w:rPr>
  </w:style>
  <w:style w:customStyle="1" w:styleId="Heading8Char" w:type="character">
    <w:name w:val="Heading 8 Char"/>
    <w:basedOn w:val="DefaultParagraphFont"/>
    <w:link w:val="Heading8"/>
    <w:uiPriority w:val="9"/>
    <w:semiHidden/>
    <w:rsid w:val="00A10FD9"/>
    <w:rPr>
      <w:rFonts w:cs="Calibri" w:eastAsia="Calibri"/>
      <w:i/>
      <w:iCs/>
      <w:color w:themeColor="text1" w:themeTint="D8" w:val="272727"/>
    </w:rPr>
  </w:style>
  <w:style w:customStyle="1" w:styleId="Heading9Char" w:type="character">
    <w:name w:val="Heading 9 Char"/>
    <w:basedOn w:val="DefaultParagraphFont"/>
    <w:link w:val="Heading9"/>
    <w:uiPriority w:val="9"/>
    <w:semiHidden/>
    <w:rsid w:val="00A10FD9"/>
    <w:rPr>
      <w:rFonts w:cs="Calibri" w:eastAsia="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BFBF" w:space="0" w:sz="4" w:val="single"/>
        <w:left w:val="nil"/>
        <w:bottom w:color="BFBFBF" w:space="0" w:sz="4" w:val="single"/>
        <w:right w:val="nil"/>
        <w:insideH w:color="D9D9D9" w:space="0" w:sz="4" w:val="single"/>
        <w:insideV w:val="nil"/>
      </w:tblBorders>
      <w:tblCellMar>
        <w:top w:type="dxa" w:w="40"/>
        <w:left w:type="dxa" w:w="80"/>
        <w:bottom w:type="dxa" w:w="40"/>
        <w:right w:type="dxa" w:w="80"/>
      </w:tblCellMar>
    </w:tblPr>
    <w:tblStylePr w:type="firstRow">
      <w:rPr>
        <w:b/>
      </w:rPr>
      <w:tcPr>
        <w:tcBorders>
          <w:bottom w:color="808080" w:space="0" w:sz="8" w:val="single"/>
        </w:tcBorders>
        <w:shd w:color="auto" w:fill="F2F2F2"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Spoken script: 3-minute short oral, Micronutrient Forum 2026</dc:title>
  <dc:creator/>
  <cp:keywords/>
  <dcterms:created xsi:type="dcterms:W3CDTF">2026-09-19T13:10:51Z</dcterms:created>
  <dcterms:modified xsi:type="dcterms:W3CDTF">2026-09-19T13:10:51Z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vt:lpwstr>
  </property>
  <property fmtid="{D5CDD505-2E9C-101B-9397-08002B2CF9AE}" pid="3" name="subtitle">
    <vt:lpwstr>Which public data layers predict micronutrient deficiency, and what they do and do not tell us. Andrew N. Mertens. Draft for editing.</vt:lpwstr>
  </property>
</Properties>
</file>