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Spoken script: joint 15-minute talk, Micronutrient Forum 2026</w:t>
      </w:r>
    </w:p>
    <w:p>
      <w:pPr>
        <w:pStyle w:val="Subtitle"/>
      </w:pPr>
      <w:r>
        <w:t xml:space="preserve">Predicting Micronutrient Deficiency Prevalence in Sub-Saharan Africa Using Proxy Indicators. Sonja Y. Hess and Andrew N. Mertens. Draft for editing.</w:t>
      </w:r>
    </w:p>
    <w:p>
      <w:pPr>
        <w:pStyle w:val="Date"/>
      </w:pPr>
      <w:r>
        <w:t xml:space="preserve">19 September 2026</w:t>
      </w:r>
    </w:p>
    <w:bookmarkStart w:id="10" w:name="how-to-use-this-draft"/>
    <w:p>
      <w:pPr>
        <w:pStyle w:val="Heading1"/>
      </w:pPr>
      <w:r>
        <w:t xml:space="preserve">How to use this draft</w:t>
      </w:r>
    </w:p>
    <w:p>
      <w:pPr>
        <w:pStyle w:val="FirstParagraph"/>
      </w:pPr>
      <w:r>
        <w:t xml:space="preserve">One section per slide, in the order of the deck</w:t>
      </w:r>
      <w:r>
        <w:t xml:space="preserve"> </w:t>
      </w:r>
      <w:r>
        <w:rPr>
          <w:rStyle w:val="VerbatimChar"/>
        </w:rPr>
        <w:t xml:space="preserve">MNF15-talk-2026-09.pptx</w:t>
      </w:r>
      <w:r>
        <w:t xml:space="preserve">. Each has the speaker, a time budget and a word count (150 words a minute is a comfortable conference pace). The same text is in the speaker notes of the deck, so edits made here need to be copied there, or tell Andrew and the notes will be regenerated.</w:t>
      </w:r>
      <w:r>
        <w:t xml:space="preserve"> </w:t>
      </w:r>
      <w:r>
        <w:rPr>
          <w:i/>
          <w:iCs/>
        </w:rPr>
        <w:t xml:space="preserve">Backup</w:t>
      </w:r>
      <w:r>
        <w:t xml:space="preserve"> </w:t>
      </w:r>
      <w:r>
        <w:t xml:space="preserve">paragraphs are not to be spoken; they are the numbers behind the sentence in case of a question.</w:t>
      </w:r>
    </w:p>
    <w:p>
      <w:pPr>
        <w:pStyle w:val="BodyText"/>
      </w:pPr>
      <w:r>
        <w:t xml:space="preserve">Sonja’s own two opening slides (her introduction and the iron conceptual framework) are not in this deck and not scripted here; they sit between slides 3 and 4 in the merged file. The handoff to Andrew is at the end of slide 4.</w:t>
      </w:r>
    </w:p>
    <w:bookmarkStart w:id="9" w:name="timing"/>
    <w:p>
      <w:pPr>
        <w:pStyle w:val="Heading2"/>
      </w:pPr>
      <w:r>
        <w:t xml:space="preserve">Timing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Slide</w:t>
            </w:r>
          </w:p>
        </w:tc>
        <w:tc>
          <w:tcPr/>
          <w:p>
            <w:pPr>
              <w:pStyle w:val="Compact"/>
            </w:pPr>
            <w:r>
              <w:t xml:space="preserve">Speaker</w:t>
            </w:r>
          </w:p>
        </w:tc>
        <w:tc>
          <w:tcPr/>
          <w:p>
            <w:pPr>
              <w:pStyle w:val="Compact"/>
            </w:pPr>
            <w:r>
              <w:t xml:space="preserve">Seconds</w:t>
            </w:r>
          </w:p>
        </w:tc>
        <w:tc>
          <w:tcPr/>
          <w:p>
            <w:pPr>
              <w:pStyle w:val="Compact"/>
            </w:pPr>
            <w:r>
              <w:t xml:space="preserve">Words</w:t>
            </w:r>
          </w:p>
        </w:tc>
      </w:tr>
      <w:tr>
        <w:tc>
          <w:tcPr/>
          <w:p>
            <w:pPr>
              <w:pStyle w:val="Compact"/>
            </w:pPr>
            <w:r>
              <w:t xml:space="preserve">1. Predicting Micronutrient Deficiency Prevalence in Sub-Sah…</w:t>
            </w:r>
          </w:p>
        </w:tc>
        <w:tc>
          <w:tcPr/>
          <w:p>
            <w:pPr>
              <w:pStyle w:val="Compact"/>
            </w:pPr>
            <w:r>
              <w:t xml:space="preserve">Sonja</w:t>
            </w:r>
          </w:p>
        </w:tc>
        <w:tc>
          <w:tcPr/>
          <w:p>
            <w:pPr>
              <w:pStyle w:val="Compact"/>
            </w:pPr>
            <w:r>
              <w:t xml:space="preserve">20</w:t>
            </w:r>
          </w:p>
        </w:tc>
        <w:tc>
          <w:tcPr/>
          <w:p>
            <w:pPr>
              <w:pStyle w:val="Compact"/>
            </w:pPr>
            <w:r>
              <w:t xml:space="preserve">51</w:t>
            </w:r>
          </w:p>
        </w:tc>
      </w:tr>
      <w:tr>
        <w:tc>
          <w:tcPr/>
          <w:p>
            <w:pPr>
              <w:pStyle w:val="Compact"/>
            </w:pPr>
            <w:r>
              <w:t xml:space="preserve">2. What national biomarker surveys can measure</w:t>
            </w:r>
          </w:p>
        </w:tc>
        <w:tc>
          <w:tcPr/>
          <w:p>
            <w:pPr>
              <w:pStyle w:val="Compact"/>
            </w:pPr>
            <w:r>
              <w:t xml:space="preserve">Sonja</w:t>
            </w:r>
          </w:p>
        </w:tc>
        <w:tc>
          <w:tcPr/>
          <w:p>
            <w:pPr>
              <w:pStyle w:val="Compact"/>
            </w:pPr>
            <w:r>
              <w:t xml:space="preserve">60</w:t>
            </w:r>
          </w:p>
        </w:tc>
        <w:tc>
          <w:tcPr/>
          <w:p>
            <w:pPr>
              <w:pStyle w:val="Compact"/>
            </w:pPr>
            <w:r>
              <w:t xml:space="preserve">127</w:t>
            </w:r>
          </w:p>
        </w:tc>
      </w:tr>
      <w:tr>
        <w:tc>
          <w:tcPr/>
          <w:p>
            <w:pPr>
              <w:pStyle w:val="Compact"/>
            </w:pPr>
            <w:r>
              <w:t xml:space="preserve">3. Model training on four national biomarker surveys</w:t>
            </w:r>
          </w:p>
        </w:tc>
        <w:tc>
          <w:tcPr/>
          <w:p>
            <w:pPr>
              <w:pStyle w:val="Compact"/>
            </w:pPr>
            <w:r>
              <w:t xml:space="preserve">Sonja</w:t>
            </w:r>
          </w:p>
        </w:tc>
        <w:tc>
          <w:tcPr/>
          <w:p>
            <w:pPr>
              <w:pStyle w:val="Compact"/>
            </w:pPr>
            <w:r>
              <w:t xml:space="preserve">50</w:t>
            </w:r>
          </w:p>
        </w:tc>
        <w:tc>
          <w:tcPr/>
          <w:p>
            <w:pPr>
              <w:pStyle w:val="Compact"/>
            </w:pPr>
            <w:r>
              <w:t xml:space="preserve">149</w:t>
            </w:r>
          </w:p>
        </w:tc>
      </w:tr>
      <w:tr>
        <w:tc>
          <w:tcPr/>
          <w:p>
            <w:pPr>
              <w:pStyle w:val="Compact"/>
            </w:pPr>
            <w:r>
              <w:t xml:space="preserve">4. Which causes of deficiency do public data reach?</w:t>
            </w:r>
          </w:p>
        </w:tc>
        <w:tc>
          <w:tcPr/>
          <w:p>
            <w:pPr>
              <w:pStyle w:val="Compact"/>
            </w:pPr>
            <w:r>
              <w:t xml:space="preserve">Sonja</w:t>
            </w:r>
          </w:p>
        </w:tc>
        <w:tc>
          <w:tcPr/>
          <w:p>
            <w:pPr>
              <w:pStyle w:val="Compact"/>
            </w:pPr>
            <w:r>
              <w:t xml:space="preserve">45</w:t>
            </w:r>
          </w:p>
        </w:tc>
        <w:tc>
          <w:tcPr/>
          <w:p>
            <w:pPr>
              <w:pStyle w:val="Compact"/>
            </w:pPr>
            <w:r>
              <w:t xml:space="preserve">132</w:t>
            </w:r>
          </w:p>
        </w:tc>
      </w:tr>
      <w:tr>
        <w:tc>
          <w:tcPr/>
          <w:p>
            <w:pPr>
              <w:pStyle w:val="Compact"/>
            </w:pPr>
            <w:r>
              <w:t xml:space="preserve">5. Proxy models to predict deficiencies where data is missing</w:t>
            </w:r>
          </w:p>
        </w:tc>
        <w:tc>
          <w:tcPr/>
          <w:p>
            <w:pPr>
              <w:pStyle w:val="Compact"/>
            </w:pPr>
            <w:r>
              <w:t xml:space="preserve">Andrew</w:t>
            </w:r>
          </w:p>
        </w:tc>
        <w:tc>
          <w:tcPr/>
          <w:p>
            <w:pPr>
              <w:pStyle w:val="Compact"/>
            </w:pPr>
            <w:r>
              <w:t xml:space="preserve">90</w:t>
            </w:r>
          </w:p>
        </w:tc>
        <w:tc>
          <w:tcPr/>
          <w:p>
            <w:pPr>
              <w:pStyle w:val="Compact"/>
            </w:pPr>
            <w:r>
              <w:t xml:space="preserve">223</w:t>
            </w:r>
          </w:p>
        </w:tc>
      </w:tr>
      <w:tr>
        <w:tc>
          <w:tcPr/>
          <w:p>
            <w:pPr>
              <w:pStyle w:val="Compact"/>
            </w:pPr>
            <w:r>
              <w:t xml:space="preserve">6. Where the predictors come from</w:t>
            </w:r>
          </w:p>
        </w:tc>
        <w:tc>
          <w:tcPr/>
          <w:p>
            <w:pPr>
              <w:pStyle w:val="Compact"/>
            </w:pPr>
            <w:r>
              <w:t xml:space="preserve">Andrew</w:t>
            </w:r>
          </w:p>
        </w:tc>
        <w:tc>
          <w:tcPr/>
          <w:p>
            <w:pPr>
              <w:pStyle w:val="Compact"/>
            </w:pPr>
            <w:r>
              <w:t xml:space="preserve">45</w:t>
            </w:r>
          </w:p>
        </w:tc>
        <w:tc>
          <w:tcPr/>
          <w:p>
            <w:pPr>
              <w:pStyle w:val="Compact"/>
            </w:pPr>
            <w:r>
              <w:t xml:space="preserve">113</w:t>
            </w:r>
          </w:p>
        </w:tc>
      </w:tr>
      <w:tr>
        <w:tc>
          <w:tcPr/>
          <w:p>
            <w:pPr>
              <w:pStyle w:val="Compact"/>
            </w:pPr>
            <w:r>
              <w:t xml:space="preserve">7. How the model is built and how it is tested</w:t>
            </w:r>
          </w:p>
        </w:tc>
        <w:tc>
          <w:tcPr/>
          <w:p>
            <w:pPr>
              <w:pStyle w:val="Compact"/>
            </w:pPr>
            <w:r>
              <w:t xml:space="preserve">Andrew</w:t>
            </w:r>
          </w:p>
        </w:tc>
        <w:tc>
          <w:tcPr/>
          <w:p>
            <w:pPr>
              <w:pStyle w:val="Compact"/>
            </w:pPr>
            <w:r>
              <w:t xml:space="preserve">60</w:t>
            </w:r>
          </w:p>
        </w:tc>
        <w:tc>
          <w:tcPr/>
          <w:p>
            <w:pPr>
              <w:pStyle w:val="Compact"/>
            </w:pPr>
            <w:r>
              <w:t xml:space="preserve">158</w:t>
            </w:r>
          </w:p>
        </w:tc>
      </w:tr>
      <w:tr>
        <w:tc>
          <w:tcPr/>
          <w:p>
            <w:pPr>
              <w:pStyle w:val="Compact"/>
            </w:pPr>
            <w:r>
              <w:t xml:space="preserve">8. How accurate is it?</w:t>
            </w:r>
          </w:p>
        </w:tc>
        <w:tc>
          <w:tcPr/>
          <w:p>
            <w:pPr>
              <w:pStyle w:val="Compact"/>
            </w:pPr>
            <w:r>
              <w:t xml:space="preserve">Andrew</w:t>
            </w:r>
          </w:p>
        </w:tc>
        <w:tc>
          <w:tcPr/>
          <w:p>
            <w:pPr>
              <w:pStyle w:val="Compact"/>
            </w:pPr>
            <w:r>
              <w:t xml:space="preserve">75</w:t>
            </w:r>
          </w:p>
        </w:tc>
        <w:tc>
          <w:tcPr/>
          <w:p>
            <w:pPr>
              <w:pStyle w:val="Compact"/>
            </w:pPr>
            <w:r>
              <w:t xml:space="preserve">194</w:t>
            </w:r>
          </w:p>
        </w:tc>
      </w:tr>
      <w:tr>
        <w:tc>
          <w:tcPr/>
          <w:p>
            <w:pPr>
              <w:pStyle w:val="Compact"/>
            </w:pPr>
            <w:r>
              <w:t xml:space="preserve">9. Accuracy varies by micronutrient deficiency, not prevalence</w:t>
            </w:r>
          </w:p>
        </w:tc>
        <w:tc>
          <w:tcPr/>
          <w:p>
            <w:pPr>
              <w:pStyle w:val="Compact"/>
            </w:pPr>
            <w:r>
              <w:t xml:space="preserve">Andrew</w:t>
            </w:r>
          </w:p>
        </w:tc>
        <w:tc>
          <w:tcPr/>
          <w:p>
            <w:pPr>
              <w:pStyle w:val="Compact"/>
            </w:pPr>
            <w:r>
              <w:t xml:space="preserve">80</w:t>
            </w:r>
          </w:p>
        </w:tc>
        <w:tc>
          <w:tcPr/>
          <w:p>
            <w:pPr>
              <w:pStyle w:val="Compact"/>
            </w:pPr>
            <w:r>
              <w:t xml:space="preserve">218</w:t>
            </w:r>
          </w:p>
        </w:tc>
      </w:tr>
      <w:tr>
        <w:tc>
          <w:tcPr/>
          <w:p>
            <w:pPr>
              <w:pStyle w:val="Compact"/>
            </w:pPr>
            <w:r>
              <w:t xml:space="preserve">10. Most important domains of proxy predictors</w:t>
            </w:r>
          </w:p>
        </w:tc>
        <w:tc>
          <w:tcPr/>
          <w:p>
            <w:pPr>
              <w:pStyle w:val="Compact"/>
            </w:pPr>
            <w:r>
              <w:t xml:space="preserve">Andrew</w:t>
            </w:r>
          </w:p>
        </w:tc>
        <w:tc>
          <w:tcPr/>
          <w:p>
            <w:pPr>
              <w:pStyle w:val="Compact"/>
            </w:pPr>
            <w:r>
              <w:t xml:space="preserve">70</w:t>
            </w:r>
          </w:p>
        </w:tc>
        <w:tc>
          <w:tcPr/>
          <w:p>
            <w:pPr>
              <w:pStyle w:val="Compact"/>
            </w:pPr>
            <w:r>
              <w:t xml:space="preserve">176</w:t>
            </w:r>
          </w:p>
        </w:tc>
      </w:tr>
      <w:tr>
        <w:tc>
          <w:tcPr/>
          <w:p>
            <w:pPr>
              <w:pStyle w:val="Compact"/>
            </w:pPr>
            <w:r>
              <w:t xml:space="preserve">11. Transporting predictions to a country with no data</w:t>
            </w:r>
          </w:p>
        </w:tc>
        <w:tc>
          <w:tcPr/>
          <w:p>
            <w:pPr>
              <w:pStyle w:val="Compact"/>
            </w:pPr>
            <w:r>
              <w:t xml:space="preserve">Andrew</w:t>
            </w:r>
          </w:p>
        </w:tc>
        <w:tc>
          <w:tcPr/>
          <w:p>
            <w:pPr>
              <w:pStyle w:val="Compact"/>
            </w:pPr>
            <w:r>
              <w:t xml:space="preserve">60</w:t>
            </w:r>
          </w:p>
        </w:tc>
        <w:tc>
          <w:tcPr/>
          <w:p>
            <w:pPr>
              <w:pStyle w:val="Compact"/>
            </w:pPr>
            <w:r>
              <w:t xml:space="preserve">150</w:t>
            </w:r>
          </w:p>
        </w:tc>
      </w:tr>
      <w:tr>
        <w:tc>
          <w:tcPr/>
          <w:p>
            <w:pPr>
              <w:pStyle w:val="Compact"/>
            </w:pPr>
            <w:r>
              <w:t xml:space="preserve">12. The 2007 Cote d’Ivoire survey agrees with the transported…</w:t>
            </w:r>
          </w:p>
        </w:tc>
        <w:tc>
          <w:tcPr/>
          <w:p>
            <w:pPr>
              <w:pStyle w:val="Compact"/>
            </w:pPr>
            <w:r>
              <w:t xml:space="preserve">Andrew</w:t>
            </w:r>
          </w:p>
        </w:tc>
        <w:tc>
          <w:tcPr/>
          <w:p>
            <w:pPr>
              <w:pStyle w:val="Compact"/>
            </w:pPr>
            <w:r>
              <w:t xml:space="preserve">45</w:t>
            </w:r>
          </w:p>
        </w:tc>
        <w:tc>
          <w:tcPr/>
          <w:p>
            <w:pPr>
              <w:pStyle w:val="Compact"/>
            </w:pPr>
            <w:r>
              <w:t xml:space="preserve">135</w:t>
            </w:r>
          </w:p>
        </w:tc>
      </w:tr>
      <w:tr>
        <w:tc>
          <w:tcPr/>
          <w:p>
            <w:pPr>
              <w:pStyle w:val="Compact"/>
            </w:pPr>
            <w:r>
              <w:t xml:space="preserve">13. What type of decisions can this model support?</w:t>
            </w:r>
          </w:p>
        </w:tc>
        <w:tc>
          <w:tcPr/>
          <w:p>
            <w:pPr>
              <w:pStyle w:val="Compact"/>
            </w:pPr>
            <w:r>
              <w:t xml:space="preserve">Andrew</w:t>
            </w:r>
          </w:p>
        </w:tc>
        <w:tc>
          <w:tcPr/>
          <w:p>
            <w:pPr>
              <w:pStyle w:val="Compact"/>
            </w:pPr>
            <w:r>
              <w:t xml:space="preserve">65</w:t>
            </w:r>
          </w:p>
        </w:tc>
        <w:tc>
          <w:tcPr/>
          <w:p>
            <w:pPr>
              <w:pStyle w:val="Compact"/>
            </w:pPr>
            <w:r>
              <w:t xml:space="preserve">177</w:t>
            </w:r>
          </w:p>
        </w:tc>
      </w:tr>
      <w:tr>
        <w:tc>
          <w:tcPr/>
          <w:p>
            <w:pPr>
              <w:pStyle w:val="Compact"/>
            </w:pPr>
            <w:r>
              <w:t xml:space="preserve">14. Every survey added improves every other country’s map</w:t>
            </w:r>
          </w:p>
        </w:tc>
        <w:tc>
          <w:tcPr/>
          <w:p>
            <w:pPr>
              <w:pStyle w:val="Compact"/>
            </w:pPr>
            <w:r>
              <w:t xml:space="preserve">Andrew</w:t>
            </w:r>
          </w:p>
        </w:tc>
        <w:tc>
          <w:tcPr/>
          <w:p>
            <w:pPr>
              <w:pStyle w:val="Compact"/>
            </w:pPr>
            <w:r>
              <w:t xml:space="preserve">60</w:t>
            </w:r>
          </w:p>
        </w:tc>
        <w:tc>
          <w:tcPr/>
          <w:p>
            <w:pPr>
              <w:pStyle w:val="Compact"/>
            </w:pPr>
            <w:r>
              <w:t xml:space="preserve">169</w:t>
            </w:r>
          </w:p>
        </w:tc>
      </w:tr>
      <w:tr>
        <w:tc>
          <w:tcPr/>
          <w:p>
            <w:pPr>
              <w:pStyle w:val="Compact"/>
            </w:pPr>
            <w:r>
              <w:t xml:space="preserve">15. Conclusions and next steps</w:t>
            </w:r>
          </w:p>
        </w:tc>
        <w:tc>
          <w:tcPr/>
          <w:p>
            <w:pPr>
              <w:pStyle w:val="Compact"/>
            </w:pPr>
            <w:r>
              <w:t xml:space="preserve">Andrew</w:t>
            </w:r>
          </w:p>
        </w:tc>
        <w:tc>
          <w:tcPr/>
          <w:p>
            <w:pPr>
              <w:pStyle w:val="Compact"/>
            </w:pPr>
            <w:r>
              <w:t xml:space="preserve">50</w:t>
            </w:r>
          </w:p>
        </w:tc>
        <w:tc>
          <w:tcPr/>
          <w:p>
            <w:pPr>
              <w:pStyle w:val="Compact"/>
            </w:pPr>
            <w:r>
              <w:t xml:space="preserve">130</w:t>
            </w:r>
          </w:p>
        </w:tc>
      </w:tr>
    </w:tbl>
    <w:p>
      <w:pPr>
        <w:pStyle w:val="BodyText"/>
      </w:pPr>
      <w:r>
        <w:t xml:space="preserve">Sonja about 2:55 on these slides plus her own two; Andrew about 11:40. Total about 16 minutes with her opening slides; 2302 words.</w:t>
      </w:r>
    </w:p>
    <w:bookmarkEnd w:id="9"/>
    <w:bookmarkEnd w:id="10"/>
    <w:bookmarkStart w:id="11" w:name="Xe1369dc20652e7e09264188dac30995382e577a"/>
    <w:p>
      <w:pPr>
        <w:pStyle w:val="Heading1"/>
      </w:pPr>
      <w:r>
        <w:t xml:space="preserve">Slide 1. Predicting Micronutrient Deficiency Prevalence in Sub-Saharan Africa Using Proxy Indicators: A Multi-country Machine Learning Framework</w:t>
      </w:r>
    </w:p>
    <w:p>
      <w:pPr>
        <w:pStyle w:val="FirstParagraph"/>
      </w:pPr>
      <w:r>
        <w:rPr>
          <w:b/>
          <w:bCs/>
        </w:rPr>
        <w:t xml:space="preserve">Sonja, about 20 seconds, 51 words.</w:t>
      </w:r>
    </w:p>
    <w:p>
      <w:pPr>
        <w:pStyle w:val="BodyText"/>
      </w:pPr>
      <w:r>
        <w:t xml:space="preserve">Good morning. I am Sonja Hess, from UC Davis, and this is joint work with Andrew Mertens at Berkeley and the survey teams you will see named in a moment. We are going to show you what public data can and cannot tell you about micronutrient deficiency at the district level.</w:t>
      </w:r>
    </w:p>
    <w:bookmarkEnd w:id="11"/>
    <w:bookmarkStart w:id="12" w:name="X1291d01830a36d90676f676156a3df24d257fd9"/>
    <w:p>
      <w:pPr>
        <w:pStyle w:val="Heading1"/>
      </w:pPr>
      <w:r>
        <w:t xml:space="preserve">Slide 2. What national biomarker surveys can measure</w:t>
      </w:r>
    </w:p>
    <w:p>
      <w:pPr>
        <w:pStyle w:val="FirstParagraph"/>
      </w:pPr>
      <w:r>
        <w:rPr>
          <w:b/>
          <w:bCs/>
        </w:rPr>
        <w:t xml:space="preserve">Sonja, about 60 seconds, 127 words.</w:t>
      </w:r>
    </w:p>
    <w:p>
      <w:pPr>
        <w:pStyle w:val="BodyText"/>
      </w:pPr>
      <w:r>
        <w:t xml:space="preserve">A national micronutrient survey happens about once a decade, and it is designed to report regions, not districts. Ghana’s 2017 survey did exactly what it was designed to do. It put 90 clusters into 75 of Ghana’s 260 districts, and it reports its regions well. But the decisions are not regional. Somebody has to decide which districts get the next round of supplementation, which are screened first, where the next survey team goes. Today an unsurveyed district gets its region’s average. In Ghana that is 185 districts out of 260 with no measurement of their own. And in 62 of the 75 districts the survey did reach, the district’s number rests on a single cluster, about a dozen children. That is the gap this project is about.</w:t>
      </w:r>
    </w:p>
    <w:bookmarkEnd w:id="12"/>
    <w:bookmarkStart w:id="13" w:name="X6a4fa88e905f9c20cb1a00494e417a5b4d12107"/>
    <w:p>
      <w:pPr>
        <w:pStyle w:val="Heading1"/>
      </w:pPr>
      <w:r>
        <w:t xml:space="preserve">Slide 3. Model training on four national biomarker surveys</w:t>
      </w:r>
    </w:p>
    <w:p>
      <w:pPr>
        <w:pStyle w:val="FirstParagraph"/>
      </w:pPr>
      <w:r>
        <w:rPr>
          <w:b/>
          <w:bCs/>
        </w:rPr>
        <w:t xml:space="preserve">Sonja, about 50 seconds, 149 words.</w:t>
      </w:r>
    </w:p>
    <w:p>
      <w:pPr>
        <w:pStyle w:val="BodyText"/>
      </w:pPr>
      <w:r>
        <w:t xml:space="preserve">These are the four surveys we learned from, and the teams who ran them: The Gambia in 2018, Ghana in 2017, Sierra Leone in 2013, and Malawi in 2015 and 16. Between them, 206 districts, 323 survey clusters and 24 nutrient-country combinations. Iron and vitamin A were measured the same way everywhere, ferritin and retinol-binding protein by ELISA. Folate and B12 were measured by Roche immunoassay in Ghana and Sierra Leone, and in Malawi folate by a microbiologic assay, which will matter later. What a district is differs too: thirty in The Gambia, 75 of Ghana’s 260, 14 in Sierra Leone, and in Malawi 87 Traditional Authorities. This is the only ground truth of this kind for this question on the continent, and it exists because these teams collected it. Ghana is our worked example today, partly because the Ghana team is in the room and can check us.</w:t>
      </w:r>
    </w:p>
    <w:p>
      <w:pPr>
        <w:pStyle w:val="BodyText"/>
      </w:pPr>
      <w:r>
        <w:rPr>
          <w:i/>
          <w:iCs/>
        </w:rPr>
        <w:t xml:space="preserve">Backup, if asked.</w:t>
      </w:r>
      <w:r>
        <w:t xml:space="preserve"> </w:t>
      </w:r>
      <w:r>
        <w:t xml:space="preserve">Sonja’s own conceptual-framework slide for iron deficiency comes next, before the coverage slide.</w:t>
      </w:r>
    </w:p>
    <w:p>
      <w:pPr>
        <w:pStyle w:val="BodyText"/>
      </w:pPr>
      <w:r>
        <w:rPr>
          <w:i/>
          <w:iCs/>
        </w:rPr>
        <w:t xml:space="preserve">Sonja’s iron conceptual-framework slide is shown here, from her own file.</w:t>
      </w:r>
    </w:p>
    <w:bookmarkEnd w:id="13"/>
    <w:bookmarkStart w:id="14" w:name="X58db0413a4c42c8a19e58de5b9312a1775e123e"/>
    <w:p>
      <w:pPr>
        <w:pStyle w:val="Heading1"/>
      </w:pPr>
      <w:r>
        <w:t xml:space="preserve">Slide 4. Which causes of deficiency do public data reach?</w:t>
      </w:r>
    </w:p>
    <w:p>
      <w:pPr>
        <w:pStyle w:val="FirstParagraph"/>
      </w:pPr>
      <w:r>
        <w:rPr>
          <w:b/>
          <w:bCs/>
        </w:rPr>
        <w:t xml:space="preserve">Sonja, about 45 seconds, 132 words.</w:t>
      </w:r>
    </w:p>
    <w:p>
      <w:pPr>
        <w:pStyle w:val="BodyText"/>
      </w:pPr>
      <w:r>
        <w:t xml:space="preserve">This is the same framework, with each box coloured by whether we could find a public, district-level proxy for it. Green: we have district layers. Ecology and climate from satellites; poverty, schooling, water and sanitation from household surveys; infectious disease from the malaria and helminth atlases; diet and infant feeding from the public surveys. Yellow: only a national figure or a modelled surface. Health policy, inflammation, physiological vulnerability. Grey: nothing public reaches it. Culture and norms, absorption. Two things to take from this. The predictors are not a fishing expedition; they are the pathways in this framework that public data happen to cover. And the model can only see the green and yellow boxes. What it misses is what no satellite sees. Andrew will show you what the model makes of them.</w:t>
      </w:r>
    </w:p>
    <w:bookmarkEnd w:id="14"/>
    <w:bookmarkStart w:id="15" w:name="X132131613c50a4b7d23fe892156b773cdce8d0a"/>
    <w:p>
      <w:pPr>
        <w:pStyle w:val="Heading1"/>
      </w:pPr>
      <w:r>
        <w:t xml:space="preserve">Slide 5. Proxy models to predict deficiencies where data is missing</w:t>
      </w:r>
    </w:p>
    <w:p>
      <w:pPr>
        <w:pStyle w:val="FirstParagraph"/>
      </w:pPr>
      <w:r>
        <w:rPr>
          <w:b/>
          <w:bCs/>
        </w:rPr>
        <w:t xml:space="preserve">Andrew, about 90 seconds, 223 words.</w:t>
      </w:r>
    </w:p>
    <w:p>
      <w:pPr>
        <w:pStyle w:val="BodyText"/>
      </w:pPr>
      <w:r>
        <w:t xml:space="preserve">Thank you, Sonja. Here is the whole talk in one picture. Ghana, children’s iron. On the left, what the survey measured in the 75 districts it reached. In the middle, what the model predicts for each of those districts when that district is hidden from it. On the right, the model applied to all 260 districts, including the 185 no survey cluster ever reached. Neighbouring districts resemble each other, so geography alone fills part of the gap; the middle panel adds environmental, dietary and health data to it. Ranking accuracy in the middle panel is 0.52, against 0.36 for the survey’s own regional averages, where zero is chance and one is perfect. Take one district. Binduri, in Upper East. Interpolating from its region ranks it 12th worst of the 75. Our model, which never saw Binduri’s blood results, ranks it 1st. The survey measured it 6th. A programme working from the regional average sends its first team somewhere else. We are also wrong in places. Atiwa East, in the Eastern Region: the survey measured it 24th worst, and we put it 56th. I will tell you in two minutes how often that happens. One caution on the word measured: most of these districts rest on a single survey cluster, so the survey’s own district number is itself a noisy estimate. Binduri has two.</w:t>
      </w:r>
    </w:p>
    <w:p>
      <w:pPr>
        <w:pStyle w:val="BodyText"/>
      </w:pPr>
      <w:r>
        <w:rPr>
          <w:i/>
          <w:iCs/>
        </w:rPr>
        <w:t xml:space="preserve">Backup, if asked.</w:t>
      </w:r>
      <w:r>
        <w:t xml:space="preserve"> </w:t>
      </w:r>
      <w:r>
        <w:t xml:space="preserve">Ranks are among the 75 surveyed districts on the biomarker level, 1 = worst; per-district ranks in results/figures/policy_deck/fig7_ghana_district_ranks_child_iron_level.csv. Talensi, Upper East: interpolation 9th, model 2nd, survey 12th.</w:t>
      </w:r>
    </w:p>
    <w:bookmarkEnd w:id="15"/>
    <w:bookmarkStart w:id="16" w:name="slide-6.-where-the-predictors-come-from"/>
    <w:p>
      <w:pPr>
        <w:pStyle w:val="Heading1"/>
      </w:pPr>
      <w:r>
        <w:t xml:space="preserve">Slide 6. Where the predictors come from</w:t>
      </w:r>
    </w:p>
    <w:p>
      <w:pPr>
        <w:pStyle w:val="FirstParagraph"/>
      </w:pPr>
      <w:r>
        <w:rPr>
          <w:b/>
          <w:bCs/>
        </w:rPr>
        <w:t xml:space="preserve">Andrew, about 45 seconds, 113 words.</w:t>
      </w:r>
    </w:p>
    <w:p>
      <w:pPr>
        <w:pStyle w:val="BodyText"/>
      </w:pPr>
      <w:r>
        <w:t xml:space="preserve">Five hundred and seventy-five measurements for every district, from 28 public sources, in eight groups. The largest is climate and satellite imagery: thirty-year rainfall and temperature normals, greenness, and a satellite summary of what a district looks like. Then household surveys summarised to districts; disease and immunisation maps; food prices and diet; nutrition status; soil chemistry; crops and livestock; settlement and population. None of it required a new blood sample and none of it had to be bought. And the layers that travel across a border are the free ones: the data you can download this afternoon rank a new country’s districts slightly better than the same model with household survey microdata added.</w:t>
      </w:r>
    </w:p>
    <w:p>
      <w:pPr>
        <w:pStyle w:val="BodyText"/>
      </w:pPr>
      <w:r>
        <w:rPr>
          <w:i/>
          <w:iCs/>
        </w:rPr>
        <w:t xml:space="preserve">Backup, if asked.</w:t>
      </w:r>
      <w:r>
        <w:t xml:space="preserve"> </w:t>
      </w:r>
      <w:r>
        <w:t xml:space="preserve">If asked for numbers: openly downloadable layers alone rank a new country’s districts at 0.32; adding public survey microdata gives 0.30; adding DHS microdata 0.28. Three sources need a free account, one a data-use agreement. Eleven new predictor blocks were scored this year and none moved the answer by more than 0.01.</w:t>
      </w:r>
    </w:p>
    <w:bookmarkEnd w:id="16"/>
    <w:bookmarkStart w:id="17" w:name="X5f52c6f24c76bfc65b72417a5d0c2c8e8e8eebf"/>
    <w:p>
      <w:pPr>
        <w:pStyle w:val="Heading1"/>
      </w:pPr>
      <w:r>
        <w:t xml:space="preserve">Slide 7. How the model is built and how it is tested</w:t>
      </w:r>
    </w:p>
    <w:p>
      <w:pPr>
        <w:pStyle w:val="FirstParagraph"/>
      </w:pPr>
      <w:r>
        <w:rPr>
          <w:b/>
          <w:bCs/>
        </w:rPr>
        <w:t xml:space="preserve">Andrew, about 60 seconds, 158 words.</w:t>
      </w:r>
    </w:p>
    <w:p>
      <w:pPr>
        <w:pStyle w:val="BodyText"/>
      </w:pPr>
      <w:r>
        <w:t xml:space="preserve">One methods slide. On the left, four steps, and none of them looks at a held-out district. Rank every layer within its country, so a level difference between surveys cannot act as signal. Summarise each family of layers into a few scores. Weight each score by how well it tracked deficiency where blood was actually drawn. Add them up. Nothing is tuned, so there is no parameter that can be fitted to the district we are trying to predict. On the right, every number in this talk comes from hiding something and predicting it. One district in five, ten times over. Then a whole region. Then a whole country. And we do not compare against zero. We compare against the number a programme officer has on her desk today: her district’s regional average, computed without her district. The numbers you are about to see are lower than they could be made to look, and that is the point.</w:t>
      </w:r>
    </w:p>
    <w:p>
      <w:pPr>
        <w:pStyle w:val="BodyText"/>
      </w:pPr>
      <w:r>
        <w:rPr>
          <w:i/>
          <w:iCs/>
        </w:rPr>
        <w:t xml:space="preserve">Backup, if asked.</w:t>
      </w:r>
      <w:r>
        <w:t xml:space="preserve"> </w:t>
      </w:r>
      <w:r>
        <w:t xml:space="preserve">If asked why the model is so simple: fourteen alternatives on identical folds (random forests, boosting, penalised regressions, four ensembles); nothing beat it by more than 0.03. With 14 to 87 districts per country, anything that tunes a parameter shrinks toward the average. A sample-size finding, not a claim about machine learning. If asked about leakage: every hold-out is by district, region or whole country, and every choice about the predictors is made inside the training data.</w:t>
      </w:r>
    </w:p>
    <w:bookmarkEnd w:id="17"/>
    <w:bookmarkStart w:id="18" w:name="slide-8.-how-accurate-is-it"/>
    <w:p>
      <w:pPr>
        <w:pStyle w:val="Heading1"/>
      </w:pPr>
      <w:r>
        <w:t xml:space="preserve">Slide 8. How accurate is it?</w:t>
      </w:r>
    </w:p>
    <w:p>
      <w:pPr>
        <w:pStyle w:val="FirstParagraph"/>
      </w:pPr>
      <w:r>
        <w:rPr>
          <w:b/>
          <w:bCs/>
        </w:rPr>
        <w:t xml:space="preserve">Andrew, about 75 seconds, 194 words.</w:t>
      </w:r>
    </w:p>
    <w:p>
      <w:pPr>
        <w:pStyle w:val="BodyText"/>
      </w:pPr>
      <w:r>
        <w:t xml:space="preserve">Take any two districts in a surveyed country and ask which is worse off. A coin gets it right five times in ten. The regional average a programme uses today gets five and a half. A map built only from neighbouring districts, with no satellite data at all, gets nearly six. Our model, across all nutrients and all four countries, gets six. For the nutrients it predicts best, B12 and vitamin A, seven. Two things to say about this. First, remember what the survey’s own district number is. Most districts rest on one cluster, about a dozen children. The survey was designed to report regions, so right here means agreeing with a noisy district estimate, and no method can score near a hundred against it. Second, inside a surveyed country, geography gets you most of the way, because deficiency follows a smooth north-to-south gradient in all four countries. So the fair reading is: within a country, a modest improvement on interpolation and a clear one on the regional average. Where the public layers earn their keep is a country with no survey, where there is nothing to interpolate from. I will come to that.</w:t>
      </w:r>
    </w:p>
    <w:p>
      <w:pPr>
        <w:pStyle w:val="BodyText"/>
      </w:pPr>
      <w:r>
        <w:rPr>
          <w:i/>
          <w:iCs/>
        </w:rPr>
        <w:t xml:space="preserve">Backup, if asked.</w:t>
      </w:r>
      <w:r>
        <w:t xml:space="preserve"> </w:t>
      </w:r>
      <w:r>
        <w:t xml:space="preserve">Exact figures on the ruler: coin 50, regional average 56, neighbouring-district map 59, our model 60, best-predicted nutrients 70 per cent of district pairs in the survey’s order. Each district predicted with itself held out; 18 measurable nutrient-country combinations.</w:t>
      </w:r>
    </w:p>
    <w:bookmarkEnd w:id="18"/>
    <w:bookmarkStart w:id="19" w:name="X597123364fd733da6acdcc20ad98e056d2db3c9"/>
    <w:p>
      <w:pPr>
        <w:pStyle w:val="Heading1"/>
      </w:pPr>
      <w:r>
        <w:t xml:space="preserve">Slide 9. Accuracy varies by micronutrient deficiency, not prevalence</w:t>
      </w:r>
    </w:p>
    <w:p>
      <w:pPr>
        <w:pStyle w:val="FirstParagraph"/>
      </w:pPr>
      <w:r>
        <w:rPr>
          <w:b/>
          <w:bCs/>
        </w:rPr>
        <w:t xml:space="preserve">Andrew, about 80 seconds, 218 words.</w:t>
      </w:r>
    </w:p>
    <w:p>
      <w:pPr>
        <w:pStyle w:val="BodyText"/>
      </w:pPr>
      <w:r>
        <w:t xml:space="preserve">This is the slide I would most like you to take away, because it says something about micronutrient surveys and not only about our model. Women and children are separate models, so they are shown separately. Teal is a district held out inside a surveyed country; orange is a whole country held out of training, fitted on three countries and scored on the fourth. Vitamin B12 and vitamin A map best, in women and in children. Iron is in the middle. Folate ranks districts well inside a country and collapses when we cross a border. Zinc we cannot map at all, and it is not on the slide, because the surveys’ own district zinc numbers carry no signal to recover. Notice this has nothing to do with prevalence: folate and zinc are the two commonest deficiencies in our data, and the two we handle worst. Folate’s collapse is not a modelling failure. Malawi’s folate was measured with a microbiologic assay and the others with an immunoassay, which reads systematically lower. What fails to cross the border is the measurement, not the geography. That is a harmonisation problem, and this room can fix it. The grey bars are the ceiling any model could reach against these surveys’ district numbers. For B12 and vitamin A we are essentially at it.</w:t>
      </w:r>
    </w:p>
    <w:p>
      <w:pPr>
        <w:pStyle w:val="BodyText"/>
      </w:pPr>
      <w:r>
        <w:rPr>
          <w:i/>
          <w:iCs/>
        </w:rPr>
        <w:t xml:space="preserve">Backup, if asked.</w:t>
      </w:r>
      <w:r>
        <w:t xml:space="preserve"> </w:t>
      </w:r>
      <w:r>
        <w:t xml:space="preserve">Numbers: B12 0.63 in-country, 0.52 transported; vitamin A 0.53 and 0.51; iron 0.44 and 0.33; folate 0.40 and 0.07. Measurable combinations only: national prevalence at least 2 per cent and a reliability ceiling of at least 0.30.</w:t>
      </w:r>
    </w:p>
    <w:bookmarkEnd w:id="19"/>
    <w:bookmarkStart w:id="20" w:name="Xa6a128498dd2ae45a5fbdcbdef127f0c00b94e9"/>
    <w:p>
      <w:pPr>
        <w:pStyle w:val="Heading1"/>
      </w:pPr>
      <w:r>
        <w:t xml:space="preserve">Slide 10. Most important domains of proxy predictors</w:t>
      </w:r>
    </w:p>
    <w:p>
      <w:pPr>
        <w:pStyle w:val="FirstParagraph"/>
      </w:pPr>
      <w:r>
        <w:rPr>
          <w:b/>
          <w:bCs/>
        </w:rPr>
        <w:t xml:space="preserve">Andrew, about 70 seconds, 176 words.</w:t>
      </w:r>
    </w:p>
    <w:p>
      <w:pPr>
        <w:pStyle w:val="BodyText"/>
      </w:pPr>
      <w:r>
        <w:t xml:space="preserve">Women’s outcomes, to keep it readable; the children’s panels are in the appendix and tell the same story. The top three bars are the same in every panel: climate, soil, and a satellite summary of what a district looks like. Together they carry just under half the weight, whichever nutrient you take. What each nutrient adds below them is what a nutritionist would recognise. B12, the nutrient you get almost only from animal-source food, leans on infant feeding: districts where more infants are fed meat or fish, almost certainly a proxy for the women’s own diet. And B12 is our best-predicted outcome. Iron and folate lean on modelled anaemia, their clinical consequence. Vitamin A leans on schooling and household wealth. One warning. These are district-level associations, not causes. In Malawi the anaemia and malaria layers carry weight in the wrong direction for B12, because they mark the fish-eating lakeshore. The model finds a place-marker and cannot tell it from a mechanism. These tell you where to look. They are not a list of things to change.</w:t>
      </w:r>
    </w:p>
    <w:p>
      <w:pPr>
        <w:pStyle w:val="BodyText"/>
      </w:pPr>
      <w:r>
        <w:rPr>
          <w:i/>
          <w:iCs/>
        </w:rPr>
        <w:t xml:space="preserve">Backup, if asked.</w:t>
      </w:r>
      <w:r>
        <w:t xml:space="preserve"> </w:t>
      </w:r>
      <w:r>
        <w:t xml:space="preserve">The satellite summary is Google’s AlphaEarth: a year of imagery compressed into 64 numbers, not interpretable one by one but a strong description of land cover. Children’s iron adds an agro-pastoral gradient (cereal cropping, livestock). Malawi: rho between B12 deficiency and modelled anaemia is -0.40, and with fish eaten -0.48.</w:t>
      </w:r>
    </w:p>
    <w:bookmarkEnd w:id="20"/>
    <w:bookmarkStart w:id="21" w:name="Xad0cf0b77e0536e714807e2069f68cff9fd5577"/>
    <w:p>
      <w:pPr>
        <w:pStyle w:val="Heading1"/>
      </w:pPr>
      <w:r>
        <w:t xml:space="preserve">Slide 11. Transporting predictions to a country with no data</w:t>
      </w:r>
    </w:p>
    <w:p>
      <w:pPr>
        <w:pStyle w:val="FirstParagraph"/>
      </w:pPr>
      <w:r>
        <w:rPr>
          <w:b/>
          <w:bCs/>
        </w:rPr>
        <w:t xml:space="preserve">Andrew, about 60 seconds, 150 words.</w:t>
      </w:r>
    </w:p>
    <w:p>
      <w:pPr>
        <w:pStyle w:val="BodyText"/>
      </w:pPr>
      <w:r>
        <w:t xml:space="preserve">Most countries in this region have no recent biomarker survey at all. Cote d’Ivoire is our worked example of that situation: all the public layers, no survey. Trained on the four surveyed countries, the model ranks its 33 districts. The northern savanna belt comes out worst: Tchologo, Bounkani, Bagoue, Poro. Two independently specified versions of the model agree with each other at about 0.9 and share most of their worst fifth, so this is not a knife-edge. How much should you trust it? With a whole country held out, a district we call worst-third really is in the worst third about half the time, against a third by chance. The shading on the right is easy to misread. Dark means the model does not change its mind when we retrain it on different districts. It does not mean we have verified that district against anything. For that, the next slide.</w:t>
      </w:r>
    </w:p>
    <w:p>
      <w:pPr>
        <w:pStyle w:val="BodyText"/>
      </w:pPr>
      <w:r>
        <w:rPr>
          <w:i/>
          <w:iCs/>
        </w:rPr>
        <w:t xml:space="preserve">Backup, if asked.</w:t>
      </w:r>
      <w:r>
        <w:t xml:space="preserve"> </w:t>
      </w:r>
      <w:r>
        <w:t xml:space="preserve">Two candidates agree at 0.88 to 0.97 and share 83 per cent of their worst fifth. Worst-third calls land 52 per cent of the time against 33 by chance; of the five worst named, 62 per cent land. The WFP and MIMI vitamin A map for Cote d’Ivoire, built from a household budget survey, puts the same northern belt worst (rank agreement about 0.5 over 33 districts, survives adjusting for latitude).</w:t>
      </w:r>
    </w:p>
    <w:bookmarkEnd w:id="21"/>
    <w:bookmarkStart w:id="22" w:name="X37d660d5f2a74bfc09130312fb1382d91af347d"/>
    <w:p>
      <w:pPr>
        <w:pStyle w:val="Heading1"/>
      </w:pPr>
      <w:r>
        <w:t xml:space="preserve">Slide 12. The 2007 Cote d’Ivoire survey agrees with the transported ranking</w:t>
      </w:r>
    </w:p>
    <w:p>
      <w:pPr>
        <w:pStyle w:val="FirstParagraph"/>
      </w:pPr>
      <w:r>
        <w:rPr>
          <w:b/>
          <w:bCs/>
        </w:rPr>
        <w:t xml:space="preserve">Andrew, about 45 seconds, 135 words.</w:t>
      </w:r>
    </w:p>
    <w:p>
      <w:pPr>
        <w:pStyle w:val="BodyText"/>
      </w:pPr>
      <w:r>
        <w:t xml:space="preserve">Cote d’Ivoire did run a national nutrition survey, in 2007, and WHO holds its results by region. It reported women’s B12 deficiency in nine survey zones, from 49 per cent in the north to nearly zero in Abidjan. We had never looked at it. Our transported B12 ranking, built on the other four countries and never shown a Cote d’Ivoire blood sample, puts those zones in almost the same order: rank agreement 0.95 across the nine. Three caveats. The survey is nineteen years old. Its zones are survey regions, not administrative units, so we assigned our 33 districts to them by their centres. And it is nine points. But it is the first check of the transported model against real blood data in a country it never trained on, and it points the same way.</w:t>
      </w:r>
    </w:p>
    <w:p>
      <w:pPr>
        <w:pStyle w:val="BodyText"/>
      </w:pPr>
      <w:r>
        <w:rPr>
          <w:i/>
          <w:iCs/>
        </w:rPr>
        <w:t xml:space="preserve">Backup, if asked.</w:t>
      </w:r>
      <w:r>
        <w:t xml:space="preserve"> </w:t>
      </w:r>
      <w:r>
        <w:t xml:space="preserve">Spearman -0.95 between the zone’s measured B12 deficiency and the model’s mean district rank (1 = worst). The one swap is West and Central. Script: scripts/policy_deck/24_civ_2007_survey_check.R.</w:t>
      </w:r>
    </w:p>
    <w:bookmarkEnd w:id="22"/>
    <w:bookmarkStart w:id="23" w:name="Xc79024f378a1d539542aded924dbb156c32dfbd"/>
    <w:p>
      <w:pPr>
        <w:pStyle w:val="Heading1"/>
      </w:pPr>
      <w:r>
        <w:t xml:space="preserve">Slide 13. What type of decisions can this model support?</w:t>
      </w:r>
    </w:p>
    <w:p>
      <w:pPr>
        <w:pStyle w:val="FirstParagraph"/>
      </w:pPr>
      <w:r>
        <w:rPr>
          <w:b/>
          <w:bCs/>
        </w:rPr>
        <w:t xml:space="preserve">Andrew, about 65 seconds, 177 words.</w:t>
      </w:r>
    </w:p>
    <w:p>
      <w:pPr>
        <w:pStyle w:val="BodyText"/>
      </w:pPr>
      <w:r>
        <w:t xml:space="preserve">This is the slide to photograph. Four yeses and two partlys. Yes to anything that needs an order: which districts to reach first, where the next survey samples, how to sequence a roll-out. The model gives a ranked list of every district, and the ranking is the thing that works. Yes to a district prevalence inside a surveyed country: the ranking plus the survey gives it. Partly to a district prevalence where there is no survey. The ranking has no level of its own. Measure one national number, about five per cent of a survey’s sample, hang the ranking on it, and district figures land within about ten points. That anchor has to be measured, not modelled. And partly to targeting an intervention: the model picks the most-affected districts better than an untargeted allocation, so a targeted programme likely reaches more deficient people. Likely, because burden also sits where the people are, so rank by rate times population. Binduri is the whole product in one district: 12th by interpolation, 1st by the model, 6th by the survey.</w:t>
      </w:r>
    </w:p>
    <w:p>
      <w:pPr>
        <w:pStyle w:val="BodyText"/>
      </w:pPr>
      <w:r>
        <w:rPr>
          <w:i/>
          <w:iCs/>
        </w:rPr>
        <w:t xml:space="preserve">Backup, if asked.</w:t>
      </w:r>
      <w:r>
        <w:t xml:space="preserve"> </w:t>
      </w:r>
      <w:r>
        <w:t xml:space="preserve">Anchor: a national sample of about 5 per cent of a survey, roughly forty blood draws for one nutrient, gives district figures within 9 to 10 points; the same 5 per cent spent on a regional survey gives about 12. Predicting a national level from world indicators across 69 countries missed Sierra Leone by 29 points and Malawi by 22. Not tested: whether a programme worked; one point in time cannot show change.</w:t>
      </w:r>
    </w:p>
    <w:bookmarkEnd w:id="23"/>
    <w:bookmarkStart w:id="24" w:name="Xc97036271eb663dd4caf297cd2ab218d922b71a"/>
    <w:p>
      <w:pPr>
        <w:pStyle w:val="Heading1"/>
      </w:pPr>
      <w:r>
        <w:t xml:space="preserve">Slide 14. Every survey added improves every other country’s map</w:t>
      </w:r>
    </w:p>
    <w:p>
      <w:pPr>
        <w:pStyle w:val="FirstParagraph"/>
      </w:pPr>
      <w:r>
        <w:rPr>
          <w:b/>
          <w:bCs/>
        </w:rPr>
        <w:t xml:space="preserve">Andrew, about 60 seconds, 169 words.</w:t>
      </w:r>
    </w:p>
    <w:p>
      <w:pPr>
        <w:pStyle w:val="BodyText"/>
      </w:pPr>
      <w:r>
        <w:t xml:space="preserve">What actually limits this? Not the satellite data. We added eleven new blocks of predictors this year and not one moved the answer by more than a hundredth. It is the number of biomarker surveys we can learn from. With one survey, a country we have never seen gets a ranking of 0.20. With three, 0.30. The line has not flattened. And it matters which country. Trained on Ghana alone, we rank The Gambia’s districts at 0.61, because Ghana spans the whole gradient from the Sahel to the forest. A training country that contains the whole range teaches the whole range, and we can check whether a candidate country extends that range from free satellite data, before a single blood sample is drawn. So the ask is simple. If your country has a micronutrient survey, recent, planned, or sitting in a drawer, put it in the pool. It improves the map of every other country in it, and yours gets a ranking for the districts your survey never reached.</w:t>
      </w:r>
    </w:p>
    <w:p>
      <w:pPr>
        <w:pStyle w:val="BodyText"/>
      </w:pPr>
      <w:r>
        <w:rPr>
          <w:i/>
          <w:iCs/>
        </w:rPr>
        <w:t xml:space="preserve">Backup, if asked.</w:t>
      </w:r>
      <w:r>
        <w:t xml:space="preserve"> </w:t>
      </w:r>
      <w:r>
        <w:t xml:space="preserve">Part of what holds the curve down is the surveys, not the model: four surveys in four years by four teams, with national levels that differ several-fold. Four or five countries surveyed on one protocol at the same time would let us fit on four and predict the fifth much better. Two candidate models are written down in advance, dated 3 September 2026, so the fifth survey is a real test.</w:t>
      </w:r>
    </w:p>
    <w:bookmarkEnd w:id="24"/>
    <w:bookmarkStart w:id="25" w:name="slide-15.-conclusions-and-next-steps"/>
    <w:p>
      <w:pPr>
        <w:pStyle w:val="Heading1"/>
      </w:pPr>
      <w:r>
        <w:t xml:space="preserve">Slide 15. Conclusions and next steps</w:t>
      </w:r>
    </w:p>
    <w:p>
      <w:pPr>
        <w:pStyle w:val="FirstParagraph"/>
      </w:pPr>
      <w:r>
        <w:rPr>
          <w:b/>
          <w:bCs/>
        </w:rPr>
        <w:t xml:space="preserve">Andrew, about 50 seconds, 130 words.</w:t>
      </w:r>
    </w:p>
    <w:p>
      <w:pPr>
        <w:pStyle w:val="BodyText"/>
      </w:pPr>
      <w:r>
        <w:t xml:space="preserve">Three findings. Public data carry real information about deficiency, and most of it is in the environmental and climate layers that are measured everywhere, every year. That information ranks districts better than the regional averages a programme uses today, at home and across a border. And every survey we add improves every map: the limit is surveys, not predictors. Next, we want to use the models to make surveys count for more: which districts to sample, where to place clusters, how to fill the gaps. Add surveys to the pool, and test the model on a fifth country before anyone acts on it. And compare our predictor story with the MIMI and GBD models, framework by framework. Modelling extends a survey’s reach. It does not replace the survey. Thank you.</w:t>
      </w:r>
    </w:p>
    <w:p>
      <w:pPr>
        <w:pStyle w:val="BodyText"/>
      </w:pPr>
      <w:r>
        <w:rPr>
          <w:i/>
          <w:iCs/>
        </w:rPr>
        <w:t xml:space="preserve">Backup, if asked.</w:t>
      </w:r>
      <w:r>
        <w:t xml:space="preserve"> </w:t>
      </w:r>
      <w:r>
        <w:t xml:space="preserve">A question to hand the room if there is time: how accurate does a district ranking have to be before you would use it? We can say what we get; only programmes can say what is good enough.</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zh-CN" w:val="en-US"/>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9"/>
      <w:szCs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sz w:val="56"/>
      <w:szCs w:val="56"/>
    </w:rPr>
  </w:style>
  <w:style w:customStyle="1" w:styleId="TitleChar" w:type="character">
    <w:name w:val="Title Char"/>
    <w:basedOn w:val="DefaultParagraphFont"/>
    <w:link w:val="Title"/>
    <w:uiPriority w:val="10"/>
    <w:rsid w:val="00A10FD9"/>
    <w:rPr>
      <w:rFonts w:ascii="Calibri" w:cs="Calibri" w:eastAsia="Calibri" w:hAnsi="Calibri"/>
      <w:sz w:val="56"/>
      <w:szCs w:val="56"/>
    </w:rPr>
  </w:style>
  <w:style w:styleId="Subtitle" w:type="paragraph">
    <w:name w:val="Subtitle"/>
    <w:basedOn w:val="Title"/>
    <w:next w:val="BodyText"/>
    <w:link w:val="SubtitleChar"/>
    <w:uiPriority w:val="11"/>
    <w:qFormat/>
    <w:rsid w:val="00A10FD9"/>
    <w:pPr>
      <w:numPr>
        <w:ilvl w:val="1"/>
      </w:numPr>
    </w:pPr>
    <w:rPr>
      <w:rFonts w:cs="Calibri" w:eastAsia="Calibri"/>
      <w:spacing w:val="15"/>
      <w:sz w:val="28"/>
      <w:szCs w:val="28"/>
    </w:rPr>
  </w:style>
  <w:style w:customStyle="1" w:styleId="SubtitleChar" w:type="character">
    <w:name w:val="Subtitle Char"/>
    <w:basedOn w:val="DefaultParagraphFont"/>
    <w:link w:val="Subtitle"/>
    <w:uiPriority w:val="11"/>
    <w:rsid w:val="00A10FD9"/>
    <w:rPr>
      <w:rFonts w:cs="Calibri" w:eastAsia="Calibr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eastAsia="Calibri" w:hAnsi="Calibri"/>
      <w:color w:val="0B5563"/>
      <w:sz w:val="34"/>
      <w:szCs w:val="3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eastAsia="Calibri" w:hAnsi="Calibri"/>
      <w:color w:val="0B5563"/>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Calibri" w:eastAsia="Calibri"/>
      <w:color w:val="404040"/>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Calibri" w:eastAsia="Calibri"/>
      <w:i/>
      <w:iCs/>
      <w:color w:val="40404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Calibri" w:eastAsia="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Calibri" w:eastAsia="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Calibri" w:eastAsia="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Calibri" w:eastAsia="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Calibri" w:eastAsia="Calibri"/>
      <w:color w:themeColor="text1" w:themeTint="D8" w:val="272727"/>
    </w:rPr>
  </w:style>
  <w:style w:customStyle="1" w:styleId="Heading1Char" w:type="character">
    <w:name w:val="Heading 1 Char"/>
    <w:basedOn w:val="DefaultParagraphFont"/>
    <w:link w:val="Heading1"/>
    <w:uiPriority w:val="9"/>
    <w:rsid w:val="00A10FD9"/>
    <w:rPr>
      <w:rFonts w:ascii="Calibri" w:cs="Calibri" w:eastAsia="Calibri" w:hAnsi="Calibr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cs="Calibri" w:eastAsia="Calibri" w:hAnsi="Calibr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Calibri" w:eastAsia="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Calibri" w:eastAsia="Calibri"/>
      <w:i/>
      <w:iCs/>
      <w:color w:themeColor="accent1" w:themeShade="BF" w:val="0F4761"/>
    </w:rPr>
  </w:style>
  <w:style w:customStyle="1" w:styleId="Heading5Char" w:type="character">
    <w:name w:val="Heading 5 Char"/>
    <w:basedOn w:val="DefaultParagraphFont"/>
    <w:link w:val="Heading5"/>
    <w:uiPriority w:val="9"/>
    <w:semiHidden/>
    <w:rsid w:val="00A10FD9"/>
    <w:rPr>
      <w:rFonts w:cs="Calibri" w:eastAsia="Calibri"/>
      <w:color w:themeColor="accent1" w:themeShade="BF" w:val="0F4761"/>
    </w:rPr>
  </w:style>
  <w:style w:customStyle="1" w:styleId="Heading6Char" w:type="character">
    <w:name w:val="Heading 6 Char"/>
    <w:basedOn w:val="DefaultParagraphFont"/>
    <w:link w:val="Heading6"/>
    <w:uiPriority w:val="9"/>
    <w:semiHidden/>
    <w:rsid w:val="00A10FD9"/>
    <w:rPr>
      <w:rFonts w:cs="Calibri" w:eastAsia="Calibri"/>
      <w:i/>
      <w:iCs/>
      <w:color w:themeColor="text1" w:themeTint="A6" w:val="595959"/>
    </w:rPr>
  </w:style>
  <w:style w:customStyle="1" w:styleId="Heading7Char" w:type="character">
    <w:name w:val="Heading 7 Char"/>
    <w:basedOn w:val="DefaultParagraphFont"/>
    <w:link w:val="Heading7"/>
    <w:uiPriority w:val="9"/>
    <w:semiHidden/>
    <w:rsid w:val="00A10FD9"/>
    <w:rPr>
      <w:rFonts w:cs="Calibri" w:eastAsia="Calibri"/>
      <w:color w:themeColor="text1" w:themeTint="A6" w:val="595959"/>
    </w:rPr>
  </w:style>
  <w:style w:customStyle="1" w:styleId="Heading8Char" w:type="character">
    <w:name w:val="Heading 8 Char"/>
    <w:basedOn w:val="DefaultParagraphFont"/>
    <w:link w:val="Heading8"/>
    <w:uiPriority w:val="9"/>
    <w:semiHidden/>
    <w:rsid w:val="00A10FD9"/>
    <w:rPr>
      <w:rFonts w:cs="Calibri" w:eastAsia="Calibri"/>
      <w:i/>
      <w:iCs/>
      <w:color w:themeColor="text1" w:themeTint="D8" w:val="272727"/>
    </w:rPr>
  </w:style>
  <w:style w:customStyle="1" w:styleId="Heading9Char" w:type="character">
    <w:name w:val="Heading 9 Char"/>
    <w:basedOn w:val="DefaultParagraphFont"/>
    <w:link w:val="Heading9"/>
    <w:uiPriority w:val="9"/>
    <w:semiHidden/>
    <w:rsid w:val="00A10FD9"/>
    <w:rPr>
      <w:rFonts w:cs="Calibri" w:eastAsia="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pace="0" w:sz="4" w:val="single"/>
        <w:left w:val="nil"/>
        <w:bottom w:color="BFBFBF" w:space="0" w:sz="4" w:val="single"/>
        <w:right w:val="nil"/>
        <w:insideH w:color="D9D9D9" w:space="0" w:sz="4" w:val="single"/>
        <w:insideV w:val="nil"/>
      </w:tblBorders>
      <w:tblCellMar>
        <w:top w:type="dxa" w:w="40"/>
        <w:left w:type="dxa" w:w="80"/>
        <w:bottom w:type="dxa" w:w="40"/>
        <w:right w:type="dxa" w:w="80"/>
      </w:tblCellMar>
    </w:tblPr>
    <w:tblStylePr w:type="firstRow">
      <w:rPr>
        <w:b/>
      </w:rPr>
      <w:tcPr>
        <w:tcBorders>
          <w:bottom w:color="808080" w:space="0" w:sz="8" w:val="single"/>
        </w:tcBorders>
        <w:shd w:color="auto" w:fill="F2F2F2"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Spoken script: joint 15-minute talk, Micronutrient Forum 2026</dc:title>
  <dc:creator/>
  <cp:keywords/>
  <dcterms:created xsi:type="dcterms:W3CDTF">2026-09-19T13:10:51Z</dcterms:created>
  <dcterms:modified xsi:type="dcterms:W3CDTF">2026-09-19T13:10:51Z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September 2026</vt:lpwstr>
  </property>
  <property fmtid="{D5CDD505-2E9C-101B-9397-08002B2CF9AE}" pid="3" name="subtitle">
    <vt:lpwstr>Predicting Micronutrient Deficiency Prevalence in Sub-Saharan Africa Using Proxy Indicators. Sonja Y. Hess and Andrew N. Mertens. Draft for editing.</vt:lpwstr>
  </property>
</Properties>
</file>