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2026-09-10</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454</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0.40 against 0.31 on the biomarker concentration,</w:t>
      </w:r>
      <w:r>
        <w:t xml:space="preserve"> </w:t>
      </w:r>
      <w:r>
        <w:t xml:space="preserve">0.29 against 0.22 on prevalence) but a covariate-free spatial smoother</w:t>
      </w:r>
      <w:r>
        <w:t xml:space="preserve"> </w:t>
      </w:r>
      <w:r>
        <w:t xml:space="preserve">scores 0.39 where the full covariate model scores 0.40. Rankings transport</w:t>
      </w:r>
      <w:r>
        <w:t xml:space="preserve"> </w:t>
      </w:r>
      <w:r>
        <w:t xml:space="preserve">to a country never used in training: mean Spearman 0.26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0.45 (20 of 22). Absolute prevalence does not transport. Directing effort to</w:t>
      </w:r>
      <w:r>
        <w:t xml:space="preserve"> </w:t>
      </w:r>
      <w:r>
        <w:t xml:space="preserve">the fifth of districts the model ranks worst reaches 22%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each survey’s matching year is the calendar year of the</w:t>
      </w:r>
      <w:r>
        <w:t xml:space="preserve"> </w:t>
      </w:r>
      <w:r>
        <w:t xml:space="preserve">respondent-weighted median interview date (2018, 2017, 2013 and 2016), held in</w:t>
      </w:r>
      <w:r>
        <w:t xml:space="preserve"> </w:t>
      </w:r>
      <w:r>
        <w:t xml:space="preserve">one table that every extractor reads.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All four surveys</w:t>
      </w:r>
      <w:r>
        <w:t xml:space="preserve"> </w:t>
      </w:r>
      <w:r>
        <w:t xml:space="preserve">measured retinol-binding protein on the same laboratory’s ELISA, but each</w:t>
      </w:r>
      <w:r>
        <w:t xml:space="preserve"> </w:t>
      </w:r>
      <w:r>
        <w:t xml:space="preserve">calibrated it to serum retinol on its own subsample of 14 to 300 specimens</w:t>
      </w:r>
      <w:r>
        <w:t xml:space="preserve"> </w:t>
      </w:r>
      <w:r>
        <w:t xml:space="preserve">and obtained a different line, so that 0.70 µmol/L of RBP corresponds to</w:t>
      </w:r>
      <w:r>
        <w:t xml:space="preserve"> </w:t>
      </w:r>
      <w:r>
        <w:t xml:space="preserve">0.61 to 0.91 µmol/L of retinol across the four; the adjusted RBP is</w:t>
      </w:r>
      <w:r>
        <w:t xml:space="preserve"> </w:t>
      </w:r>
      <w:r>
        <w:t xml:space="preserve">therefore converted to retinol-equivalents with each survey’s published</w:t>
      </w:r>
      <w:r>
        <w:t xml:space="preserve"> </w:t>
      </w:r>
      <w:r>
        <w:t xml:space="preserve">regression before the 0.70 µmol/L threshold is applied. Malawi’s vitamin</w:t>
      </w:r>
      <w:r>
        <w:t xml:space="preserve"> </w:t>
      </w:r>
      <w:r>
        <w:t xml:space="preserve">B12, reported in pg/mL, is converted to pmol/L before its threshold.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28.0</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3.1</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10.9</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6.7</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1.1</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454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Any survey-derived indicator that names a</w:t>
      </w:r>
      <w:r>
        <w:t xml:space="preserve"> </w:t>
      </w:r>
      <w:r>
        <w:t xml:space="preserve">target nutrient or its biomarker (anaemia, haemoglobin, ferritin, retinol,</w:t>
      </w:r>
      <w:r>
        <w:t xml:space="preserve"> </w:t>
      </w:r>
      <w:r>
        <w:t xml:space="preserve">iron, vitamin A, zinc, folate, B12, iodine), whatever its spelling, is removed</w:t>
      </w:r>
      <w:r>
        <w:t xml:space="preserve"> </w:t>
      </w:r>
      <w:r>
        <w:t xml:space="preserve">as leakage: such indicators are the outcome’s own biomarker, or intakes and</w:t>
      </w:r>
      <w:r>
        <w:t xml:space="preserve"> </w:t>
      </w:r>
      <w:r>
        <w:t xml:space="preserve">interventions targeted by measured deficiency, from the same survey as the</w:t>
      </w:r>
      <w:r>
        <w:t xml:space="preserve"> </w:t>
      </w:r>
      <w:r>
        <w:t xml:space="preserve">outcome. The rule is enforced when the vocabulary is built and again when each</w:t>
      </w:r>
      <w:r>
        <w:t xml:space="preserve"> </w:t>
      </w:r>
      <w:r>
        <w:t xml:space="preserve">model’s design matrix is assembled.</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59</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Dietary diversity</w:t>
                  </w:r>
                </w:p>
              </w:tc>
              <w:tc>
                <w:tcPr/>
                <w:p>
                  <w:pPr>
                    <w:pStyle w:val="Compact"/>
                    <w:jc w:val="right"/>
                    <w:jc w:val="center"/>
                  </w:pPr>
                  <w:r>
                    <w:t xml:space="preserve">10</w:t>
                  </w:r>
                </w:p>
              </w:tc>
              <w:tc>
                <w:tcPr/>
                <w:p>
                  <w:pPr>
                    <w:pStyle w:val="Compact"/>
                    <w:jc w:val="left"/>
                    <w:jc w:val="center"/>
                  </w:pPr>
                  <w:r>
                    <w:t xml:space="preserve">DHS / MICS</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Food fortification and supplementation</w:t>
                  </w:r>
                </w:p>
              </w:tc>
              <w:tc>
                <w:tcPr/>
                <w:p>
                  <w:pPr>
                    <w:pStyle w:val="Compact"/>
                    <w:jc w:val="right"/>
                    <w:jc w:val="center"/>
                  </w:pPr>
                  <w:r>
                    <w:t xml:space="preserve">3</w:t>
                  </w:r>
                </w:p>
              </w:tc>
              <w:tc>
                <w:tcPr/>
                <w:p>
                  <w:pPr>
                    <w:pStyle w:val="Compact"/>
                    <w:jc w:val="left"/>
                    <w:jc w:val="center"/>
                  </w:pPr>
                  <w:r>
                    <w:t xml:space="preserve">DHS / MICS, GFDx</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The design effect is measured at the national level for each</w:t>
      </w:r>
      <w:r>
        <w:t xml:space="preserve"> </w:t>
      </w:r>
      <w:r>
        <w:t xml:space="preserve">country and outcome (median 2.4; the conventional 1.5 understates it) and</w:t>
      </w:r>
      <w:r>
        <w:t xml:space="preserve"> </w:t>
      </w:r>
      <w:r>
        <w:t xml:space="preserve">split into a weighting part,</w:t>
      </w:r>
      <w:r>
        <w:t xml:space="preserve"> </w:t>
      </w:r>
      <m:oMath>
        <m:r>
          <m:t>n</m:t>
        </m:r>
        <m:r>
          <m:rPr>
            <m:sty m:val="p"/>
          </m:rPr>
          <m:t>/</m:t>
        </m:r>
        <m:sSub>
          <m:e>
            <m:r>
              <m:t>n</m:t>
            </m:r>
          </m:e>
          <m:sub>
            <m:r>
              <m:rPr>
                <m:nor/>
                <m:sty m:val="p"/>
              </m:rPr>
              <m:t>Kish</m:t>
            </m:r>
          </m:sub>
        </m:sSub>
      </m:oMath>
      <w:r>
        <w:t xml:space="preserve">, and a clustering part,</w:t>
      </w:r>
      <w:r>
        <w:t xml:space="preserve"> </w:t>
      </w:r>
      <m:oMath>
        <m:r>
          <m:t>1</m:t>
        </m:r>
        <m:r>
          <m:rPr>
            <m:sty m:val="p"/>
          </m:rPr>
          <m:t>+</m:t>
        </m:r>
        <m:d>
          <m:dPr>
            <m:begChr m:val="("/>
            <m:endChr m:val=")"/>
            <m:sepChr m:val=""/>
            <m:grow/>
          </m:dPr>
          <m:e>
            <m:r>
              <m:t>b</m:t>
            </m:r>
            <m:r>
              <m:rPr>
                <m:sty m:val="p"/>
              </m:rPr>
              <m:t>−</m:t>
            </m:r>
            <m:r>
              <m:t>1</m:t>
            </m:r>
          </m:e>
        </m:d>
        <m:r>
          <m:t>ρ</m:t>
        </m:r>
      </m:oMath>
      <w:r>
        <w:t xml:space="preserve"> </w:t>
      </w:r>
      <w:r>
        <w:t xml:space="preserve">with</w:t>
      </w:r>
      <w:r>
        <w:t xml:space="preserve"> </w:t>
      </w:r>
      <m:oMath>
        <m:r>
          <m:t>b</m:t>
        </m:r>
      </m:oMath>
      <w:r>
        <w:t xml:space="preserve"> </w:t>
      </w:r>
      <w:r>
        <w:t xml:space="preserve">the mean respondents per cluster; the implied</w:t>
      </w:r>
      <w:r>
        <w:t xml:space="preserve"> </w:t>
      </w:r>
      <w:r>
        <w:t xml:space="preserve">intra-cluster correlation</w:t>
      </w:r>
      <w:r>
        <w:t xml:space="preserve"> </w:t>
      </w:r>
      <m:oMath>
        <m:r>
          <m:t>ρ</m:t>
        </m:r>
      </m:oMath>
      <w:r>
        <w:t xml:space="preserve"> </w:t>
      </w:r>
      <w:r>
        <w:t xml:space="preserve">(0 to 0.21) then transfers to each district,</w:t>
      </w:r>
      <w:r>
        <w:t xml:space="preserve"> </w:t>
      </w:r>
      <w:r>
        <w:t xml:space="preserve">whose own Kish</w:t>
      </w:r>
      <w:r>
        <w:t xml:space="preserve"> </w:t>
      </w:r>
      <m:oMath>
        <m:r>
          <m:t>n</m:t>
        </m:r>
      </m:oMath>
      <w:r>
        <w:t xml:space="preserve"> </w:t>
      </w:r>
      <w:r>
        <w:t xml:space="preserve">and cluster count give its effective</w:t>
      </w:r>
      <w:r>
        <w:t xml:space="preserve"> </w:t>
      </w:r>
      <m:oMath>
        <m:r>
          <m:t>n</m:t>
        </m:r>
      </m:oMath>
      <w:r>
        <w:t xml:space="preserve">, so a district of</w:t>
      </w:r>
      <w:r>
        <w:t xml:space="preserve"> </w:t>
      </w:r>
      <w:r>
        <w:t xml:space="preserve">three small clusters is no longer charged the national mean take.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 Because</w:t>
      </w:r>
      <w:r>
        <w:t xml:space="preserve"> </w:t>
      </w:r>
      <w:r>
        <w:t xml:space="preserve">the index is linear in the rank-normalised predictors, its component weights</w:t>
      </w:r>
      <w:r>
        <w:t xml:space="preserve"> </w:t>
      </w:r>
      <w:r>
        <w:t xml:space="preserve">project back exactly onto the original columns</w:t>
      </w:r>
      <w:r>
        <w:t xml:space="preserve"> </w:t>
      </w:r>
      <w:r>
        <w:t xml:space="preserve">(</w:t>
      </w:r>
      <m:oMath>
        <m:sSub>
          <m:e>
            <m:r>
              <m:t>β</m:t>
            </m:r>
          </m:e>
          <m:sub>
            <m:r>
              <m:t>j</m:t>
            </m:r>
          </m:sub>
        </m:sSub>
        <m:r>
          <m:rPr>
            <m:sty m:val="p"/>
          </m:rPr>
          <m:t>=</m:t>
        </m:r>
        <m:nary>
          <m:naryPr>
            <m:chr m:val="∑"/>
            <m:limLoc m:val="undOvr"/>
            <m:subHide m:val="off"/>
            <m:supHide m:val="on"/>
          </m:naryPr>
          <m:sub>
            <m:r>
              <m:t>k</m:t>
            </m:r>
          </m:sub>
          <m:sup>
            <m:r>
              <m:t>​</m:t>
            </m:r>
          </m:sup>
          <m:e>
            <m:sSub>
              <m:e>
                <m:r>
                  <m:t>w</m:t>
                </m:r>
              </m:e>
              <m:sub>
                <m:r>
                  <m:t>k</m:t>
                </m:r>
              </m:sub>
            </m:sSub>
          </m:e>
        </m:nary>
        <m:sSubSup>
          <m:e>
            <m:r>
              <m:t>R</m:t>
            </m:r>
          </m:e>
          <m:sub>
            <m:r>
              <m:t>j</m:t>
            </m:r>
            <m:r>
              <m:t>k</m:t>
            </m:r>
          </m:sub>
          <m:sup>
            <m:r>
              <m:rPr>
                <m:sty m:val="p"/>
              </m:rPr>
              <m:t>*</m:t>
            </m:r>
          </m:sup>
        </m:sSubSup>
      </m:oMath>
      <w:r>
        <w:t xml:space="preserve">, with</w:t>
      </w:r>
      <w:r>
        <w:t xml:space="preserve"> </w:t>
      </w:r>
      <m:oMath>
        <m:sSup>
          <m:e>
            <m:r>
              <m:t>R</m:t>
            </m:r>
          </m:e>
          <m:sup>
            <m:r>
              <m:rPr>
                <m:sty m:val="p"/>
              </m:rPr>
              <m:t>*</m:t>
            </m:r>
          </m:sup>
        </m:sSup>
      </m:oMath>
      <w:r>
        <w:t xml:space="preserve"> </w:t>
      </w:r>
      <w:r>
        <w:t xml:space="preserve">the oriented rotation of the</w:t>
      </w:r>
      <w:r>
        <w:t xml:space="preserve"> </w:t>
      </w:r>
      <w:r>
        <w:t xml:space="preserve">column’s domain), which is how predictor importance is reported</w:t>
      </w:r>
      <w:r>
        <w:t xml:space="preserve"> </w:t>
      </w:r>
      <w:r>
        <w:t xml:space="preserve">(</w:t>
      </w:r>
      <w:hyperlink w:anchor="fig-importance">
        <w:r>
          <w:rPr>
            <w:rStyle w:val="Hyperlink"/>
          </w:rPr>
          <w:t xml:space="preserve">Figure 1</w:t>
        </w:r>
      </w:hyperlink>
      <w:r>
        <w:t xml:space="preserve">): a weight per unit of rank-normal score, comparable across</w:t>
      </w:r>
      <w:r>
        <w:t xml:space="preserve"> </w:t>
      </w:r>
      <w:r>
        <w:t xml:space="preserve">predictors because every column shares that scale, with an exact</w:t>
      </w:r>
      <w:r>
        <w:t xml:space="preserve"> </w:t>
      </w:r>
      <w:r>
        <w:t xml:space="preserve">decomposition of the index’s variance by predictor and by domain. The same</w:t>
      </w:r>
      <w:r>
        <w:t xml:space="preserve"> </w:t>
      </w:r>
      <w:r>
        <w:t xml:space="preserve">projection defines a sparse companion, the</w:t>
      </w:r>
      <w:r>
        <w:t xml:space="preserve"> </w:t>
      </w:r>
      <w:r>
        <w:rPr>
          <w:b/>
          <w:bCs/>
        </w:rPr>
        <w:t xml:space="preserve">twenty-predictor composite</w:t>
      </w:r>
      <w:r>
        <w:t xml:space="preserve">:</w:t>
      </w:r>
      <w:r>
        <w:t xml:space="preserve"> </w:t>
      </w:r>
      <w:r>
        <w:t xml:space="preserve">inside each training fold the twenty columns with the largest back-projected</w:t>
      </w:r>
      <w:r>
        <w:t xml:space="preserve"> </w:t>
      </w:r>
      <w:r>
        <w:t xml:space="preserve">weight are kept and summed with equal weights and the sign of their weight,</w:t>
      </w:r>
      <w:r>
        <w:t xml:space="preserve"> </w:t>
      </w:r>
      <w:r>
        <w:t xml:space="preserve">then rescaled like the index. Membership is chosen on training districts</w:t>
      </w:r>
      <w:r>
        <w:t xml:space="preserve"> </w:t>
      </w:r>
      <w:r>
        <w:t xml:space="preserve">only, so the composite is scored under exactly the folds of the index.</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9"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0.28</w:t>
      </w:r>
      <w:r>
        <w:t xml:space="preserve"> </w:t>
      </w:r>
      <w:r>
        <w:t xml:space="preserve">against</w:t>
      </w:r>
      <w:r>
        <w:t xml:space="preserve"> </w:t>
      </w:r>
      <w:r>
        <w:t xml:space="preserve">0.22</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14</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0.34</w:t>
                  </w:r>
                </w:p>
              </w:tc>
              <w:tc>
                <w:tcPr/>
                <w:p>
                  <w:pPr>
                    <w:pStyle w:val="Compact"/>
                    <w:jc w:val="right"/>
                    <w:jc w:val="center"/>
                  </w:pPr>
                  <w:r>
                    <w:t xml:space="preserve">16</w:t>
                  </w:r>
                </w:p>
              </w:tc>
              <w:tc>
                <w:tcPr/>
                <w:p>
                  <w:pPr>
                    <w:pStyle w:val="Compact"/>
                    <w:jc w:val="right"/>
                    <w:jc w:val="center"/>
                  </w:pPr>
                  <w:r>
                    <w:t xml:space="preserve">0.18</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0.17</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0.22</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(0.28</w:t>
      </w:r>
      <w:r>
        <w:t xml:space="preserve"> </w:t>
      </w:r>
      <w:r>
        <w:t xml:space="preserve">against</w:t>
      </w:r>
      <w:r>
        <w:t xml:space="preserve"> </w:t>
      </w:r>
      <w:r>
        <w:t xml:space="preserve">0.17</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0.24</w:t>
                  </w:r>
                </w:p>
              </w:tc>
              <w:tc>
                <w:tcPr/>
                <w:p>
                  <w:pPr>
                    <w:pStyle w:val="Compact"/>
                    <w:jc w:val="right"/>
                    <w:jc w:val="center"/>
                  </w:pPr>
                  <w:r>
                    <w:t xml:space="preserve">14</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0.26</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0.23</w:t>
                  </w:r>
                </w:p>
              </w:tc>
              <w:tc>
                <w:tcPr/>
                <w:p>
                  <w:pPr>
                    <w:pStyle w:val="Compact"/>
                    <w:jc w:val="right"/>
                    <w:jc w:val="center"/>
                  </w:pPr>
                  <w:r>
                    <w:t xml:space="preserve">14</w:t>
                  </w:r>
                </w:p>
              </w:tc>
            </w:tr>
            <w:tr>
              <w:tc>
                <w:tcPr/>
                <w:p>
                  <w:pPr>
                    <w:pStyle w:val="Compact"/>
                    <w:jc w:val="left"/>
                    <w:jc w:val="center"/>
                  </w:pPr>
                  <w:r>
                    <w:t xml:space="preserve">Elastic net on domain PCs</w:t>
                  </w:r>
                </w:p>
              </w:tc>
              <w:tc>
                <w:tcPr/>
                <w:p>
                  <w:pPr>
                    <w:pStyle w:val="Compact"/>
                    <w:jc w:val="right"/>
                    <w:jc w:val="center"/>
                  </w:pPr>
                  <w:r>
                    <w:t xml:space="preserve">0.29</w:t>
                  </w:r>
                </w:p>
              </w:tc>
              <w:tc>
                <w:tcPr/>
                <w:p>
                  <w:pPr>
                    <w:pStyle w:val="Compact"/>
                    <w:jc w:val="right"/>
                    <w:jc w:val="center"/>
                  </w:pPr>
                  <w:r>
                    <w:t xml:space="preserve">16</w:t>
                  </w:r>
                </w:p>
              </w:tc>
              <w:tc>
                <w:tcPr/>
                <w:p>
                  <w:pPr>
                    <w:pStyle w:val="Compact"/>
                    <w:jc w:val="right"/>
                    <w:jc w:val="center"/>
                  </w:pPr>
                  <w:r>
                    <w:t xml:space="preserve">0.11</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0.20</w:t>
                  </w:r>
                </w:p>
              </w:tc>
              <w:tc>
                <w:tcPr/>
                <w:p>
                  <w:pPr>
                    <w:pStyle w:val="Compact"/>
                    <w:jc w:val="right"/>
                    <w:jc w:val="center"/>
                  </w:pPr>
                  <w:r>
                    <w:t xml:space="preserve">14</w:t>
                  </w:r>
                </w:p>
              </w:tc>
              <w:tc>
                <w:tcPr/>
                <w:p>
                  <w:pPr>
                    <w:pStyle w:val="Compact"/>
                    <w:jc w:val="right"/>
                    <w:jc w:val="center"/>
                  </w:pPr>
                  <w:r>
                    <w:t xml:space="preserve">-0.01</w:t>
                  </w:r>
                </w:p>
              </w:tc>
              <w:tc>
                <w:tcPr/>
                <w:p>
                  <w:pPr>
                    <w:pStyle w:val="Compact"/>
                    <w:jc w:val="right"/>
                    <w:jc w:val="center"/>
                  </w:pPr>
                  <w:r>
                    <w:t xml:space="preserve">9</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-0.54</w:t>
                  </w:r>
                </w:p>
              </w:tc>
              <w:tc>
                <w:tcPr/>
                <w:p>
                  <w:pPr>
                    <w:pStyle w:val="Compact"/>
                    <w:jc w:val="right"/>
                    <w:jc w:val="center"/>
                  </w:pPr>
                  <w:r>
                    <w:t xml:space="preserve">0</w:t>
                  </w:r>
                </w:p>
              </w:tc>
            </w:tr>
          </w:tbl>
          <w:bookmarkEnd w:id="32"/>
          <w:p/>
        </w:tc>
      </w:tr>
    </w:tbl>
    <w:bookmarkEnd w:id="33"/>
    <w:bookmarkStart w:id="41"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0.26</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0.31;</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part of its margin (median</w:t>
      </w:r>
      <w:r>
        <w:t xml:space="preserve"> </w:t>
      </w:r>
      <w:r>
        <w:t xml:space="preserve">difference from the full index +0.04, better in 13 of 22 cells, from -0.02</w:t>
      </w:r>
      <w:r>
        <w:t xml:space="preserve"> </w:t>
      </w:r>
      <w:r>
        <w:t xml:space="preserve">before the survey-derived columns were re-estimated in DS-01).</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0.26</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0.24</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0.31</w:t>
                  </w:r>
                </w:p>
              </w:tc>
              <w:tc>
                <w:tcPr/>
                <w:p>
                  <w:pPr>
                    <w:pStyle w:val="Compact"/>
                    <w:jc w:val="right"/>
                    <w:jc w:val="center"/>
                  </w:pPr>
                  <w:r>
                    <w:t xml:space="preserve">0.33</w:t>
                  </w:r>
                </w:p>
              </w:tc>
              <w:tc>
                <w:tcPr/>
                <w:p>
                  <w:pPr>
                    <w:pStyle w:val="Compact"/>
                    <w:jc w:val="right"/>
                    <w:jc w:val="center"/>
                  </w:pPr>
                  <w:r>
                    <w:t xml:space="preserve">0.45</w:t>
                  </w:r>
                </w:p>
              </w:tc>
              <w:tc>
                <w:tcPr/>
                <w:p>
                  <w:pPr>
                    <w:pStyle w:val="Compact"/>
                    <w:jc w:val="right"/>
                    <w:jc w:val="center"/>
                  </w:pPr>
                  <w:r>
                    <w:t xml:space="preserve">0.27</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131 survey</w:t>
      </w:r>
      <w:r>
        <w:t xml:space="preserve"> </w:t>
      </w:r>
      <w:r>
        <w:t xml:space="preserve">indicator columns improves it by 0.07.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Climate and weather</w:t>
                  </w:r>
                </w:p>
              </w:tc>
              <w:tc>
                <w:tcPr/>
                <w:p>
                  <w:pPr>
                    <w:pStyle w:val="Compact"/>
                    <w:jc w:val="right"/>
                    <w:jc w:val="center"/>
                  </w:pPr>
                  <w:r>
                    <w:t xml:space="preserve">0.019</w:t>
                  </w:r>
                </w:p>
              </w:tc>
              <w:tc>
                <w:tcPr/>
                <w:p>
                  <w:pPr>
                    <w:pStyle w:val="Compact"/>
                    <w:jc w:val="right"/>
                    <w:jc w:val="center"/>
                  </w:pPr>
                  <w:r>
                    <w:t xml:space="preserve">0.353</w:t>
                  </w:r>
                </w:p>
              </w:tc>
            </w:tr>
            <w:tr>
              <w:tc>
                <w:tcPr/>
                <w:p>
                  <w:pPr>
                    <w:pStyle w:val="Compact"/>
                    <w:jc w:val="left"/>
                    <w:jc w:val="center"/>
                  </w:pPr>
                  <w:r>
                    <w:t xml:space="preserve">Soil characteristics</w:t>
                  </w:r>
                </w:p>
              </w:tc>
              <w:tc>
                <w:tcPr/>
                <w:p>
                  <w:pPr>
                    <w:pStyle w:val="Compact"/>
                    <w:jc w:val="right"/>
                    <w:jc w:val="center"/>
                  </w:pPr>
                  <w:r>
                    <w:t xml:space="preserve">0.015</w:t>
                  </w:r>
                </w:p>
              </w:tc>
              <w:tc>
                <w:tcPr/>
                <w:p>
                  <w:pPr>
                    <w:pStyle w:val="Compact"/>
                    <w:jc w:val="right"/>
                    <w:jc w:val="center"/>
                  </w:pPr>
                  <w:r>
                    <w:t xml:space="preserve">0.327</w:t>
                  </w:r>
                </w:p>
              </w:tc>
            </w:tr>
            <w:tr>
              <w:tc>
                <w:tcPr/>
                <w:p>
                  <w:pPr>
                    <w:pStyle w:val="Compact"/>
                    <w:jc w:val="left"/>
                    <w:jc w:val="center"/>
                  </w:pPr>
                  <w:r>
                    <w:t xml:space="preserve">Nutrition status (MODELLED SURFACE)</w:t>
                  </w:r>
                </w:p>
              </w:tc>
              <w:tc>
                <w:tcPr/>
                <w:p>
                  <w:pPr>
                    <w:pStyle w:val="Compact"/>
                    <w:jc w:val="right"/>
                    <w:jc w:val="center"/>
                  </w:pPr>
                  <w:r>
                    <w:t xml:space="preserve">0.011</w:t>
                  </w:r>
                </w:p>
              </w:tc>
              <w:tc>
                <w:tcPr/>
                <w:p>
                  <w:pPr>
                    <w:pStyle w:val="Compact"/>
                    <w:jc w:val="right"/>
                    <w:jc w:val="center"/>
                  </w:pPr>
                  <w:r>
                    <w:t xml:space="preserve">0.220</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0.262</w:t>
                  </w:r>
                </w:p>
              </w:tc>
            </w:tr>
            <w:tr>
              <w:tc>
                <w:tcPr/>
                <w:p>
                  <w:pPr>
                    <w:pStyle w:val="Compact"/>
                    <w:jc w:val="left"/>
                    <w:jc w:val="center"/>
                  </w:pPr>
                  <w:r>
                    <w:t xml:space="preserve">Livestock density</w:t>
                  </w:r>
                </w:p>
              </w:tc>
              <w:tc>
                <w:tcPr/>
                <w:p>
                  <w:pPr>
                    <w:pStyle w:val="Compact"/>
                    <w:jc w:val="right"/>
                    <w:jc w:val="center"/>
                  </w:pPr>
                  <w:r>
                    <w:t xml:space="preserve">0.009</w:t>
                  </w:r>
                </w:p>
              </w:tc>
              <w:tc>
                <w:tcPr/>
                <w:p>
                  <w:pPr>
                    <w:pStyle w:val="Compact"/>
                    <w:jc w:val="right"/>
                    <w:jc w:val="center"/>
                  </w:pPr>
                  <w:r>
                    <w:t xml:space="preserve">0.236</w:t>
                  </w:r>
                </w:p>
              </w:tc>
            </w:tr>
            <w:tr>
              <w:tc>
                <w:tcPr/>
                <w:p>
                  <w:pPr>
                    <w:pStyle w:val="Compact"/>
                    <w:jc w:val="left"/>
                    <w:jc w:val="center"/>
                  </w:pPr>
                  <w:r>
                    <w:t xml:space="preserve">Malaria incidence and treatment</w:t>
                  </w:r>
                </w:p>
              </w:tc>
              <w:tc>
                <w:tcPr/>
                <w:p>
                  <w:pPr>
                    <w:pStyle w:val="Compact"/>
                    <w:jc w:val="right"/>
                    <w:jc w:val="center"/>
                  </w:pPr>
                  <w:r>
                    <w:t xml:space="preserve">0.005</w:t>
                  </w:r>
                </w:p>
              </w:tc>
              <w:tc>
                <w:tcPr/>
                <w:p>
                  <w:pPr>
                    <w:pStyle w:val="Compact"/>
                    <w:jc w:val="right"/>
                    <w:jc w:val="center"/>
                  </w:pPr>
                  <w:r>
                    <w:t xml:space="preserve">0.043</w:t>
                  </w:r>
                </w:p>
              </w:tc>
            </w:tr>
            <w:tr>
              <w:tc>
                <w:tcPr/>
                <w:p>
                  <w:pPr>
                    <w:pStyle w:val="Compact"/>
                    <w:jc w:val="left"/>
                    <w:jc w:val="center"/>
                  </w:pPr>
                  <w:r>
                    <w:t xml:space="preserve">Helminth burden and control</w:t>
                  </w:r>
                </w:p>
              </w:tc>
              <w:tc>
                <w:tcPr/>
                <w:p>
                  <w:pPr>
                    <w:pStyle w:val="Compact"/>
                    <w:jc w:val="right"/>
                    <w:jc w:val="center"/>
                  </w:pPr>
                  <w:r>
                    <w:t xml:space="preserve">0.002</w:t>
                  </w:r>
                </w:p>
              </w:tc>
              <w:tc>
                <w:tcPr/>
                <w:p>
                  <w:pPr>
                    <w:pStyle w:val="Compact"/>
                    <w:jc w:val="right"/>
                    <w:jc w:val="center"/>
                  </w:pPr>
                  <w:r>
                    <w:t xml:space="preserve">-0.030</w:t>
                  </w:r>
                </w:p>
              </w:tc>
            </w:tr>
            <w:tr>
              <w:tc>
                <w:tcPr/>
                <w:p>
                  <w:pPr>
                    <w:pStyle w:val="Compact"/>
                    <w:jc w:val="left"/>
                    <w:jc w:val="center"/>
                  </w:pPr>
                  <w:r>
                    <w:t xml:space="preserve">Malaria</w:t>
                  </w:r>
                </w:p>
              </w:tc>
              <w:tc>
                <w:tcPr/>
                <w:p>
                  <w:pPr>
                    <w:pStyle w:val="Compact"/>
                    <w:jc w:val="right"/>
                    <w:jc w:val="center"/>
                  </w:pPr>
                  <w:r>
                    <w:t xml:space="preserve">0.000</w:t>
                  </w:r>
                </w:p>
              </w:tc>
              <w:tc>
                <w:tcPr/>
                <w:p>
                  <w:pPr>
                    <w:pStyle w:val="Compact"/>
                    <w:jc w:val="right"/>
                    <w:jc w:val="center"/>
                  </w:pPr>
                  <w:r>
                    <w:t xml:space="preserve">-0.038</w:t>
                  </w:r>
                </w:p>
              </w:tc>
            </w:tr>
            <w:tr>
              <w:tc>
                <w:tcPr/>
                <w:p>
                  <w:pPr>
                    <w:pStyle w:val="Compact"/>
                    <w:jc w:val="left"/>
                    <w:jc w:val="center"/>
                  </w:pPr>
                  <w:r>
                    <w:t xml:space="preserve">Education, employment, SES</w:t>
                  </w:r>
                </w:p>
              </w:tc>
              <w:tc>
                <w:tcPr/>
                <w:p>
                  <w:pPr>
                    <w:pStyle w:val="Compact"/>
                    <w:jc w:val="right"/>
                    <w:jc w:val="center"/>
                  </w:pPr>
                  <w:r>
                    <w:t xml:space="preserve">-0.001</w:t>
                  </w:r>
                </w:p>
              </w:tc>
              <w:tc>
                <w:tcPr/>
                <w:p>
                  <w:pPr>
                    <w:pStyle w:val="Compact"/>
                    <w:jc w:val="right"/>
                    <w:jc w:val="center"/>
                  </w:pPr>
                  <w:r>
                    <w:t xml:space="preserve">0.159</w:t>
                  </w:r>
                </w:p>
              </w:tc>
            </w:tr>
            <w:tr>
              <w:tc>
                <w:tcPr/>
                <w:p>
                  <w:pPr>
                    <w:pStyle w:val="Compact"/>
                    <w:jc w:val="left"/>
                    <w:jc w:val="center"/>
                  </w:pPr>
                  <w:r>
                    <w:t xml:space="preserve">Food fortification and supplementation</w:t>
                  </w:r>
                </w:p>
              </w:tc>
              <w:tc>
                <w:tcPr/>
                <w:p>
                  <w:pPr>
                    <w:pStyle w:val="Compact"/>
                    <w:jc w:val="right"/>
                    <w:jc w:val="center"/>
                  </w:pPr>
                  <w:r>
                    <w:t xml:space="preserve">-0.002</w:t>
                  </w:r>
                </w:p>
              </w:tc>
              <w:tc>
                <w:tcPr/>
                <w:p>
                  <w:pPr>
                    <w:pStyle w:val="Compact"/>
                    <w:jc w:val="right"/>
                    <w:jc w:val="center"/>
                  </w:pPr>
                  <w:r>
                    <w:t xml:space="preserve">0.039</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p>
      <w:pPr>
        <w:pStyle w:val="BodyText"/>
      </w:pPr>
      <w:r>
        <w:t xml:space="preserve">What the index weights, once its component weights are projected back onto</w:t>
      </w:r>
      <w:r>
        <w:t xml:space="preserve"> </w:t>
      </w:r>
      <w:r>
        <w:t xml:space="preserve">the columns, is one gradient that recurs in every outcome (</w:t>
      </w:r>
      <w:hyperlink w:anchor="fig-importance">
        <w:r>
          <w:rPr>
            <w:rStyle w:val="Hyperlink"/>
          </w:rPr>
          <w:t xml:space="preserve">Figure 1</w:t>
        </w:r>
      </w:hyperlink>
      <w:r>
        <w:t xml:space="preserve">):</w:t>
      </w:r>
      <w:r>
        <w:t xml:space="preserve"> </w:t>
      </w:r>
      <w:r>
        <w:t xml:space="preserve">districts that are drier and grassier, less productive (lower net and gross</w:t>
      </w:r>
      <w:r>
        <w:t xml:space="preserve"> </w:t>
      </w:r>
      <w:r>
        <w:t xml:space="preserve">primary productivity), more pastoral (a higher ruminant share of livestock,</w:t>
      </w:r>
      <w:r>
        <w:t xml:space="preserve"> </w:t>
      </w:r>
      <w:r>
        <w:t xml:space="preserve">more livestock units per head), poorer (less house ownership, fewer women in</w:t>
      </w:r>
      <w:r>
        <w:t xml:space="preserve"> </w:t>
      </w:r>
      <w:r>
        <w:t xml:space="preserve">work, less schooling) and more stunted score high on all six deficiencies,</w:t>
      </w:r>
      <w:r>
        <w:t xml:space="preserve"> </w:t>
      </w:r>
      <w:r>
        <w:t xml:space="preserve">and vegetation productivity, schooling and market proxies score low. The</w:t>
      </w:r>
      <w:r>
        <w:t xml:space="preserve"> </w:t>
      </w:r>
      <w:r>
        <w:t xml:space="preserve">positive weight on livestock density for iron and B12 is ecological rather</w:t>
      </w:r>
      <w:r>
        <w:t xml:space="preserve"> </w:t>
      </w:r>
      <w:r>
        <w:t xml:space="preserve">than dietary: in these four countries the pastoral zones are the dry, poor</w:t>
      </w:r>
      <w:r>
        <w:t xml:space="preserve"> </w:t>
      </w:r>
      <w:r>
        <w:t xml:space="preserve">zones. Outcome-specific signals sit beneath that gradient, such as</w:t>
      </w:r>
      <w:r>
        <w:t xml:space="preserve"> </w:t>
      </w:r>
      <w:r>
        <w:t xml:space="preserve">haemoglobin C allele frequency and cattle for child iron, the modelled anaemia</w:t>
      </w:r>
      <w:r>
        <w:t xml:space="preserve"> </w:t>
      </w:r>
      <w:r>
        <w:t xml:space="preserve">surfaces for women’s iron, helminth treatment coverage and the drought index</w:t>
      </w:r>
      <w:r>
        <w:t xml:space="preserve"> </w:t>
      </w:r>
      <w:r>
        <w:t xml:space="preserve">for folate, and elevation and distance to the coast for B12. No single</w:t>
      </w:r>
      <w:r>
        <w:t xml:space="preserve"> </w:t>
      </w:r>
      <w:r>
        <w:t xml:space="preserve">predictor carries more than two percent of the index’s variance; by domain,</w:t>
      </w:r>
      <w:r>
        <w:t xml:space="preserve"> </w:t>
      </w:r>
      <w:r>
        <w:t xml:space="preserve">the satellite embedding, climate and soil together carry 30 to 48 percent</w:t>
      </w:r>
      <w:r>
        <w:t xml:space="preserve"> </w:t>
      </w:r>
      <w:r>
        <w:t xml:space="preserve">depending on the outcome, which is the same answer the ablation gives. Signs</w:t>
      </w:r>
      <w:r>
        <w:t xml:space="preserve"> </w:t>
      </w:r>
      <w:r>
        <w:t xml:space="preserve">are replicated in every country’s own independent fit for all ten of women’s</w:t>
      </w:r>
      <w:r>
        <w:t xml:space="preserve"> </w:t>
      </w:r>
      <w:r>
        <w:t xml:space="preserve">B12’s leading predictors, eight of child iron’s and most of the others; the</w:t>
      </w:r>
      <w:r>
        <w:t xml:space="preserve"> </w:t>
      </w:r>
      <w:r>
        <w:t xml:space="preserve">exceptions are marked in the figure. Re-estimating the survey aggregates with</w:t>
      </w:r>
      <w:r>
        <w:t xml:space="preserve"> </w:t>
      </w:r>
      <w:r>
        <w:t xml:space="preserve">the cluster-level model (DS-01) raised their share of the index’s variance</w:t>
      </w:r>
      <w:r>
        <w:t xml:space="preserve"> </w:t>
      </w:r>
      <w:r>
        <w:t xml:space="preserve">from 0.24 to 0.34 and put more of them in the leading ten, the same shift</w:t>
      </w:r>
      <w:r>
        <w:t xml:space="preserve"> </w:t>
      </w:r>
      <w:r>
        <w:t xml:space="preserve">that cost the index across borders in RR-10. The two importances answer different questions and</w:t>
      </w:r>
      <w:r>
        <w:t xml:space="preserve"> </w:t>
      </w:r>
      <w:r>
        <w:t xml:space="preserve">part where they should. The back-projection says what the fitted index</w:t>
      </w:r>
      <w:r>
        <w:t xml:space="preserve"> </w:t>
      </w:r>
      <w:r>
        <w:t xml:space="preserve">computes; the ablation says what a new country needs. They agree on soil and</w:t>
      </w:r>
      <w:r>
        <w:t xml:space="preserve"> </w:t>
      </w:r>
      <w:r>
        <w:t xml:space="preserve">climate, and they disagree on the survey-derived domains, which hold several</w:t>
      </w:r>
      <w:r>
        <w:t xml:space="preserve"> </w:t>
      </w:r>
      <w:r>
        <w:t xml:space="preserve">of the largest individual weights yet improve transport when removed</w:t>
      </w:r>
      <w:r>
        <w:t xml:space="preserve"> </w:t>
      </w:r>
      <w:r>
        <w:t xml:space="preserve">(</w:t>
      </w:r>
      <w:hyperlink w:anchor="tbl-ablation">
        <w:r>
          <w:rPr>
            <w:rStyle w:val="Hyperlink"/>
          </w:rPr>
          <w:t xml:space="preserve">Table 6</w:t>
        </w:r>
      </w:hyperlink>
      <w:r>
        <w:t xml:space="preserve">), and on the satellite embedding, which carries the largest</w:t>
      </w:r>
      <w:r>
        <w:t xml:space="preserve"> </w:t>
      </w:r>
      <w:r>
        <w:t xml:space="preserve">share of the index’s variance yet costs nothing to drop because it repeats</w:t>
      </w:r>
      <w:r>
        <w:t xml:space="preserve"> </w:t>
      </w:r>
      <w:r>
        <w:t xml:space="preserve">the climate and soil gradient. The pooled marginal correlations that set the</w:t>
      </w:r>
      <w:r>
        <w:t xml:space="preserve"> </w:t>
      </w:r>
      <w:r>
        <w:t xml:space="preserve">weights over-value indicators that fit the training countries and do not</w:t>
      </w:r>
      <w:r>
        <w:t xml:space="preserve"> </w:t>
      </w:r>
      <w:r>
        <w:t xml:space="preserve">carry, which is the climate-and-soil result seen from the other side.</w:t>
      </w:r>
    </w:p>
    <w:tbl>
      <w:tblPr>
        <w:tblStyle w:val="Table"/>
        <w:tblW w:type="pct" w:w="5000"/>
        <w:tblLayout w:type="fixed"/>
        <w:tblLook w:firstRow="0" w:lastRow="0" w:firstColumn="0" w:lastColumn="0" w:noHBand="0" w:noVBand="0" w:val="0000"/>
      </w:tblPr>
      <w:tblGrid>
        <w:gridCol w:w="7920"/>
      </w:tblGrid>
      <w:tr>
        <w:tc>
          <w:tcPr/>
          <w:bookmarkStart w:id="39" w:name="fig-importance"/>
          <w:p>
            <w:pPr>
              <w:pStyle w:val="Compact"/>
              <w:jc w:val="center"/>
            </w:pPr>
            <w:r>
              <w:drawing>
                <wp:inline>
                  <wp:extent cx="5334000" cy="4000500"/>
                  <wp:effectExtent b="0" l="0" r="0" t="0"/>
                  <wp:docPr descr="" title="" id="37" name="Picture"/>
                  <a:graphic>
                    <a:graphicData uri="http://schemas.openxmlformats.org/drawingml/2006/picture">
                      <pic:pic>
                        <pic:nvPicPr>
                          <pic:cNvPr descr="manuscript_mcn_v2_files/figure-docx/fig-importance-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What the zero-tuning index weights: the ten predictors with the largest back-projected weight per outcome in the pooled four-country fit on the biomarker level. Bar length is the weight per unit rank-normal score times the training standard deviation (positive means more deficiency); colour is the predictor’s data source; a star marks a sign that is not reproduced in every country’s own fit. The prevalence-target version is in results/figures/protocol_v2.</w:t>
            </w:r>
          </w:p>
          <w:bookmarkEnd w:id="39"/>
        </w:tc>
      </w:tr>
    </w:tbl>
    <w:p>
      <w:pPr>
        <w:pStyle w:val="BodyText"/>
      </w:pPr>
      <w:r>
        <w:t xml:space="preserve">A twenty-predictor composite built from those weights transports as well as</w:t>
      </w:r>
      <w:r>
        <w:t xml:space="preserve"> </w:t>
      </w:r>
      <w:r>
        <w:t xml:space="preserve">the full index and can be computed from twenty public layers (</w:t>
      </w:r>
      <w:hyperlink w:anchor="tbl-sparse">
        <w:r>
          <w:rPr>
            <w:rStyle w:val="Hyperlink"/>
          </w:rPr>
          <w:t xml:space="preserve">Table 7</w:t>
        </w:r>
      </w:hyperlink>
      <w:r>
        <w:t xml:space="preserve">).</w:t>
      </w:r>
      <w:r>
        <w:t xml:space="preserve"> </w:t>
      </w:r>
      <w:r>
        <w:t xml:space="preserve">Across countries it scores</w:t>
      </w:r>
      <w:r>
        <w:t xml:space="preserve"> </w:t>
      </w:r>
      <w:r>
        <w:t xml:space="preserve">0.29</w:t>
      </w:r>
      <w:r>
        <w:t xml:space="preserve"> </w:t>
      </w:r>
      <w:r>
        <w:t xml:space="preserve">on the concentration against</w:t>
      </w:r>
      <w:r>
        <w:t xml:space="preserve"> </w:t>
      </w:r>
      <w:r>
        <w:t xml:space="preserve">0.26</w:t>
      </w:r>
      <w:r>
        <w:t xml:space="preserve"> </w:t>
      </w:r>
      <w:r>
        <w:t xml:space="preserve">for the index, positive in 18 of 22 cells against 17, and it loses 0.02 on</w:t>
      </w:r>
      <w:r>
        <w:t xml:space="preserve"> </w:t>
      </w:r>
      <w:r>
        <w:t xml:space="preserve">prevalence; inside a surveyed country it costs 0.02 in-fill and 0.04 under</w:t>
      </w:r>
      <w:r>
        <w:t xml:space="preserve"> </w:t>
      </w:r>
      <w:r>
        <w:t xml:space="preserve">region extrapolation, because there the breadth of the full vocabulary is</w:t>
      </w:r>
      <w:r>
        <w:t xml:space="preserve"> </w:t>
      </w:r>
      <w:r>
        <w:t xml:space="preserve">what neighbouring districts reward. Five predictors are too few under every</w:t>
      </w:r>
      <w:r>
        <w:t xml:space="preserve"> </w:t>
      </w:r>
      <w:r>
        <w:t xml:space="preserve">estimand, and weighting the members by their index weights instead of</w:t>
      </w:r>
      <w:r>
        <w:t xml:space="preserve"> </w:t>
      </w:r>
      <w:r>
        <w:t xml:space="preserve">equally changes nothing, the small-sample result of</w:t>
      </w:r>
      <w:r>
        <w:t xml:space="preserve"> </w:t>
      </w:r>
      <w:r>
        <w:t xml:space="preserve">Dawes (1979)</w:t>
      </w:r>
      <w:r>
        <w:t xml:space="preserve"> </w:t>
      </w:r>
      <w:r>
        <w:t xml:space="preserve">reproduced.</w:t>
      </w:r>
      <w:r>
        <w:t xml:space="preserve"> </w:t>
      </w:r>
      <w:r>
        <w:t xml:space="preserve">The composites for the six outcomes, as the four-country fit would deploy</w:t>
      </w:r>
      <w:r>
        <w:t xml:space="preserve"> </w:t>
      </w:r>
      <w:r>
        <w:t xml:space="preserve">them, are listed in Supplement S4; for child iron thirteen of the twenty</w:t>
      </w:r>
      <w:r>
        <w:t xml:space="preserve"> </w:t>
      </w:r>
      <w:r>
        <w:t xml:space="preserve">members carry the same sign in every country’s own fit.</w:t>
      </w:r>
    </w:p>
    <w:tbl>
      <w:tblPr>
        <w:tblStyle w:val="Table"/>
        <w:tblW w:type="pct" w:w="5000"/>
        <w:tblLayout w:type="fixed"/>
        <w:tblLook w:firstRow="0" w:lastRow="0" w:firstColumn="0" w:lastColumn="0" w:noHBand="0" w:noVBand="0" w:val="0000"/>
      </w:tblPr>
      <w:tblGrid>
        <w:gridCol w:w="7920"/>
      </w:tblGrid>
      <w:tr>
        <w:tc>
          <w:tcPr/>
          <w:bookmarkStart w:id="40" w:name="tbl-sparse"/>
          <w:p>
            <w:pPr>
              <w:jc w:val="center"/>
            </w:pPr>
            <w:pPr>
              <w:jc w:val="start"/>
              <w:spacing w:before="200"/>
              <w:pStyle w:val="ImageCaption"/>
            </w:pPr>
            <w:r>
              <w:t xml:space="preserve">Table 7: Sparse equal-weight composites against the full index: mean Spearman over the scored cells (18 in-fill and region, 22 transport), membership chosen inside each training fold by back-projected index weight. Sierra Leone’s six cells score NA in-country on every arm (14 districts).</w:t>
            </w:r>
          </w:p>
          <w:tbl>
            <w:tblPr>
              <w:tblStyle w:val="Table"/>
              <w:tblW w:type="pct" w:w="5000"/>
              <w:tblLayout w:type="fixed"/>
              <w:tblLook w:firstRow="1" w:lastRow="0" w:firstColumn="0" w:lastColumn="0" w:noHBand="0" w:noVBand="0" w:val="0020"/>
            </w:tblPr>
            <w:tblGrid>
              <w:gridCol w:w="2090"/>
              <w:gridCol w:w="950"/>
              <w:gridCol w:w="950"/>
              <w:gridCol w:w="887"/>
              <w:gridCol w:w="887"/>
              <w:gridCol w:w="1077"/>
              <w:gridCol w:w="1077"/>
            </w:tblGrid>
            <w:tr>
              <w:trPr>
                <w:tblHeader w:val="on"/>
              </w:trPr>
              <w:tc>
                <w:tcPr/>
                <w:p>
                  <w:pPr>
                    <w:pStyle w:val="Compact"/>
                    <w:jc w:val="left"/>
                    <w:jc w:val="center"/>
                  </w:pPr>
                  <w:r>
                    <w:t xml:space="preserve">Model</w:t>
                  </w:r>
                </w:p>
              </w:tc>
              <w:tc>
                <w:tcPr/>
                <w:p>
                  <w:pPr>
                    <w:pStyle w:val="Compact"/>
                    <w:jc w:val="right"/>
                    <w:jc w:val="center"/>
                  </w:pPr>
                  <w:r>
                    <w:t xml:space="preserve">In-fill, level</w:t>
                  </w:r>
                </w:p>
              </w:tc>
              <w:tc>
                <w:tcPr/>
                <w:p>
                  <w:pPr>
                    <w:pStyle w:val="Compact"/>
                    <w:jc w:val="right"/>
                    <w:jc w:val="center"/>
                  </w:pPr>
                  <w:r>
                    <w:t xml:space="preserve">In-fill, prev.</w:t>
                  </w:r>
                </w:p>
              </w:tc>
              <w:tc>
                <w:tcPr/>
                <w:p>
                  <w:pPr>
                    <w:pStyle w:val="Compact"/>
                    <w:jc w:val="right"/>
                    <w:jc w:val="center"/>
                  </w:pPr>
                  <w:r>
                    <w:t xml:space="preserve">Region, level</w:t>
                  </w:r>
                </w:p>
              </w:tc>
              <w:tc>
                <w:tcPr/>
                <w:p>
                  <w:pPr>
                    <w:pStyle w:val="Compact"/>
                    <w:jc w:val="right"/>
                    <w:jc w:val="center"/>
                  </w:pPr>
                  <w:r>
                    <w:t xml:space="preserve">Region, prev.</w:t>
                  </w:r>
                </w:p>
              </w:tc>
              <w:tc>
                <w:tcPr/>
                <w:p>
                  <w:pPr>
                    <w:pStyle w:val="Compact"/>
                    <w:jc w:val="right"/>
                    <w:jc w:val="center"/>
                  </w:pPr>
                  <w:r>
                    <w:t xml:space="preserve">Transport, level</w:t>
                  </w:r>
                </w:p>
              </w:tc>
              <w:tc>
                <w:tcPr/>
                <w:p>
                  <w:pPr>
                    <w:pStyle w:val="Compact"/>
                    <w:jc w:val="right"/>
                    <w:jc w:val="center"/>
                  </w:pPr>
                  <w:r>
                    <w:t xml:space="preserve">Transport, prev.</w:t>
                  </w:r>
                </w:p>
              </w:tc>
            </w:tr>
            <w:tr>
              <w:tc>
                <w:tcPr/>
                <w:p>
                  <w:pPr>
                    <w:pStyle w:val="Compact"/>
                    <w:jc w:val="left"/>
                    <w:jc w:val="center"/>
                  </w:pPr>
                  <w:r>
                    <w:t xml:space="preserve">Full index (454 columns)</w:t>
                  </w:r>
                </w:p>
              </w:tc>
              <w:tc>
                <w:tcPr/>
                <w:p>
                  <w:pPr>
                    <w:pStyle w:val="Compact"/>
                    <w:jc w:val="right"/>
                    <w:jc w:val="center"/>
                  </w:pPr>
                  <w:r>
                    <w:t xml:space="preserve">0.40</w:t>
                  </w:r>
                </w:p>
              </w:tc>
              <w:tc>
                <w:tcPr/>
                <w:p>
                  <w:pPr>
                    <w:pStyle w:val="Compact"/>
                    <w:jc w:val="right"/>
                    <w:jc w:val="center"/>
                  </w:pPr>
                  <w:r>
                    <w:t xml:space="preserve">0.28</w:t>
                  </w:r>
                </w:p>
              </w:tc>
              <w:tc>
                <w:tcPr/>
                <w:p>
                  <w:pPr>
                    <w:pStyle w:val="Compact"/>
                    <w:jc w:val="right"/>
                    <w:jc w:val="center"/>
                  </w:pPr>
                  <w:r>
                    <w:t xml:space="preserve">0.38</w:t>
                  </w:r>
                </w:p>
              </w:tc>
              <w:tc>
                <w:tcPr/>
                <w:p>
                  <w:pPr>
                    <w:pStyle w:val="Compact"/>
                    <w:jc w:val="right"/>
                    <w:jc w:val="center"/>
                  </w:pPr>
                  <w:r>
                    <w:t xml:space="preserve">0.26</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Top 20 predictors, equal weights</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0.34</w:t>
                  </w:r>
                </w:p>
              </w:tc>
              <w:tc>
                <w:tcPr/>
                <w:p>
                  <w:pPr>
                    <w:pStyle w:val="Compact"/>
                    <w:jc w:val="right"/>
                    <w:jc w:val="center"/>
                  </w:pPr>
                  <w:r>
                    <w:t xml:space="preserve">0.23</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Top 10, equal weights</w:t>
                  </w:r>
                </w:p>
              </w:tc>
              <w:tc>
                <w:tcPr/>
                <w:p>
                  <w:pPr>
                    <w:pStyle w:val="Compact"/>
                    <w:jc w:val="right"/>
                    <w:jc w:val="center"/>
                  </w:pPr>
                  <w:r>
                    <w:t xml:space="preserve">0.36</w:t>
                  </w:r>
                </w:p>
              </w:tc>
              <w:tc>
                <w:tcPr/>
                <w:p>
                  <w:pPr>
                    <w:pStyle w:val="Compact"/>
                    <w:jc w:val="right"/>
                    <w:jc w:val="center"/>
                  </w:pPr>
                  <w:r>
                    <w:t xml:space="preserve">0.25</w:t>
                  </w:r>
                </w:p>
              </w:tc>
              <w:tc>
                <w:tcPr/>
                <w:p>
                  <w:pPr>
                    <w:pStyle w:val="Compact"/>
                    <w:jc w:val="right"/>
                    <w:jc w:val="center"/>
                  </w:pPr>
                  <w:r>
                    <w:t xml:space="preserve">0.32</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r>
              <w:tc>
                <w:tcPr/>
                <w:p>
                  <w:pPr>
                    <w:pStyle w:val="Compact"/>
                    <w:jc w:val="left"/>
                    <w:jc w:val="center"/>
                  </w:pPr>
                  <w:r>
                    <w:t xml:space="preserve">Top 5, equal weights</w:t>
                  </w:r>
                </w:p>
              </w:tc>
              <w:tc>
                <w:tcPr/>
                <w:p>
                  <w:pPr>
                    <w:pStyle w:val="Compact"/>
                    <w:jc w:val="right"/>
                    <w:jc w:val="center"/>
                  </w:pPr>
                  <w:r>
                    <w:t xml:space="preserve">0.33</w:t>
                  </w:r>
                </w:p>
              </w:tc>
              <w:tc>
                <w:tcPr/>
                <w:p>
                  <w:pPr>
                    <w:pStyle w:val="Compact"/>
                    <w:jc w:val="right"/>
                    <w:jc w:val="center"/>
                  </w:pPr>
                  <w:r>
                    <w:t xml:space="preserve">0.21</w:t>
                  </w:r>
                </w:p>
              </w:tc>
              <w:tc>
                <w:tcPr/>
                <w:p>
                  <w:pPr>
                    <w:pStyle w:val="Compact"/>
                    <w:jc w:val="right"/>
                    <w:jc w:val="center"/>
                  </w:pPr>
                  <w:r>
                    <w:t xml:space="preserve">0.28</w:t>
                  </w:r>
                </w:p>
              </w:tc>
              <w:tc>
                <w:tcPr/>
                <w:p>
                  <w:pPr>
                    <w:pStyle w:val="Compact"/>
                    <w:jc w:val="right"/>
                    <w:jc w:val="center"/>
                  </w:pPr>
                  <w:r>
                    <w:t xml:space="preserve">0.20</w:t>
                  </w:r>
                </w:p>
              </w:tc>
              <w:tc>
                <w:tcPr/>
                <w:p>
                  <w:pPr>
                    <w:pStyle w:val="Compact"/>
                    <w:jc w:val="right"/>
                    <w:jc w:val="center"/>
                  </w:pPr>
                  <w:r>
                    <w:t xml:space="preserve">0.10</w:t>
                  </w:r>
                </w:p>
              </w:tc>
              <w:tc>
                <w:tcPr/>
                <w:p>
                  <w:pPr>
                    <w:pStyle w:val="Compact"/>
                    <w:jc w:val="right"/>
                    <w:jc w:val="center"/>
                  </w:pPr>
                  <w:r>
                    <w:t xml:space="preserve">0.08</w:t>
                  </w:r>
                </w:p>
              </w:tc>
            </w:tr>
            <w:tr>
              <w:tc>
                <w:tcPr/>
                <w:p>
                  <w:pPr>
                    <w:pStyle w:val="Compact"/>
                    <w:jc w:val="left"/>
                    <w:jc w:val="center"/>
                  </w:pPr>
                  <w:r>
                    <w:t xml:space="preserve">Top 10, index weights</w:t>
                  </w:r>
                </w:p>
              </w:tc>
              <w:tc>
                <w:tcPr/>
                <w:p>
                  <w:pPr>
                    <w:pStyle w:val="Compact"/>
                    <w:jc w:val="right"/>
                    <w:jc w:val="center"/>
                  </w:pPr>
                  <w:r>
                    <w:t xml:space="preserve">0.35</w:t>
                  </w:r>
                </w:p>
              </w:tc>
              <w:tc>
                <w:tcPr/>
                <w:p>
                  <w:pPr>
                    <w:pStyle w:val="Compact"/>
                    <w:jc w:val="right"/>
                    <w:jc w:val="center"/>
                  </w:pPr>
                  <w:r>
                    <w:t xml:space="preserve">0.24</w:t>
                  </w:r>
                </w:p>
              </w:tc>
              <w:tc>
                <w:tcPr/>
                <w:p>
                  <w:pPr>
                    <w:pStyle w:val="Compact"/>
                    <w:jc w:val="right"/>
                    <w:jc w:val="center"/>
                  </w:pPr>
                  <w:r>
                    <w:t xml:space="preserve">0.31</w:t>
                  </w:r>
                </w:p>
              </w:tc>
              <w:tc>
                <w:tcPr/>
                <w:p>
                  <w:pPr>
                    <w:pStyle w:val="Compact"/>
                    <w:jc w:val="right"/>
                    <w:jc w:val="center"/>
                  </w:pPr>
                  <w:r>
                    <w:t xml:space="preserve">0.18</w:t>
                  </w:r>
                </w:p>
              </w:tc>
              <w:tc>
                <w:tcPr/>
                <w:p>
                  <w:pPr>
                    <w:pStyle w:val="Compact"/>
                    <w:jc w:val="right"/>
                    <w:jc w:val="center"/>
                  </w:pPr>
                  <w:r>
                    <w:t xml:space="preserve">0.16</w:t>
                  </w:r>
                </w:p>
              </w:tc>
              <w:tc>
                <w:tcPr/>
                <w:p>
                  <w:pPr>
                    <w:pStyle w:val="Compact"/>
                    <w:jc w:val="right"/>
                    <w:jc w:val="center"/>
                  </w:pPr>
                  <w:r>
                    <w:t xml:space="preserve">0.12</w:t>
                  </w:r>
                </w:p>
              </w:tc>
            </w:tr>
          </w:tbl>
          <w:bookmarkEnd w:id="40"/>
          <w:p/>
        </w:tc>
      </w:tr>
    </w:tbl>
    <w:bookmarkEnd w:id="41"/>
    <w:bookmarkStart w:id="44"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8</w:t>
        </w:r>
      </w:hyperlink>
      <w:r>
        <w:t xml:space="preserve">). Directing effort to the fifth of</w:t>
      </w:r>
      <w:r>
        <w:t xml:space="preserve"> </w:t>
      </w:r>
      <w:r>
        <w:t xml:space="preserve">districts the model ranks worst reaches</w:t>
      </w:r>
      <w:r>
        <w:t xml:space="preserve"> </w:t>
      </w:r>
      <w:r>
        <w:t xml:space="preserve">22%</w:t>
      </w:r>
      <w:r>
        <w:t xml:space="preserve"> </w:t>
      </w:r>
      <w:r>
        <w:t xml:space="preserve">of national deficiency burden in-fill, against</w:t>
      </w:r>
      <w:r>
        <w:t xml:space="preserve"> </w:t>
      </w:r>
      <w:r>
        <w:t xml:space="preserve">20%</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42" w:name="tbl-burden"/>
          <w:p>
            <w:pPr>
              <w:jc w:val="center"/>
            </w:pPr>
            <w:pPr>
              <w:jc w:val="start"/>
              <w:spacing w:before="200"/>
              <w:pStyle w:val="ImageCaption"/>
            </w:pPr>
            <w:r>
              <w:t xml:space="preserve">Table 8: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0.22</w:t>
                  </w:r>
                </w:p>
              </w:tc>
              <w:tc>
                <w:tcPr/>
                <w:p>
                  <w:pPr>
                    <w:pStyle w:val="Compact"/>
                    <w:jc w:val="right"/>
                    <w:jc w:val="center"/>
                  </w:pPr>
                  <w:r>
                    <w:t xml:space="preserve">1.13</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0.20</w:t>
                  </w:r>
                </w:p>
              </w:tc>
              <w:tc>
                <w:tcPr/>
                <w:p>
                  <w:pPr>
                    <w:pStyle w:val="Compact"/>
                    <w:jc w:val="right"/>
                    <w:jc w:val="center"/>
                  </w:pPr>
                  <w:r>
                    <w:t xml:space="preserve">1.02</w:t>
                  </w:r>
                </w:p>
              </w:tc>
              <w:tc>
                <w:tcPr/>
                <w:p>
                  <w:pPr>
                    <w:pStyle w:val="Compact"/>
                    <w:jc w:val="right"/>
                    <w:jc w:val="center"/>
                  </w:pPr>
                  <w:r>
                    <w:t xml:space="preserve">8</w:t>
                  </w:r>
                </w:p>
              </w:tc>
            </w:tr>
            <w:tr>
              <w:tc>
                <w:tcPr/>
                <w:p>
                  <w:pPr>
                    <w:pStyle w:val="Compact"/>
                    <w:jc w:val="left"/>
                    <w:jc w:val="center"/>
                  </w:pPr>
                  <w:r>
                    <w:t xml:space="preserve">Spatial smoother + covariates</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Spatial smoother only</w:t>
                  </w:r>
                </w:p>
              </w:tc>
              <w:tc>
                <w:tcPr/>
                <w:p>
                  <w:pPr>
                    <w:pStyle w:val="Compact"/>
                    <w:jc w:val="right"/>
                    <w:jc w:val="center"/>
                  </w:pPr>
                  <w:r>
                    <w:t xml:space="preserve">0.20</w:t>
                  </w:r>
                </w:p>
              </w:tc>
              <w:tc>
                <w:tcPr/>
                <w:p>
                  <w:pPr>
                    <w:pStyle w:val="Compact"/>
                    <w:jc w:val="right"/>
                    <w:jc w:val="center"/>
                  </w:pPr>
                  <w:r>
                    <w:t xml:space="preserve">0.99</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0.14</w:t>
                  </w:r>
                </w:p>
              </w:tc>
              <w:tc>
                <w:tcPr/>
                <w:p>
                  <w:pPr>
                    <w:pStyle w:val="Compact"/>
                    <w:jc w:val="right"/>
                    <w:jc w:val="center"/>
                  </w:pPr>
                  <w:r>
                    <w:t xml:space="preserve">0.68</w:t>
                  </w:r>
                </w:p>
              </w:tc>
              <w:tc>
                <w:tcPr/>
                <w:p>
                  <w:pPr>
                    <w:pStyle w:val="Compact"/>
                    <w:jc w:val="right"/>
                    <w:jc w:val="center"/>
                  </w:pPr>
                  <w:r>
                    <w:t xml:space="preserve">1</w:t>
                  </w:r>
                </w:p>
              </w:tc>
            </w:tr>
          </w:tbl>
          <w:bookmarkEnd w:id="42"/>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57% of the time and within one band 90% of the time over the six cells</w:t>
      </w:r>
      <w:r>
        <w:t xml:space="preserve"> </w:t>
      </w:r>
      <w:r>
        <w:t xml:space="preserve">with any deficiency (Malawi’s districts all fall in the lowest band, where</w:t>
      </w:r>
      <w:r>
        <w:t xml:space="preserve"> </w:t>
      </w:r>
      <w:r>
        <w:t xml:space="preserve">the classification is trivial); a transported ranking anchored to the</w:t>
      </w:r>
      <w:r>
        <w:t xml:space="preserve"> </w:t>
      </w:r>
      <w:r>
        <w:t xml:space="preserve">country’s national prevalence does nearly as well (48% and 94%).</w:t>
      </w:r>
    </w:p>
    <w:p>
      <w:pPr>
        <w:pStyle w:val="BodyText"/>
      </w:pPr>
      <w:r>
        <w:t xml:space="preserve">A national estimate is enough to put levels on the ranking (</w:t>
      </w:r>
      <w:hyperlink w:anchor="tbl-anchor">
        <w:r>
          <w:rPr>
            <w:rStyle w:val="Hyperlink"/>
          </w:rPr>
          <w:t xml:space="preserve">Table 9</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43" w:name="tbl-anchor"/>
          <w:p>
            <w:pPr>
              <w:jc w:val="center"/>
            </w:pPr>
            <w:pPr>
              <w:jc w:val="start"/>
              <w:spacing w:before="200"/>
              <w:pStyle w:val="ImageCaption"/>
            </w:pPr>
            <w:r>
              <w:t xml:space="preserve">Table 9: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10.3</w:t>
                  </w:r>
                </w:p>
              </w:tc>
              <w:tc>
                <w:tcPr/>
                <w:p>
                  <w:pPr>
                    <w:pStyle w:val="Compact"/>
                    <w:jc w:val="right"/>
                    <w:jc w:val="center"/>
                  </w:pPr>
                  <w:r>
                    <w:t xml:space="preserve">12.8</w:t>
                  </w:r>
                </w:p>
              </w:tc>
              <w:tc>
                <w:tcPr/>
                <w:p>
                  <w:pPr>
                    <w:pStyle w:val="Compact"/>
                    <w:jc w:val="right"/>
                    <w:jc w:val="center"/>
                  </w:pPr>
                  <w:r>
                    <w:t xml:space="preserve">19.7</w:t>
                  </w:r>
                </w:p>
              </w:tc>
              <w:tc>
                <w:tcPr/>
                <w:p>
                  <w:pPr>
                    <w:pStyle w:val="Compact"/>
                    <w:jc w:val="right"/>
                    <w:jc w:val="center"/>
                  </w:pPr>
                  <w:r>
                    <w:t xml:space="preserve">12.8</w:t>
                  </w:r>
                </w:p>
              </w:tc>
            </w:tr>
            <w:tr>
              <w:tc>
                <w:tcPr/>
                <w:p>
                  <w:pPr>
                    <w:pStyle w:val="Compact"/>
                    <w:jc w:val="left"/>
                    <w:jc w:val="center"/>
                  </w:pPr>
                  <w:r>
                    <w:t xml:space="preserve">15%</w:t>
                  </w:r>
                </w:p>
              </w:tc>
              <w:tc>
                <w:tcPr/>
                <w:p>
                  <w:pPr>
                    <w:pStyle w:val="Compact"/>
                    <w:jc w:val="right"/>
                    <w:jc w:val="center"/>
                  </w:pPr>
                  <w:r>
                    <w:t xml:space="preserve">9.1</w:t>
                  </w:r>
                </w:p>
              </w:tc>
              <w:tc>
                <w:tcPr/>
                <w:p>
                  <w:pPr>
                    <w:pStyle w:val="Compact"/>
                    <w:jc w:val="right"/>
                    <w:jc w:val="center"/>
                  </w:pPr>
                  <w:r>
                    <w:t xml:space="preserve">9.5</w:t>
                  </w:r>
                </w:p>
              </w:tc>
              <w:tc>
                <w:tcPr/>
                <w:p>
                  <w:pPr>
                    <w:pStyle w:val="Compact"/>
                    <w:jc w:val="right"/>
                    <w:jc w:val="center"/>
                  </w:pPr>
                  <w:r>
                    <w:t xml:space="preserve">13.1</w:t>
                  </w:r>
                </w:p>
              </w:tc>
              <w:tc>
                <w:tcPr/>
                <w:p>
                  <w:pPr>
                    <w:pStyle w:val="Compact"/>
                    <w:jc w:val="right"/>
                    <w:jc w:val="center"/>
                  </w:pPr>
                  <w:r>
                    <w:t xml:space="preserve">9.1</w:t>
                  </w:r>
                </w:p>
              </w:tc>
            </w:tr>
            <w:tr>
              <w:tc>
                <w:tcPr/>
                <w:p>
                  <w:pPr>
                    <w:pStyle w:val="Compact"/>
                    <w:jc w:val="left"/>
                    <w:jc w:val="center"/>
                  </w:pPr>
                  <w:r>
                    <w:t xml:space="preserve">25%</w:t>
                  </w:r>
                </w:p>
              </w:tc>
              <w:tc>
                <w:tcPr/>
                <w:p>
                  <w:pPr>
                    <w:pStyle w:val="Compact"/>
                    <w:jc w:val="right"/>
                    <w:jc w:val="center"/>
                  </w:pPr>
                  <w:r>
                    <w:t xml:space="preserve">8.9</w:t>
                  </w:r>
                </w:p>
              </w:tc>
              <w:tc>
                <w:tcPr/>
                <w:p>
                  <w:pPr>
                    <w:pStyle w:val="Compact"/>
                    <w:jc w:val="right"/>
                    <w:jc w:val="center"/>
                  </w:pPr>
                  <w:r>
                    <w:t xml:space="preserve">8.5</w:t>
                  </w:r>
                </w:p>
              </w:tc>
              <w:tc>
                <w:tcPr/>
                <w:p>
                  <w:pPr>
                    <w:pStyle w:val="Compact"/>
                    <w:jc w:val="right"/>
                    <w:jc w:val="center"/>
                  </w:pPr>
                  <w:r>
                    <w:t xml:space="preserve">9.5</w:t>
                  </w:r>
                </w:p>
              </w:tc>
              <w:tc>
                <w:tcPr/>
                <w:p>
                  <w:pPr>
                    <w:pStyle w:val="Compact"/>
                    <w:jc w:val="right"/>
                    <w:jc w:val="center"/>
                  </w:pPr>
                  <w:r>
                    <w:t xml:space="preserve">8.3</w:t>
                  </w:r>
                </w:p>
              </w:tc>
            </w:tr>
            <w:tr>
              <w:tc>
                <w:tcPr/>
                <w:p>
                  <w:pPr>
                    <w:pStyle w:val="Compact"/>
                    <w:jc w:val="left"/>
                    <w:jc w:val="center"/>
                  </w:pPr>
                  <w:r>
                    <w:t xml:space="preserve">40%</w:t>
                  </w:r>
                </w:p>
              </w:tc>
              <w:tc>
                <w:tcPr/>
                <w:p>
                  <w:pPr>
                    <w:pStyle w:val="Compact"/>
                    <w:jc w:val="right"/>
                    <w:jc w:val="center"/>
                  </w:pPr>
                  <w:r>
                    <w:t xml:space="preserve">9.0</w:t>
                  </w:r>
                </w:p>
              </w:tc>
              <w:tc>
                <w:tcPr/>
                <w:p>
                  <w:pPr>
                    <w:pStyle w:val="Compact"/>
                    <w:jc w:val="right"/>
                    <w:jc w:val="center"/>
                  </w:pPr>
                  <w:r>
                    <w:t xml:space="preserve">8.0</w:t>
                  </w:r>
                </w:p>
              </w:tc>
              <w:tc>
                <w:tcPr/>
                <w:p>
                  <w:pPr>
                    <w:pStyle w:val="Compact"/>
                    <w:jc w:val="right"/>
                    <w:jc w:val="center"/>
                  </w:pPr>
                  <w:r>
                    <w:t xml:space="preserve">6.9</w:t>
                  </w:r>
                </w:p>
              </w:tc>
              <w:tc>
                <w:tcPr/>
                <w:p>
                  <w:pPr>
                    <w:pStyle w:val="Compact"/>
                    <w:jc w:val="right"/>
                    <w:jc w:val="center"/>
                  </w:pPr>
                  <w:r>
                    <w:t xml:space="preserve">7.8</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7.5</w:t>
                  </w:r>
                </w:p>
              </w:tc>
              <w:tc>
                <w:tcPr/>
                <w:p>
                  <w:pPr>
                    <w:pStyle w:val="Compact"/>
                    <w:jc w:val="right"/>
                    <w:jc w:val="center"/>
                  </w:pPr>
                  <w:r>
                    <w:t xml:space="preserve">5.0</w:t>
                  </w:r>
                </w:p>
              </w:tc>
              <w:tc>
                <w:tcPr/>
                <w:p>
                  <w:pPr>
                    <w:pStyle w:val="Compact"/>
                    <w:jc w:val="right"/>
                    <w:jc w:val="center"/>
                  </w:pPr>
                  <w:r>
                    <w:t xml:space="preserve">7.1</w:t>
                  </w:r>
                </w:p>
              </w:tc>
            </w:tr>
          </w:tbl>
          <w:bookmarkEnd w:id="43"/>
          <w:p/>
        </w:tc>
      </w:tr>
    </w:tbl>
    <w:bookmarkEnd w:id="44"/>
    <w:bookmarkStart w:id="46"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10</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5" w:name="tbl-ceiling"/>
          <w:p>
            <w:pPr>
              <w:jc w:val="center"/>
            </w:pPr>
            <w:pPr>
              <w:jc w:val="start"/>
              <w:spacing w:before="200"/>
              <w:pStyle w:val="ImageCaption"/>
            </w:pPr>
            <w:r>
              <w:t xml:space="preserve">Table 10: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0.59</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0.62</w:t>
                  </w:r>
                </w:p>
              </w:tc>
              <w:tc>
                <w:tcPr/>
                <w:p>
                  <w:pPr>
                    <w:pStyle w:val="Compact"/>
                    <w:jc w:val="right"/>
                    <w:jc w:val="center"/>
                  </w:pPr>
                  <w:r>
                    <w:t xml:space="preserve">0.58</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0.51</w:t>
                  </w:r>
                </w:p>
              </w:tc>
              <w:tc>
                <w:tcPr/>
                <w:p>
                  <w:pPr>
                    <w:pStyle w:val="Compact"/>
                    <w:jc w:val="right"/>
                    <w:jc w:val="center"/>
                  </w:pPr>
                  <w:r>
                    <w:t xml:space="preserve">0.37</w:t>
                  </w:r>
                </w:p>
              </w:tc>
              <w:tc>
                <w:tcPr/>
                <w:p>
                  <w:pPr>
                    <w:pStyle w:val="Compact"/>
                    <w:jc w:val="left"/>
                    <w:jc w:val="center"/>
                  </w:pPr>
                  <w:r>
                    <w:t xml:space="preserve">0.12</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0.37</w:t>
                  </w:r>
                </w:p>
              </w:tc>
              <w:tc>
                <w:tcPr/>
                <w:p>
                  <w:pPr>
                    <w:pStyle w:val="Compact"/>
                    <w:jc w:val="right"/>
                    <w:jc w:val="center"/>
                  </w:pPr>
                  <w:r>
                    <w:t xml:space="preserve">0.21</w:t>
                  </w:r>
                </w:p>
              </w:tc>
              <w:tc>
                <w:tcPr/>
                <w:p>
                  <w:pPr>
                    <w:pStyle w:val="Compact"/>
                    <w:jc w:val="left"/>
                    <w:jc w:val="center"/>
                  </w:pPr>
                  <w:r>
                    <w:t xml:space="preserve">not folded (14 districts)</w:t>
                  </w:r>
                </w:p>
              </w:tc>
            </w:tr>
          </w:tbl>
          <w:bookmarkEnd w:id="45"/>
          <w:p/>
        </w:tc>
      </w:tr>
    </w:tbl>
    <w:bookmarkEnd w:id="46"/>
    <w:bookmarkStart w:id="48"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11</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0.26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7" w:name="tbl-addons"/>
          <w:p>
            <w:pPr>
              <w:jc w:val="center"/>
            </w:pPr>
            <w:pPr>
              <w:jc w:val="start"/>
              <w:spacing w:before="200"/>
              <w:pStyle w:val="ImageCaption"/>
            </w:pPr>
            <w:r>
              <w:t xml:space="preserve">Table 11: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7"/>
          <w:p/>
        </w:tc>
      </w:tr>
    </w:tbl>
    <w:p>
      <w:pPr>
        <w:pStyle w:val="BodyText"/>
      </w:pPr>
      <w:r>
        <w:t xml:space="preserve">Nor does any other way of setting the index’s weights improve on the</w:t>
      </w:r>
      <w:r>
        <w:t xml:space="preserve"> </w:t>
      </w:r>
      <w:r>
        <w:t xml:space="preserve">pooled marginal correlation inside a surveyed country. The index is the</w:t>
      </w:r>
      <w:r>
        <w:t xml:space="preserve"> </w:t>
      </w:r>
      <w:r>
        <w:t xml:space="preserve">infinite-penalty limit of a ridge regression on the same components, and</w:t>
      </w:r>
      <w:r>
        <w:t xml:space="preserve"> </w:t>
      </w:r>
      <w:r>
        <w:t xml:space="preserve">every point of that family that estimates more joint structure loses:</w:t>
      </w:r>
      <w:r>
        <w:t xml:space="preserve"> </w:t>
      </w:r>
      <w:r>
        <w:t xml:space="preserve">ridge by 0.04 to 0.05 on the concentration in-fill, the elastic net and</w:t>
      </w:r>
      <w:r>
        <w:t xml:space="preserve"> </w:t>
      </w:r>
      <w:r>
        <w:t xml:space="preserve">lasso by 0.08, the one-standard-error penalty rule by 0.2 because it returns</w:t>
      </w:r>
      <w:r>
        <w:t xml:space="preserve"> </w:t>
      </w:r>
      <w:r>
        <w:t xml:space="preserve">the null model in a third of cells, and a highly adaptive ridge on the</w:t>
      </w:r>
      <w:r>
        <w:t xml:space="preserve"> </w:t>
      </w:r>
      <w:r>
        <w:t xml:space="preserve">components by 0.09 (Supplement S1). One variant ties the index exactly</w:t>
      </w:r>
      <w:r>
        <w:t xml:space="preserve"> </w:t>
      </w:r>
      <w:r>
        <w:t xml:space="preserve">in-country and gains 0.03 across borders on both the direct and the</w:t>
      </w:r>
      <w:r>
        <w:t xml:space="preserve"> </w:t>
      </w:r>
      <w:r>
        <w:t xml:space="preserve">cluster-model versions of the survey columns, a decorrelation of the</w:t>
      </w:r>
      <w:r>
        <w:t xml:space="preserve"> </w:t>
      </w:r>
      <w:r>
        <w:t xml:space="preserve">components across domains (better in 11 of 22 transport cells); a soft</w:t>
      </w:r>
      <w:r>
        <w:t xml:space="preserve"> </w:t>
      </w:r>
      <w:r>
        <w:t xml:space="preserve">threshold on the component weights gained as much on the noisier columns and</w:t>
      </w:r>
      <w:r>
        <w:t xml:space="preserve"> </w:t>
      </w:r>
      <w:r>
        <w:t xml:space="preserve">nothing once they were smoothed. The decorrelated index was chosen among</w:t>
      </w:r>
      <w:r>
        <w:t xml:space="preserve"> </w:t>
      </w:r>
      <w:r>
        <w:t xml:space="preserve">twenty-one arms on these same cells and is pre-registered for the next</w:t>
      </w:r>
      <w:r>
        <w:t xml:space="preserve"> </w:t>
      </w:r>
      <w:r>
        <w:t xml:space="preserve">country rather than adopted</w:t>
      </w:r>
      <w:r>
        <w:t xml:space="preserve"> </w:t>
      </w:r>
      <w:r>
        <w:t xml:space="preserve">(</w:t>
      </w:r>
      <w:r>
        <w:rPr>
          <w:rStyle w:val="VerbatimChar"/>
        </w:rPr>
        <w:t xml:space="preserve">results/tables/protocol_v2/weight_sources_summary.csv</w:t>
      </w:r>
      <w:r>
        <w:t xml:space="preserve">).</w:t>
      </w:r>
    </w:p>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8"/>
    <w:bookmarkEnd w:id="49"/>
    <w:bookmarkStart w:id="51"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12</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50" w:name="tbl-changes"/>
          <w:p>
            <w:pPr>
              <w:jc w:val="center"/>
            </w:pPr>
            <w:pPr>
              <w:jc w:val="start"/>
              <w:spacing w:before="200"/>
              <w:pStyle w:val="ImageCaption"/>
            </w:pPr>
            <w:r>
              <w:t xml:space="preserve">Table 12: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676"/>
              <w:gridCol w:w="2438"/>
              <w:gridCol w:w="4040"/>
              <w:gridCol w:w="765"/>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0.40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0.26 zero-tuning index, 17 of 22; 0.23 penalised, 19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r>
              <w:tc>
                <w:tcPr/>
                <w:p>
                  <w:pPr>
                    <w:pStyle w:val="Compact"/>
                    <w:jc w:val="left"/>
                    <w:jc w:val="center"/>
                  </w:pPr>
                  <w:r>
                    <w:t xml:space="preserve">District weight</w:t>
                  </w:r>
                </w:p>
              </w:tc>
              <w:tc>
                <w:tcPr/>
                <w:p>
                  <w:pPr>
                    <w:pStyle w:val="Compact"/>
                    <w:jc w:val="left"/>
                    <w:jc w:val="center"/>
                  </w:pPr>
                  <w:r>
                    <w:t xml:space="preserve">Every district divided by the national design effect</w:t>
                  </w:r>
                </w:p>
              </w:tc>
              <w:tc>
                <w:tcPr/>
                <w:p>
                  <w:pPr>
                    <w:pStyle w:val="Compact"/>
                    <w:jc w:val="left"/>
                    <w:jc w:val="center"/>
                  </w:pPr>
                  <w:r>
                    <w:t xml:space="preserve">Own cluster count and Kish n; single-cluster districts gain most (x1.5); the index, scored without weights, does not move; penalised fit 0.27 to 0.28</w:t>
                  </w:r>
                </w:p>
              </w:tc>
              <w:tc>
                <w:tcPr/>
                <w:p>
                  <w:pPr>
                    <w:pStyle w:val="Compact"/>
                    <w:jc w:val="left"/>
                    <w:jc w:val="center"/>
                  </w:pPr>
                  <w:r>
                    <w:t xml:space="preserve">Design-effect decomposition (AU-01)</w:t>
                  </w:r>
                </w:p>
              </w:tc>
            </w:tr>
            <w:tr>
              <w:tc>
                <w:tcPr/>
                <w:p>
                  <w:pPr>
                    <w:pStyle w:val="Compact"/>
                    <w:jc w:val="left"/>
                    <w:jc w:val="center"/>
                  </w:pPr>
                  <w:r>
                    <w:t xml:space="preserve">Nutrient-named survey indicators</w:t>
                  </w:r>
                </w:p>
              </w:tc>
              <w:tc>
                <w:tcPr/>
                <w:p>
                  <w:pPr>
                    <w:pStyle w:val="Compact"/>
                    <w:jc w:val="left"/>
                    <w:jc w:val="center"/>
                  </w:pPr>
                  <w:r>
                    <w:t xml:space="preserve">Excluded one spelling at a time; three constructs still in under other names</w:t>
                  </w:r>
                </w:p>
              </w:tc>
              <w:tc>
                <w:tcPr/>
                <w:p>
                  <w:pPr>
                    <w:pStyle w:val="Compact"/>
                    <w:jc w:val="left"/>
                    <w:jc w:val="center"/>
                  </w:pPr>
                  <w:r>
                    <w:t xml:space="preserve">Class rule on nutrient names, enforced at build and fit time; six columns out (460 to 454); district index 0.27 to 0.28</w:t>
                  </w:r>
                </w:p>
              </w:tc>
              <w:tc>
                <w:tcPr/>
                <w:p>
                  <w:pPr>
                    <w:pStyle w:val="Compact"/>
                    <w:jc w:val="left"/>
                    <w:jc w:val="center"/>
                  </w:pPr>
                  <w:r>
                    <w:t xml:space="preserve">Leakage policy (AU-01)</w:t>
                  </w:r>
                </w:p>
              </w:tc>
            </w:tr>
            <w:tr>
              <w:tc>
                <w:tcPr/>
                <w:p>
                  <w:pPr>
                    <w:pStyle w:val="Compact"/>
                    <w:jc w:val="left"/>
                    <w:jc w:val="center"/>
                  </w:pPr>
                  <w:r>
                    <w:t xml:space="preserve">Survey year</w:t>
                  </w:r>
                </w:p>
              </w:tc>
              <w:tc>
                <w:tcPr/>
                <w:p>
                  <w:pPr>
                    <w:pStyle w:val="Compact"/>
                    <w:jc w:val="left"/>
                    <w:jc w:val="center"/>
                  </w:pPr>
                  <w:r>
                    <w:t xml:space="preserve">Each extractor carried its own table (Malawi 2015, The Gambia 2020 or 2021 in places)</w:t>
                  </w:r>
                </w:p>
              </w:tc>
              <w:tc>
                <w:tcPr/>
                <w:p>
                  <w:pPr>
                    <w:pStyle w:val="Compact"/>
                    <w:jc w:val="left"/>
                    <w:jc w:val="center"/>
                  </w:pPr>
                  <w:r>
                    <w:t xml:space="preserve">One table from the interview dates (Malawi 2016); regional full index 0.30 / 0.34, climate + soil 0.45</w:t>
                  </w:r>
                </w:p>
              </w:tc>
              <w:tc>
                <w:tcPr/>
                <w:p>
                  <w:pPr>
                    <w:pStyle w:val="Compact"/>
                    <w:jc w:val="left"/>
                    <w:jc w:val="center"/>
                  </w:pPr>
                  <w:r>
                    <w:t xml:space="preserve">Survey-year table (AU-01)</w:t>
                  </w:r>
                </w:p>
              </w:tc>
            </w:tr>
            <w:tr>
              <w:tc>
                <w:tcPr/>
                <w:p>
                  <w:pPr>
                    <w:pStyle w:val="Compact"/>
                    <w:jc w:val="left"/>
                    <w:jc w:val="center"/>
                  </w:pPr>
                  <w:r>
                    <w:t xml:space="preserve">Vitamin A cut-off across surveys</w:t>
                  </w:r>
                </w:p>
              </w:tc>
              <w:tc>
                <w:tcPr/>
                <w:p>
                  <w:pPr>
                    <w:pStyle w:val="Compact"/>
                    <w:jc w:val="left"/>
                    <w:jc w:val="center"/>
                  </w:pPr>
                  <w:r>
                    <w:t xml:space="preserve">Adjusted RBP &lt; 0.70 in every survey although 0.70 of RBP is 0.61 to 0.91 of retinol; Malawi child prevalence 10% against the survey’s 4%</w:t>
                  </w:r>
                </w:p>
              </w:tc>
              <w:tc>
                <w:tcPr/>
                <w:p>
                  <w:pPr>
                    <w:pStyle w:val="Compact"/>
                    <w:jc w:val="left"/>
                    <w:jc w:val="center"/>
                  </w:pPr>
                  <w:r>
                    <w:t xml:space="preserve">Each survey’s own RBP-to-retinol line, then 0.70 of retinol; children 20 / 28 / 7 / 0.4% (Gambia, Ghana, Sierra Leone, Malawi); district prevalence transport 0.19 to 0.21, regional 0.34 to 0.25 with two near-empty Malawi cells</w:t>
                  </w:r>
                </w:p>
              </w:tc>
              <w:tc>
                <w:tcPr/>
                <w:p>
                  <w:pPr>
                    <w:pStyle w:val="Compact"/>
                    <w:jc w:val="left"/>
                    <w:jc w:val="center"/>
                  </w:pPr>
                  <w:r>
                    <w:t xml:space="preserve">Reproducing the four reports (RP-01)</w:t>
                  </w:r>
                </w:p>
              </w:tc>
            </w:tr>
            <w:tr>
              <w:tc>
                <w:tcPr/>
                <w:p>
                  <w:pPr>
                    <w:pStyle w:val="Compact"/>
                    <w:jc w:val="left"/>
                    <w:jc w:val="center"/>
                  </w:pPr>
                  <w:r>
                    <w:t xml:space="preserve">Malawi vitamin B12 units</w:t>
                  </w:r>
                </w:p>
              </w:tc>
              <w:tc>
                <w:tcPr/>
                <w:p>
                  <w:pPr>
                    <w:pStyle w:val="Compact"/>
                    <w:jc w:val="left"/>
                    <w:jc w:val="center"/>
                  </w:pPr>
                  <w:r>
                    <w:t xml:space="preserve">pg/mL cut at a pmol/L threshold; 2.8% deficient against the survey’s 13%</w:t>
                  </w:r>
                </w:p>
              </w:tc>
              <w:tc>
                <w:tcPr/>
                <w:p>
                  <w:pPr>
                    <w:pStyle w:val="Compact"/>
                    <w:jc w:val="left"/>
                    <w:jc w:val="center"/>
                  </w:pPr>
                  <w:r>
                    <w:t xml:space="preserve">Converted; 10.9% deficient; level target unchanged</w:t>
                  </w:r>
                </w:p>
              </w:tc>
              <w:tc>
                <w:tcPr/>
                <w:p>
                  <w:pPr>
                    <w:pStyle w:val="Compact"/>
                    <w:jc w:val="left"/>
                    <w:jc w:val="center"/>
                  </w:pPr>
                  <w:r>
                    <w:t xml:space="preserve">Reproducing the four reports (RP-01)</w:t>
                  </w:r>
                </w:p>
              </w:tc>
            </w:tr>
            <w:tr>
              <w:tc>
                <w:tcPr/>
                <w:p>
                  <w:pPr>
                    <w:pStyle w:val="Compact"/>
                    <w:jc w:val="left"/>
                    <w:jc w:val="center"/>
                  </w:pPr>
                  <w:r>
                    <w:t xml:space="preserve">DHS-derived district predictors</w:t>
                  </w:r>
                </w:p>
              </w:tc>
              <w:tc>
                <w:tcPr/>
                <w:p>
                  <w:pPr>
                    <w:pStyle w:val="Compact"/>
                    <w:jc w:val="left"/>
                    <w:jc w:val="center"/>
                  </w:pPr>
                  <w:r>
                    <w:t xml:space="preserve">Direct cluster means; 8,104 district cells missing, one cluster per district common</w:t>
                  </w:r>
                </w:p>
              </w:tc>
              <w:tc>
                <w:tcPr/>
                <w:p>
                  <w:pPr>
                    <w:pStyle w:val="Compact"/>
                    <w:jc w:val="left"/>
                    <w:jc w:val="center"/>
                  </w:pPr>
                  <w:r>
                    <w:t xml:space="preserve">Cluster-level BYM2 model at every district for 113 binary indicators per country (surveyPrev, no covariates); in-country unchanged, district transport 0.28 to 0.26 and dropping all survey columns now gains 0.07</w:t>
                  </w:r>
                </w:p>
              </w:tc>
              <w:tc>
                <w:tcPr/>
                <w:p>
                  <w:pPr>
                    <w:pStyle w:val="Compact"/>
                    <w:jc w:val="left"/>
                    <w:jc w:val="center"/>
                  </w:pPr>
                  <w:r>
                    <w:t xml:space="preserve">The DHS estimator, without its covariates</w:t>
                  </w:r>
                </w:p>
              </w:tc>
            </w:tr>
          </w:tbl>
          <w:bookmarkEnd w:id="50"/>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51"/>
    <w:bookmarkStart w:id="52"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52"/>
    <w:bookmarkStart w:id="53"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53"/>
    <w:bookmarkStart w:id="54"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54"/>
    <w:bookmarkStart w:id="55"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5"/>
    <w:bookmarkStart w:id="56"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6"/>
    <w:bookmarkStart w:id="57"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7"/>
    <w:bookmarkStart w:id="67"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62"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2</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61" w:name="fig-individual"/>
          <w:p>
            <w:pPr>
              <w:pStyle w:val="Compact"/>
              <w:jc w:val="center"/>
            </w:pPr>
            <w:r>
              <w:drawing>
                <wp:inline>
                  <wp:extent cx="5334000" cy="2800349"/>
                  <wp:effectExtent b="0" l="0" r="0" t="0"/>
                  <wp:docPr descr="" title="" id="59" name="Picture"/>
                  <a:graphic>
                    <a:graphicData uri="http://schemas.openxmlformats.org/drawingml/2006/picture">
                      <pic:pic>
                        <pic:nvPicPr>
                          <pic:cNvPr descr="manuscript_mcn_v2_files/figure-docx/fig-individual-1.png" id="60" name="Picture"/>
                          <pic:cNvPicPr>
                            <a:picLocks noChangeArrowheads="1" noChangeAspect="1"/>
                          </pic:cNvPicPr>
                        </pic:nvPicPr>
                        <pic:blipFill>
                          <a:blip r:embed="rId58"/>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Person-level SuperLearner, outer 5-fold cross-validation by district: Brier skill over the national prevalence for the survey questionnaire alone, the district proxies alone, and both, by country and outcome.</w:t>
            </w:r>
          </w:p>
          <w:bookmarkEnd w:id="61"/>
        </w:tc>
      </w:tr>
    </w:tbl>
    <w:bookmarkEnd w:id="62"/>
    <w:bookmarkStart w:id="65"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63" w:name="tbl-s1-honesty"/>
          <w:p>
            <w:pPr>
              <w:jc w:val="center"/>
            </w:pPr>
            <w:pPr>
              <w:jc w:val="start"/>
              <w:spacing w:before="200"/>
              <w:pStyle w:val="ImageCaption"/>
            </w:pPr>
            <w:r>
              <w:t xml:space="preserve">Table 13: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s1-error"/>
          <w:p>
            <w:pPr>
              <w:jc w:val="center"/>
            </w:pPr>
            <w:pPr>
              <w:jc w:val="start"/>
              <w:spacing w:before="200"/>
              <w:pStyle w:val="ImageCaption"/>
            </w:pPr>
            <w:r>
              <w:t xml:space="preserve">Table 14: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64"/>
          <w:p/>
        </w:tc>
      </w:tr>
    </w:tbl>
    <w:bookmarkEnd w:id="65"/>
    <w:bookmarkStart w:id="66"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12</w:t>
        </w:r>
      </w:hyperlink>
      <w:r>
        <w:t xml:space="preserve">.</w:t>
      </w:r>
    </w:p>
    <w:bookmarkEnd w:id="66"/>
    <w:bookmarkEnd w:id="67"/>
    <w:bookmarkStart w:id="68"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and Malawi’s as 2015 in the protocol scripts against 2016</w:t>
      </w:r>
      <w:r>
        <w:t xml:space="preserve"> </w:t>
      </w:r>
      <w:r>
        <w:t xml:space="preserve">in the configuration, both closed by one survey-year table that every</w:t>
      </w:r>
      <w:r>
        <w:t xml:space="preserve"> </w:t>
      </w:r>
      <w:r>
        <w:t xml:space="preserve">extractor now reads.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8"/>
    <w:bookmarkStart w:id="70"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9" w:name="tbl-s3-cells"/>
          <w:p>
            <w:pPr>
              <w:jc w:val="center"/>
            </w:pPr>
            <w:pPr>
              <w:jc w:val="start"/>
              <w:spacing w:before="200"/>
              <w:pStyle w:val="ImageCaption"/>
            </w:pPr>
            <w:r>
              <w:t xml:space="preserve">Table 15: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0.69</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0.28</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0.75</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0.57</w:t>
                  </w:r>
                </w:p>
              </w:tc>
              <w:tc>
                <w:tcPr/>
                <w:p>
                  <w:pPr>
                    <w:pStyle w:val="Compact"/>
                    <w:jc w:val="right"/>
                    <w:jc w:val="center"/>
                  </w:pPr>
                  <w:r>
                    <w:t xml:space="preserve">0.61</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0.39</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0.61</w:t>
                  </w:r>
                </w:p>
              </w:tc>
              <w:tc>
                <w:tcPr/>
                <w:p>
                  <w:pPr>
                    <w:pStyle w:val="Compact"/>
                    <w:jc w:val="right"/>
                    <w:jc w:val="center"/>
                  </w:pPr>
                  <w:r>
                    <w:t xml:space="preserve">0.22</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0.30</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0.25</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-0.11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0.26</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0.21</w:t>
                  </w:r>
                </w:p>
              </w:tc>
              <w:tc>
                <w:tcPr/>
                <w:p>
                  <w:pPr>
                    <w:pStyle w:val="Compact"/>
                    <w:jc w:val="right"/>
                    <w:jc w:val="center"/>
                  </w:pPr>
                  <w:r>
                    <w:t xml:space="preserve">0.17</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0.21</w:t>
                  </w:r>
                </w:p>
              </w:tc>
              <w:tc>
                <w:tcPr/>
                <w:p>
                  <w:pPr>
                    <w:pStyle w:val="Compact"/>
                    <w:jc w:val="right"/>
                    <w:jc w:val="center"/>
                  </w:pPr>
                  <w:r>
                    <w:t xml:space="preserve">0.35</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-0.09</w:t>
                  </w:r>
                </w:p>
              </w:tc>
              <w:tc>
                <w:tcPr/>
                <w:p>
                  <w:pPr>
                    <w:pStyle w:val="Compact"/>
                    <w:jc w:val="right"/>
                    <w:jc w:val="center"/>
                  </w:pPr>
                  <w:r>
                    <w:t xml:space="preserve">-0.02</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-0.15</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0.01</w:t>
                  </w:r>
                </w:p>
              </w:tc>
              <w:tc>
                <w:tcPr/>
                <w:p>
                  <w:pPr>
                    <w:pStyle w:val="Compact"/>
                    <w:jc w:val="right"/>
                    <w:jc w:val="center"/>
                  </w:pPr>
                  <w:r>
                    <w:t xml:space="preserve">-0.11</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-0.09</w:t>
                  </w:r>
                </w:p>
              </w:tc>
              <w:tc>
                <w:tcPr/>
                <w:p>
                  <w:pPr>
                    <w:pStyle w:val="Compact"/>
                    <w:jc w:val="right"/>
                    <w:jc w:val="center"/>
                  </w:pPr>
                  <w:r>
                    <w:t xml:space="preserve">-0.07</w:t>
                  </w:r>
                </w:p>
              </w:tc>
            </w:tr>
          </w:tbl>
          <w:bookmarkEnd w:id="69"/>
          <w:p/>
        </w:tc>
      </w:tr>
    </w:tbl>
    <w:bookmarkEnd w:id="70"/>
    <w:bookmarkStart w:id="72" w:name="X931d8d70062060fbdfa0405a2051e1a0c36998d"/>
    <w:p>
      <w:pPr>
        <w:pStyle w:val="Heading1"/>
      </w:pPr>
      <w:r>
        <w:t xml:space="preserve">Supplement S4: the twenty-predictor composites</w:t>
      </w:r>
    </w:p>
    <w:p>
      <w:pPr>
        <w:pStyle w:val="FirstParagraph"/>
      </w:pPr>
      <w:r>
        <w:t xml:space="preserve">The members of each outcome’s composite in the pooled four-country fit on the</w:t>
      </w:r>
      <w:r>
        <w:t xml:space="preserve"> </w:t>
      </w:r>
      <w:r>
        <w:t xml:space="preserve">biomarker level, in order of back-projected weight, with the sign of the</w:t>
      </w:r>
      <w:r>
        <w:t xml:space="preserve"> </w:t>
      </w:r>
      <w:r>
        <w:t xml:space="preserve">contribution (+ means more deficiency). In the benchmark the membership is</w:t>
      </w:r>
      <w:r>
        <w:t xml:space="preserve"> </w:t>
      </w:r>
      <w:r>
        <w:t xml:space="preserve">re-chosen inside every training fold; these are the versions a fifth country</w:t>
      </w:r>
      <w:r>
        <w:t xml:space="preserve"> </w:t>
      </w:r>
      <w:r>
        <w:t xml:space="preserve">would receive. A star marks a member whose sign is not reproduced in every</w:t>
      </w:r>
      <w:r>
        <w:t xml:space="preserve"> </w:t>
      </w:r>
      <w:r>
        <w:t xml:space="preserve">country’s own independent fit.</w:t>
      </w:r>
    </w:p>
    <w:tbl>
      <w:tblPr>
        <w:tblStyle w:val="Table"/>
        <w:tblW w:type="pct" w:w="5000"/>
        <w:tblLayout w:type="fixed"/>
        <w:tblLook w:firstRow="0" w:lastRow="0" w:firstColumn="0" w:lastColumn="0" w:noHBand="0" w:noVBand="0" w:val="0000"/>
      </w:tblPr>
      <w:tblGrid>
        <w:gridCol w:w="7920"/>
      </w:tblGrid>
      <w:tr>
        <w:tc>
          <w:tcPr/>
          <w:bookmarkStart w:id="71" w:name="tbl-s4"/>
          <w:p>
            <w:pPr>
              <w:jc w:val="center"/>
            </w:pPr>
            <w:pPr>
              <w:jc w:val="start"/>
              <w:spacing w:before="200"/>
              <w:pStyle w:val="ImageCaption"/>
            </w:pPr>
            <w:r>
              <w:t xml:space="preserve">Table 16: Twenty-predictor composites by outcome (four-country fit, biomarker level): predictor and sign, in order of weight.</w:t>
            </w:r>
          </w:p>
          <w:tbl>
            <w:tblPr>
              <w:tblStyle w:val="Table"/>
              <w:tblW w:type="pct" w:w="5000"/>
              <w:tblLayout w:type="fixed"/>
              <w:tblLook w:firstRow="1" w:lastRow="0" w:firstColumn="0" w:lastColumn="0" w:noHBand="0" w:noVBand="0" w:val="0020"/>
            </w:tblPr>
            <w:tblGrid>
              <w:gridCol w:w="154"/>
              <w:gridCol w:w="986"/>
              <w:gridCol w:w="955"/>
              <w:gridCol w:w="1633"/>
              <w:gridCol w:w="2188"/>
              <w:gridCol w:w="1047"/>
              <w:gridCol w:w="955"/>
            </w:tblGrid>
            <w:tr>
              <w:trPr>
                <w:tblHeader w:val="on"/>
              </w:trPr>
              <w:tc>
                <w:tcPr/>
                <w:p>
                  <w:pPr>
                    <w:pStyle w:val="Compact"/>
                    <w:jc w:val="right"/>
                    <w:jc w:val="center"/>
                  </w:pPr>
                  <w:r>
                    <w:t xml:space="preserve">Rank</w:t>
                  </w:r>
                </w:p>
              </w:tc>
              <w:tc>
                <w:tcPr/>
                <w:p>
                  <w:pPr>
                    <w:pStyle w:val="Compact"/>
                    <w:jc w:val="left"/>
                    <w:jc w:val="center"/>
                  </w:pPr>
                  <w:r>
                    <w:t xml:space="preserve">Child vitamin A</w:t>
                  </w:r>
                </w:p>
              </w:tc>
              <w:tc>
                <w:tcPr/>
                <w:p>
                  <w:pPr>
                    <w:pStyle w:val="Compact"/>
                    <w:jc w:val="left"/>
                    <w:jc w:val="center"/>
                  </w:pPr>
                  <w:r>
                    <w:t xml:space="preserve">Women’s vitamin A</w:t>
                  </w:r>
                </w:p>
              </w:tc>
              <w:tc>
                <w:tcPr/>
                <w:p>
                  <w:pPr>
                    <w:pStyle w:val="Compact"/>
                    <w:jc w:val="left"/>
                    <w:jc w:val="center"/>
                  </w:pPr>
                  <w:r>
                    <w:t xml:space="preserve">Child iron</w:t>
                  </w:r>
                </w:p>
              </w:tc>
              <w:tc>
                <w:tcPr/>
                <w:p>
                  <w:pPr>
                    <w:pStyle w:val="Compact"/>
                    <w:jc w:val="left"/>
                    <w:jc w:val="center"/>
                  </w:pPr>
                  <w:r>
                    <w:t xml:space="preserve">Women’s iron</w:t>
                  </w:r>
                </w:p>
              </w:tc>
              <w:tc>
                <w:tcPr/>
                <w:p>
                  <w:pPr>
                    <w:pStyle w:val="Compact"/>
                    <w:jc w:val="left"/>
                    <w:jc w:val="center"/>
                  </w:pPr>
                  <w:r>
                    <w:t xml:space="preserve">Women’s folate</w:t>
                  </w:r>
                </w:p>
              </w:tc>
              <w:tc>
                <w:tcPr/>
                <w:p>
                  <w:pPr>
                    <w:pStyle w:val="Compact"/>
                    <w:jc w:val="left"/>
                    <w:jc w:val="center"/>
                  </w:pPr>
                  <w:r>
                    <w:t xml:space="preserve">Women’s B12</w:t>
                  </w:r>
                </w:p>
              </w:tc>
            </w:tr>
            <w:tr>
              <w:tc>
                <w:tcPr/>
                <w:p>
                  <w:pPr>
                    <w:pStyle w:val="Compact"/>
                    <w:jc w:val="right"/>
                    <w:jc w:val="center"/>
                  </w:pPr>
                  <w:r>
                    <w:t xml:space="preserve">1</w:t>
                  </w:r>
                </w:p>
              </w:tc>
              <w:tc>
                <w:tcPr/>
                <w:p>
                  <w:pPr>
                    <w:pStyle w:val="Compact"/>
                    <w:jc w:val="left"/>
                    <w:jc w:val="center"/>
                  </w:pPr>
                  <w:r>
                    <w:t xml:space="preserve">npp_gpp_t0 (-)</w:t>
                  </w:r>
                </w:p>
              </w:tc>
              <w:tc>
                <w:tcPr/>
                <w:p>
                  <w:pPr>
                    <w:pStyle w:val="Compact"/>
                    <w:jc w:val="left"/>
                    <w:jc w:val="center"/>
                  </w:pPr>
                  <w:r>
                    <w:t xml:space="preserve">ihme_underweightprevalence (+)</w:t>
                  </w:r>
                </w:p>
              </w:tc>
              <w:tc>
                <w:tcPr/>
                <w:p>
                  <w:pPr>
                    <w:pStyle w:val="Compact"/>
                    <w:jc w:val="left"/>
                    <w:jc w:val="center"/>
                  </w:pPr>
                  <w:r>
                    <w:t xml:space="preserve">glw_ruminant_share (+)</w:t>
                  </w:r>
                </w:p>
              </w:tc>
              <w:tc>
                <w:tcPr/>
                <w:p>
                  <w:pPr>
                    <w:pStyle w:val="Compact"/>
                    <w:jc w:val="left"/>
                    <w:jc w:val="center"/>
                  </w:pPr>
                  <w:r>
                    <w:t xml:space="preserve">glw_ruminant_share (+)</w:t>
                  </w:r>
                </w:p>
              </w:tc>
              <w:tc>
                <w:tcPr/>
                <w:p>
                  <w:pPr>
                    <w:pStyle w:val="Compact"/>
                    <w:jc w:val="left"/>
                    <w:jc w:val="center"/>
                  </w:pPr>
                  <w:r>
                    <w:t xml:space="preserve">dhs_w_working (-)</w:t>
                  </w:r>
                </w:p>
              </w:tc>
              <w:tc>
                <w:tcPr/>
                <w:p>
                  <w:pPr>
                    <w:pStyle w:val="Compact"/>
                    <w:jc w:val="left"/>
                    <w:jc w:val="center"/>
                  </w:pPr>
                  <w:r>
                    <w:t xml:space="preserve">ihme_stuntingprevalence (+)</w:t>
                  </w:r>
                </w:p>
              </w:tc>
            </w:tr>
            <w:tr>
              <w:tc>
                <w:tcPr/>
                <w:p>
                  <w:pPr>
                    <w:pStyle w:val="Compact"/>
                    <w:jc w:val="right"/>
                    <w:jc w:val="center"/>
                  </w:pPr>
                  <w:r>
                    <w:t xml:space="preserve">2</w:t>
                  </w:r>
                </w:p>
              </w:tc>
              <w:tc>
                <w:tcPr/>
                <w:p>
                  <w:pPr>
                    <w:pStyle w:val="Compact"/>
                    <w:jc w:val="left"/>
                    <w:jc w:val="center"/>
                  </w:pPr>
                  <w:r>
                    <w:t xml:space="preserve">dhs_CN_NUTS_C_HA2 (+*)</w:t>
                  </w:r>
                </w:p>
              </w:tc>
              <w:tc>
                <w:tcPr/>
                <w:p>
                  <w:pPr>
                    <w:pStyle w:val="Compact"/>
                    <w:jc w:val="left"/>
                    <w:jc w:val="center"/>
                  </w:pPr>
                  <w:r>
                    <w:t xml:space="preserve">glw_tlu_per_capita (+*)</w:t>
                  </w:r>
                </w:p>
              </w:tc>
              <w:tc>
                <w:tcPr/>
                <w:p>
                  <w:pPr>
                    <w:pStyle w:val="Compact"/>
                    <w:jc w:val="left"/>
                    <w:jc w:val="center"/>
                  </w:pPr>
                  <w:r>
                    <w:t xml:space="preserve">dhs_w_owns_house (-)</w:t>
                  </w:r>
                </w:p>
              </w:tc>
              <w:tc>
                <w:tcPr/>
                <w:p>
                  <w:pPr>
                    <w:pStyle w:val="Compact"/>
                    <w:jc w:val="left"/>
                    <w:jc w:val="center"/>
                  </w:pPr>
                  <w:r>
                    <w:t xml:space="preserve">glw_pigs_km2 (-)</w:t>
                  </w:r>
                </w:p>
              </w:tc>
              <w:tc>
                <w:tcPr/>
                <w:p>
                  <w:pPr>
                    <w:pStyle w:val="Compact"/>
                    <w:jc w:val="left"/>
                    <w:jc w:val="center"/>
                  </w:pPr>
                  <w:r>
                    <w:t xml:space="preserve">dhs_w_health_insurance (+)</w:t>
                  </w:r>
                </w:p>
              </w:tc>
              <w:tc>
                <w:tcPr/>
                <w:p>
                  <w:pPr>
                    <w:pStyle w:val="Compact"/>
                    <w:jc w:val="left"/>
                    <w:jc w:val="center"/>
                  </w:pPr>
                  <w:r>
                    <w:t xml:space="preserve">ihme_underweightprevalence (+)</w:t>
                  </w:r>
                </w:p>
              </w:tc>
            </w:tr>
            <w:tr>
              <w:tc>
                <w:tcPr/>
                <w:p>
                  <w:pPr>
                    <w:pStyle w:val="Compact"/>
                    <w:jc w:val="right"/>
                    <w:jc w:val="center"/>
                  </w:pPr>
                  <w:r>
                    <w:t xml:space="preserve">3</w:t>
                  </w:r>
                </w:p>
              </w:tc>
              <w:tc>
                <w:tcPr/>
                <w:p>
                  <w:pPr>
                    <w:pStyle w:val="Compact"/>
                    <w:jc w:val="left"/>
                    <w:jc w:val="center"/>
                  </w:pPr>
                  <w:r>
                    <w:t xml:space="preserve">lcover_grass_frac_t0 (+)</w:t>
                  </w:r>
                </w:p>
              </w:tc>
              <w:tc>
                <w:tcPr/>
                <w:p>
                  <w:pPr>
                    <w:pStyle w:val="Compact"/>
                    <w:jc w:val="left"/>
                    <w:jc w:val="center"/>
                  </w:pPr>
                  <w:r>
                    <w:t xml:space="preserve">glw_sheep_km2 (+)</w:t>
                  </w:r>
                </w:p>
              </w:tc>
              <w:tc>
                <w:tcPr/>
                <w:p>
                  <w:pPr>
                    <w:pStyle w:val="Compact"/>
                    <w:jc w:val="left"/>
                    <w:jc w:val="center"/>
                  </w:pPr>
                  <w:r>
                    <w:t xml:space="preserve">dhs_w_birth_interval_short (-)</w:t>
                  </w:r>
                </w:p>
              </w:tc>
              <w:tc>
                <w:tcPr/>
                <w:p>
                  <w:pPr>
                    <w:pStyle w:val="Compact"/>
                    <w:jc w:val="left"/>
                    <w:jc w:val="center"/>
                  </w:pPr>
                  <w:r>
                    <w:t xml:space="preserve">dhs_hh_soap_available (+*)</w:t>
                  </w:r>
                </w:p>
              </w:tc>
              <w:tc>
                <w:tcPr/>
                <w:p>
                  <w:pPr>
                    <w:pStyle w:val="Compact"/>
                    <w:jc w:val="left"/>
                    <w:jc w:val="center"/>
                  </w:pPr>
                  <w:r>
                    <w:t xml:space="preserve">spam_share_oilcrops (-*)</w:t>
                  </w:r>
                </w:p>
              </w:tc>
              <w:tc>
                <w:tcPr/>
                <w:p>
                  <w:pPr>
                    <w:pStyle w:val="Compact"/>
                    <w:jc w:val="left"/>
                    <w:jc w:val="center"/>
                  </w:pPr>
                  <w:r>
                    <w:t xml:space="preserve">glw_tlu_per_capita (+)</w:t>
                  </w:r>
                </w:p>
              </w:tc>
            </w:tr>
            <w:tr>
              <w:tc>
                <w:tcPr/>
                <w:p>
                  <w:pPr>
                    <w:pStyle w:val="Compact"/>
                    <w:jc w:val="right"/>
                    <w:jc w:val="center"/>
                  </w:pPr>
                  <w:r>
                    <w:t xml:space="preserve">4</w:t>
                  </w:r>
                </w:p>
              </w:tc>
              <w:tc>
                <w:tcPr/>
                <w:p>
                  <w:pPr>
                    <w:pStyle w:val="Compact"/>
                    <w:jc w:val="left"/>
                    <w:jc w:val="center"/>
                  </w:pPr>
                  <w:r>
                    <w:t xml:space="preserve">ihme_underweightprevalence (+*)</w:t>
                  </w:r>
                </w:p>
              </w:tc>
              <w:tc>
                <w:tcPr/>
                <w:p>
                  <w:pPr>
                    <w:pStyle w:val="Compact"/>
                    <w:jc w:val="left"/>
                    <w:jc w:val="center"/>
                  </w:pPr>
                  <w:r>
                    <w:t xml:space="preserve">npp_npp_t0 (-*)</w:t>
                  </w:r>
                </w:p>
              </w:tc>
              <w:tc>
                <w:tcPr/>
                <w:p>
                  <w:pPr>
                    <w:pStyle w:val="Compact"/>
                    <w:jc w:val="left"/>
                    <w:jc w:val="center"/>
                  </w:pPr>
                  <w:r>
                    <w:t xml:space="preserve">dhs_w_health_insurance (+*)</w:t>
                  </w:r>
                </w:p>
              </w:tc>
              <w:tc>
                <w:tcPr/>
                <w:p>
                  <w:pPr>
                    <w:pStyle w:val="Compact"/>
                    <w:jc w:val="left"/>
                    <w:jc w:val="center"/>
                  </w:pPr>
                  <w:r>
                    <w:t xml:space="preserve">dhs_FP_CUSA_W_MOD (-*)</w:t>
                  </w:r>
                </w:p>
              </w:tc>
              <w:tc>
                <w:tcPr/>
                <w:p>
                  <w:pPr>
                    <w:pStyle w:val="Compact"/>
                    <w:jc w:val="left"/>
                    <w:jc w:val="center"/>
                  </w:pPr>
                  <w:r>
                    <w:t xml:space="preserve">espen_sth_cov_mean (+)</w:t>
                  </w:r>
                </w:p>
              </w:tc>
              <w:tc>
                <w:tcPr/>
                <w:p>
                  <w:pPr>
                    <w:pStyle w:val="Compact"/>
                    <w:jc w:val="left"/>
                    <w:jc w:val="center"/>
                  </w:pPr>
                  <w:r>
                    <w:t xml:space="preserve">dhs_c_fg_grains (-)</w:t>
                  </w:r>
                </w:p>
              </w:tc>
            </w:tr>
            <w:tr>
              <w:tc>
                <w:tcPr/>
                <w:p>
                  <w:pPr>
                    <w:pStyle w:val="Compact"/>
                    <w:jc w:val="right"/>
                    <w:jc w:val="center"/>
                  </w:pPr>
                  <w:r>
                    <w:t xml:space="preserve">5</w:t>
                  </w:r>
                </w:p>
              </w:tc>
              <w:tc>
                <w:tcPr/>
                <w:p>
                  <w:pPr>
                    <w:pStyle w:val="Compact"/>
                    <w:jc w:val="left"/>
                    <w:jc w:val="center"/>
                  </w:pPr>
                  <w:r>
                    <w:t xml:space="preserve">ihme_stuntingprevalence (+*)</w:t>
                  </w:r>
                </w:p>
              </w:tc>
              <w:tc>
                <w:tcPr/>
                <w:p>
                  <w:pPr>
                    <w:pStyle w:val="Compact"/>
                    <w:jc w:val="left"/>
                    <w:jc w:val="center"/>
                  </w:pPr>
                  <w:r>
                    <w:t xml:space="preserve">lcover_grass_frac_t0 (+*)</w:t>
                  </w:r>
                </w:p>
              </w:tc>
              <w:tc>
                <w:tcPr/>
                <w:p>
                  <w:pPr>
                    <w:pStyle w:val="Compact"/>
                    <w:jc w:val="left"/>
                    <w:jc w:val="center"/>
                  </w:pPr>
                  <w:r>
                    <w:t xml:space="preserve">dhs_w_working (-*)</w:t>
                  </w:r>
                </w:p>
              </w:tc>
              <w:tc>
                <w:tcPr/>
                <w:p>
                  <w:pPr>
                    <w:pStyle w:val="Compact"/>
                    <w:jc w:val="left"/>
                    <w:jc w:val="center"/>
                  </w:pPr>
                  <w:r>
                    <w:t xml:space="preserve">dhs_w_modern_fp (-*)</w:t>
                  </w:r>
                </w:p>
              </w:tc>
              <w:tc>
                <w:tcPr/>
                <w:p>
                  <w:pPr>
                    <w:pStyle w:val="Compact"/>
                    <w:jc w:val="left"/>
                    <w:jc w:val="center"/>
                  </w:pPr>
                  <w:r>
                    <w:t xml:space="preserve">npp_npp_t0 (-*)</w:t>
                  </w:r>
                </w:p>
              </w:tc>
              <w:tc>
                <w:tcPr/>
                <w:p>
                  <w:pPr>
                    <w:pStyle w:val="Compact"/>
                    <w:jc w:val="left"/>
                    <w:jc w:val="center"/>
                  </w:pPr>
                  <w:r>
                    <w:t xml:space="preserve">dhs_CN_NUTS_C_HA2 (+)</w:t>
                  </w:r>
                </w:p>
              </w:tc>
            </w:tr>
            <w:tr>
              <w:tc>
                <w:tcPr/>
                <w:p>
                  <w:pPr>
                    <w:pStyle w:val="Compact"/>
                    <w:jc w:val="right"/>
                    <w:jc w:val="center"/>
                  </w:pPr>
                  <w:r>
                    <w:t xml:space="preserve">6</w:t>
                  </w:r>
                </w:p>
              </w:tc>
              <w:tc>
                <w:tcPr/>
                <w:p>
                  <w:pPr>
                    <w:pStyle w:val="Compact"/>
                    <w:jc w:val="left"/>
                    <w:jc w:val="center"/>
                  </w:pPr>
                  <w:r>
                    <w:t xml:space="preserve">fprice_staple_rel (-*)</w:t>
                  </w:r>
                </w:p>
              </w:tc>
              <w:tc>
                <w:tcPr/>
                <w:p>
                  <w:pPr>
                    <w:pStyle w:val="Compact"/>
                    <w:jc w:val="left"/>
                    <w:jc w:val="center"/>
                  </w:pPr>
                  <w:r>
                    <w:t xml:space="preserve">npp_gpp_t0 (-)</w:t>
                  </w:r>
                </w:p>
              </w:tc>
              <w:tc>
                <w:tcPr/>
                <w:p>
                  <w:pPr>
                    <w:pStyle w:val="Compact"/>
                    <w:jc w:val="left"/>
                    <w:jc w:val="center"/>
                  </w:pPr>
                  <w:r>
                    <w:t xml:space="preserve">spam_share_cereals (+)</w:t>
                  </w:r>
                </w:p>
              </w:tc>
              <w:tc>
                <w:tcPr/>
                <w:p>
                  <w:pPr>
                    <w:pStyle w:val="Compact"/>
                    <w:jc w:val="left"/>
                    <w:jc w:val="center"/>
                  </w:pPr>
                  <w:r>
                    <w:t xml:space="preserve">dhs_w_working (-*)</w:t>
                  </w:r>
                </w:p>
              </w:tc>
              <w:tc>
                <w:tcPr/>
                <w:p>
                  <w:pPr>
                    <w:pStyle w:val="Compact"/>
                    <w:jc w:val="left"/>
                    <w:jc w:val="center"/>
                  </w:pPr>
                  <w:r>
                    <w:t xml:space="preserve">dhs_w_bmi_low (+)</w:t>
                  </w:r>
                </w:p>
              </w:tc>
              <w:tc>
                <w:tcPr/>
                <w:p>
                  <w:pPr>
                    <w:pStyle w:val="Compact"/>
                    <w:jc w:val="left"/>
                    <w:jc w:val="center"/>
                  </w:pPr>
                  <w:r>
                    <w:t xml:space="preserve">dhs_c_fg_legumes (+)</w:t>
                  </w:r>
                </w:p>
              </w:tc>
            </w:tr>
            <w:tr>
              <w:tc>
                <w:tcPr/>
                <w:p>
                  <w:pPr>
                    <w:pStyle w:val="Compact"/>
                    <w:jc w:val="right"/>
                    <w:jc w:val="center"/>
                  </w:pPr>
                  <w:r>
                    <w:t xml:space="preserve">7</w:t>
                  </w:r>
                </w:p>
              </w:tc>
              <w:tc>
                <w:tcPr/>
                <w:p>
                  <w:pPr>
                    <w:pStyle w:val="Compact"/>
                    <w:jc w:val="left"/>
                    <w:jc w:val="center"/>
                  </w:pPr>
                  <w:r>
                    <w:t xml:space="preserve">npp_npp_t0 (-)</w:t>
                  </w:r>
                </w:p>
              </w:tc>
              <w:tc>
                <w:tcPr/>
                <w:p>
                  <w:pPr>
                    <w:pStyle w:val="Compact"/>
                    <w:jc w:val="left"/>
                    <w:jc w:val="center"/>
                  </w:pPr>
                  <w:r>
                    <w:t xml:space="preserve">ihme_stuntingprevalence (+*)</w:t>
                  </w:r>
                </w:p>
              </w:tc>
              <w:tc>
                <w:tcPr/>
                <w:p>
                  <w:pPr>
                    <w:pStyle w:val="Compact"/>
                    <w:jc w:val="left"/>
                    <w:jc w:val="center"/>
                  </w:pPr>
                  <w:r>
                    <w:t xml:space="preserve">fprice_staple_rel (-)</w:t>
                  </w:r>
                </w:p>
              </w:tc>
              <w:tc>
                <w:tcPr/>
                <w:p>
                  <w:pPr>
                    <w:pStyle w:val="Compact"/>
                    <w:jc w:val="left"/>
                    <w:jc w:val="center"/>
                  </w:pPr>
                  <w:r>
                    <w:t xml:space="preserve">soil_phosphorus_stdev_0_20 (+*)</w:t>
                  </w:r>
                </w:p>
              </w:tc>
              <w:tc>
                <w:tcPr/>
                <w:p>
                  <w:pPr>
                    <w:pStyle w:val="Compact"/>
                    <w:jc w:val="left"/>
                    <w:jc w:val="center"/>
                  </w:pPr>
                  <w:r>
                    <w:t xml:space="preserve">dhs_AN_NUTS_W_THN (+)</w:t>
                  </w:r>
                </w:p>
              </w:tc>
              <w:tc>
                <w:tcPr/>
                <w:p>
                  <w:pPr>
                    <w:pStyle w:val="Compact"/>
                    <w:jc w:val="left"/>
                    <w:jc w:val="center"/>
                  </w:pPr>
                  <w:r>
                    <w:t xml:space="preserve">lcover_crops_frac_t0 (+)</w:t>
                  </w:r>
                </w:p>
              </w:tc>
            </w:tr>
            <w:tr>
              <w:tc>
                <w:tcPr/>
                <w:p>
                  <w:pPr>
                    <w:pStyle w:val="Compact"/>
                    <w:jc w:val="right"/>
                    <w:jc w:val="center"/>
                  </w:pPr>
                  <w:r>
                    <w:t xml:space="preserve">8</w:t>
                  </w:r>
                </w:p>
              </w:tc>
              <w:tc>
                <w:tcPr/>
                <w:p>
                  <w:pPr>
                    <w:pStyle w:val="Compact"/>
                    <w:jc w:val="left"/>
                    <w:jc w:val="center"/>
                  </w:pPr>
                  <w:r>
                    <w:t xml:space="preserve">dhs_CN_NUTS_C_WH2 (+)</w:t>
                  </w:r>
                </w:p>
              </w:tc>
              <w:tc>
                <w:tcPr/>
                <w:p>
                  <w:pPr>
                    <w:pStyle w:val="Compact"/>
                    <w:jc w:val="left"/>
                    <w:jc w:val="center"/>
                  </w:pPr>
                  <w:r>
                    <w:t xml:space="preserve">dhs_CN_NUTS_C_WH2 (+)</w:t>
                  </w:r>
                </w:p>
              </w:tc>
              <w:tc>
                <w:tcPr/>
                <w:p>
                  <w:pPr>
                    <w:pStyle w:val="Compact"/>
                    <w:jc w:val="left"/>
                    <w:jc w:val="center"/>
                  </w:pPr>
                  <w:r>
                    <w:t xml:space="preserve">map_blooddisorders201201africahbcallelefrequency (+)</w:t>
                  </w:r>
                </w:p>
              </w:tc>
              <w:tc>
                <w:tcPr/>
                <w:p>
                  <w:pPr>
                    <w:pStyle w:val="Compact"/>
                    <w:jc w:val="left"/>
                    <w:jc w:val="center"/>
                  </w:pPr>
                  <w:r>
                    <w:t xml:space="preserve">ihme_severeanemia (+)</w:t>
                  </w:r>
                </w:p>
              </w:tc>
              <w:tc>
                <w:tcPr/>
                <w:p>
                  <w:pPr>
                    <w:pStyle w:val="Compact"/>
                    <w:jc w:val="left"/>
                    <w:jc w:val="center"/>
                  </w:pPr>
                  <w:r>
                    <w:t xml:space="preserve">fprice_staple_rel (-*)</w:t>
                  </w:r>
                </w:p>
              </w:tc>
              <w:tc>
                <w:tcPr/>
                <w:p>
                  <w:pPr>
                    <w:pStyle w:val="Compact"/>
                    <w:jc w:val="left"/>
                    <w:jc w:val="center"/>
                  </w:pPr>
                  <w:r>
                    <w:t xml:space="preserve">wapor_sd_t0 (+)</w:t>
                  </w:r>
                </w:p>
              </w:tc>
            </w:tr>
            <w:tr>
              <w:tc>
                <w:tcPr/>
                <w:p>
                  <w:pPr>
                    <w:pStyle w:val="Compact"/>
                    <w:jc w:val="right"/>
                    <w:jc w:val="center"/>
                  </w:pPr>
                  <w:r>
                    <w:t xml:space="preserve">9</w:t>
                  </w:r>
                </w:p>
              </w:tc>
              <w:tc>
                <w:tcPr/>
                <w:p>
                  <w:pPr>
                    <w:pStyle w:val="Compact"/>
                    <w:jc w:val="left"/>
                    <w:jc w:val="center"/>
                  </w:pPr>
                  <w:r>
                    <w:t xml:space="preserve">dhs_w_no_education (+*)</w:t>
                  </w:r>
                </w:p>
              </w:tc>
              <w:tc>
                <w:tcPr/>
                <w:p>
                  <w:pPr>
                    <w:pStyle w:val="Compact"/>
                    <w:jc w:val="left"/>
                    <w:jc w:val="center"/>
                  </w:pPr>
                  <w:r>
                    <w:t xml:space="preserve">dhs_w_height_low (-)</w:t>
                  </w:r>
                </w:p>
              </w:tc>
              <w:tc>
                <w:tcPr/>
                <w:p>
                  <w:pPr>
                    <w:pStyle w:val="Compact"/>
                    <w:jc w:val="left"/>
                    <w:jc w:val="center"/>
                  </w:pPr>
                  <w:r>
                    <w:t xml:space="preserve">glw_cattle_km2 (+)</w:t>
                  </w:r>
                </w:p>
              </w:tc>
              <w:tc>
                <w:tcPr/>
                <w:p>
                  <w:pPr>
                    <w:pStyle w:val="Compact"/>
                    <w:jc w:val="left"/>
                    <w:jc w:val="center"/>
                  </w:pPr>
                  <w:r>
                    <w:t xml:space="preserve">ihme_allanemia (+*)</w:t>
                  </w:r>
                </w:p>
              </w:tc>
              <w:tc>
                <w:tcPr/>
                <w:p>
                  <w:pPr>
                    <w:pStyle w:val="Compact"/>
                    <w:jc w:val="left"/>
                    <w:jc w:val="center"/>
                  </w:pPr>
                  <w:r>
                    <w:t xml:space="preserve">tclim_pdsi_t0 (-)</w:t>
                  </w:r>
                </w:p>
              </w:tc>
              <w:tc>
                <w:tcPr/>
                <w:p>
                  <w:pPr>
                    <w:pStyle w:val="Compact"/>
                    <w:jc w:val="left"/>
                    <w:jc w:val="center"/>
                  </w:pPr>
                  <w:r>
                    <w:t xml:space="preserve">dhs_CN_BRFS_C_EXB (+)</w:t>
                  </w:r>
                </w:p>
              </w:tc>
            </w:tr>
            <w:tr>
              <w:tc>
                <w:tcPr/>
                <w:p>
                  <w:pPr>
                    <w:pStyle w:val="Compact"/>
                    <w:jc w:val="right"/>
                    <w:jc w:val="center"/>
                  </w:pPr>
                  <w:r>
                    <w:t xml:space="preserve">10</w:t>
                  </w:r>
                </w:p>
              </w:tc>
              <w:tc>
                <w:tcPr/>
                <w:p>
                  <w:pPr>
                    <w:pStyle w:val="Compact"/>
                    <w:jc w:val="left"/>
                    <w:jc w:val="center"/>
                  </w:pPr>
                  <w:r>
                    <w:t xml:space="preserve">dhs_w_primary_edu (-*)</w:t>
                  </w:r>
                </w:p>
              </w:tc>
              <w:tc>
                <w:tcPr/>
                <w:p>
                  <w:pPr>
                    <w:pStyle w:val="Compact"/>
                    <w:jc w:val="left"/>
                    <w:jc w:val="center"/>
                  </w:pPr>
                  <w:r>
                    <w:t xml:space="preserve">fprice_staple_rel (-)</w:t>
                  </w:r>
                </w:p>
              </w:tc>
              <w:tc>
                <w:tcPr/>
                <w:p>
                  <w:pPr>
                    <w:pStyle w:val="Compact"/>
                    <w:jc w:val="left"/>
                    <w:jc w:val="center"/>
                  </w:pPr>
                  <w:r>
                    <w:t xml:space="preserve">dhs_FP_CUSA_W_MOD (-)</w:t>
                  </w:r>
                </w:p>
              </w:tc>
              <w:tc>
                <w:tcPr/>
                <w:p>
                  <w:pPr>
                    <w:pStyle w:val="Compact"/>
                    <w:jc w:val="left"/>
                    <w:jc w:val="center"/>
                  </w:pPr>
                  <w:r>
                    <w:t xml:space="preserve">dhs_w_barrier_permission (-*)</w:t>
                  </w:r>
                </w:p>
              </w:tc>
              <w:tc>
                <w:tcPr/>
                <w:p>
                  <w:pPr>
                    <w:pStyle w:val="Compact"/>
                    <w:jc w:val="left"/>
                    <w:jc w:val="center"/>
                  </w:pPr>
                  <w:r>
                    <w:t xml:space="preserve">dhs_c_fg_roots (+*)</w:t>
                  </w:r>
                </w:p>
              </w:tc>
              <w:tc>
                <w:tcPr/>
                <w:p>
                  <w:pPr>
                    <w:pStyle w:val="Compact"/>
                    <w:jc w:val="left"/>
                    <w:jc w:val="center"/>
                  </w:pPr>
                  <w:r>
                    <w:t xml:space="preserve">grassland_frac (+)</w:t>
                  </w:r>
                </w:p>
              </w:tc>
            </w:tr>
            <w:tr>
              <w:tc>
                <w:tcPr/>
                <w:p>
                  <w:pPr>
                    <w:pStyle w:val="Compact"/>
                    <w:jc w:val="right"/>
                    <w:jc w:val="center"/>
                  </w:pPr>
                  <w:r>
                    <w:t xml:space="preserve">11</w:t>
                  </w:r>
                </w:p>
              </w:tc>
              <w:tc>
                <w:tcPr/>
                <w:p>
                  <w:pPr>
                    <w:pStyle w:val="Compact"/>
                    <w:jc w:val="left"/>
                    <w:jc w:val="center"/>
                  </w:pPr>
                  <w:r>
                    <w:t xml:space="preserve">wpop_share_under5 (+)</w:t>
                  </w:r>
                </w:p>
              </w:tc>
              <w:tc>
                <w:tcPr/>
                <w:p>
                  <w:pPr>
                    <w:pStyle w:val="Compact"/>
                    <w:jc w:val="left"/>
                    <w:jc w:val="center"/>
                  </w:pPr>
                  <w:r>
                    <w:t xml:space="preserve">dhs_w_primary_edu (-*)</w:t>
                  </w:r>
                </w:p>
              </w:tc>
              <w:tc>
                <w:tcPr/>
                <w:p>
                  <w:pPr>
                    <w:pStyle w:val="Compact"/>
                    <w:jc w:val="left"/>
                    <w:jc w:val="center"/>
                  </w:pPr>
                  <w:r>
                    <w:t xml:space="preserve">dhs_w_modern_fp (-)</w:t>
                  </w:r>
                </w:p>
              </w:tc>
              <w:tc>
                <w:tcPr/>
                <w:p>
                  <w:pPr>
                    <w:pStyle w:val="Compact"/>
                    <w:jc w:val="left"/>
                    <w:jc w:val="center"/>
                  </w:pPr>
                  <w:r>
                    <w:t xml:space="preserve">ihme_moderateanemia (+*)</w:t>
                  </w:r>
                </w:p>
              </w:tc>
              <w:tc>
                <w:tcPr/>
                <w:p>
                  <w:pPr>
                    <w:pStyle w:val="Compact"/>
                    <w:jc w:val="left"/>
                    <w:jc w:val="center"/>
                  </w:pPr>
                  <w:r>
                    <w:t xml:space="preserve">wdist_perm_km_mean (-)</w:t>
                  </w:r>
                </w:p>
              </w:tc>
              <w:tc>
                <w:tcPr/>
                <w:p>
                  <w:pPr>
                    <w:pStyle w:val="Compact"/>
                    <w:jc w:val="left"/>
                    <w:jc w:val="center"/>
                  </w:pPr>
                  <w:r>
                    <w:t xml:space="preserve">dhs_c_deworm_6mo (-)</w:t>
                  </w:r>
                </w:p>
              </w:tc>
            </w:tr>
            <w:tr>
              <w:tc>
                <w:tcPr/>
                <w:p>
                  <w:pPr>
                    <w:pStyle w:val="Compact"/>
                    <w:jc w:val="right"/>
                    <w:jc w:val="center"/>
                  </w:pPr>
                  <w:r>
                    <w:t xml:space="preserve">12</w:t>
                  </w:r>
                </w:p>
              </w:tc>
              <w:tc>
                <w:tcPr/>
                <w:p>
                  <w:pPr>
                    <w:pStyle w:val="Compact"/>
                    <w:jc w:val="left"/>
                    <w:jc w:val="center"/>
                  </w:pPr>
                  <w:r>
                    <w:t xml:space="preserve">wpop_dependency_ratio (+)</w:t>
                  </w:r>
                </w:p>
              </w:tc>
              <w:tc>
                <w:tcPr/>
                <w:p>
                  <w:pPr>
                    <w:pStyle w:val="Compact"/>
                    <w:jc w:val="left"/>
                    <w:jc w:val="center"/>
                  </w:pPr>
                  <w:r>
                    <w:t xml:space="preserve">dhs_w_no_education (+*)</w:t>
                  </w:r>
                </w:p>
              </w:tc>
              <w:tc>
                <w:tcPr/>
                <w:p>
                  <w:pPr>
                    <w:pStyle w:val="Compact"/>
                    <w:jc w:val="left"/>
                    <w:jc w:val="center"/>
                  </w:pPr>
                  <w:r>
                    <w:t xml:space="preserve">npp_npp_t0 (-)</w:t>
                  </w:r>
                </w:p>
              </w:tc>
              <w:tc>
                <w:tcPr/>
                <w:p>
                  <w:pPr>
                    <w:pStyle w:val="Compact"/>
                    <w:jc w:val="left"/>
                    <w:jc w:val="center"/>
                  </w:pPr>
                  <w:r>
                    <w:t xml:space="preserve">ihme_mildanemia (+*)</w:t>
                  </w:r>
                </w:p>
              </w:tc>
              <w:tc>
                <w:tcPr/>
                <w:p>
                  <w:pPr>
                    <w:pStyle w:val="Compact"/>
                    <w:jc w:val="left"/>
                    <w:jc w:val="center"/>
                  </w:pPr>
                  <w:r>
                    <w:t xml:space="preserve">ihme_severeanemia (+*)</w:t>
                  </w:r>
                </w:p>
              </w:tc>
              <w:tc>
                <w:tcPr/>
                <w:p>
                  <w:pPr>
                    <w:pStyle w:val="Compact"/>
                    <w:jc w:val="left"/>
                    <w:jc w:val="center"/>
                  </w:pPr>
                  <w:r>
                    <w:t xml:space="preserve">elevation (+*)</w:t>
                  </w:r>
                </w:p>
              </w:tc>
            </w:tr>
            <w:tr>
              <w:tc>
                <w:tcPr/>
                <w:p>
                  <w:pPr>
                    <w:pStyle w:val="Compact"/>
                    <w:jc w:val="right"/>
                    <w:jc w:val="center"/>
                  </w:pPr>
                  <w:r>
                    <w:t xml:space="preserve">13</w:t>
                  </w:r>
                </w:p>
              </w:tc>
              <w:tc>
                <w:tcPr/>
                <w:p>
                  <w:pPr>
                    <w:pStyle w:val="Compact"/>
                    <w:jc w:val="left"/>
                    <w:jc w:val="center"/>
                  </w:pPr>
                  <w:r>
                    <w:t xml:space="preserve">wapor_sd_t0 (+*)</w:t>
                  </w:r>
                </w:p>
              </w:tc>
              <w:tc>
                <w:tcPr/>
                <w:p>
                  <w:pPr>
                    <w:pStyle w:val="Compact"/>
                    <w:jc w:val="left"/>
                    <w:jc w:val="center"/>
                  </w:pPr>
                  <w:r>
                    <w:t xml:space="preserve">dhs_CN_BRFS_C_EXB (+*)</w:t>
                  </w:r>
                </w:p>
              </w:tc>
              <w:tc>
                <w:tcPr/>
                <w:p>
                  <w:pPr>
                    <w:pStyle w:val="Compact"/>
                    <w:jc w:val="left"/>
                    <w:jc w:val="center"/>
                  </w:pPr>
                  <w:r>
                    <w:t xml:space="preserve">soil_phosphorus_stdev_0_20 (+*)</w:t>
                  </w:r>
                </w:p>
              </w:tc>
              <w:tc>
                <w:tcPr/>
                <w:p>
                  <w:pPr>
                    <w:pStyle w:val="Compact"/>
                    <w:jc w:val="left"/>
                    <w:jc w:val="center"/>
                  </w:pPr>
                  <w:r>
                    <w:t xml:space="preserve">dhs_w_owns_house (-)</w:t>
                  </w:r>
                </w:p>
              </w:tc>
              <w:tc>
                <w:tcPr/>
                <w:p>
                  <w:pPr>
                    <w:pStyle w:val="Compact"/>
                    <w:jc w:val="left"/>
                    <w:jc w:val="center"/>
                  </w:pPr>
                  <w:r>
                    <w:t xml:space="preserve">ihme_allanemia (+)</w:t>
                  </w:r>
                </w:p>
              </w:tc>
              <w:tc>
                <w:tcPr/>
                <w:p>
                  <w:pPr>
                    <w:pStyle w:val="Compact"/>
                    <w:jc w:val="left"/>
                    <w:jc w:val="center"/>
                  </w:pPr>
                  <w:r>
                    <w:t xml:space="preserve">dhs_hh_agland_ha (+)</w:t>
                  </w:r>
                </w:p>
              </w:tc>
            </w:tr>
            <w:tr>
              <w:tc>
                <w:tcPr/>
                <w:p>
                  <w:pPr>
                    <w:pStyle w:val="Compact"/>
                    <w:jc w:val="right"/>
                    <w:jc w:val="center"/>
                  </w:pPr>
                  <w:r>
                    <w:t xml:space="preserve">14</w:t>
                  </w:r>
                </w:p>
              </w:tc>
              <w:tc>
                <w:tcPr/>
                <w:p>
                  <w:pPr>
                    <w:pStyle w:val="Compact"/>
                    <w:jc w:val="left"/>
                    <w:jc w:val="center"/>
                  </w:pPr>
                  <w:r>
                    <w:t xml:space="preserve">ihme_wastingprevalence (+)</w:t>
                  </w:r>
                </w:p>
              </w:tc>
              <w:tc>
                <w:tcPr/>
                <w:p>
                  <w:pPr>
                    <w:pStyle w:val="Compact"/>
                    <w:jc w:val="left"/>
                    <w:jc w:val="center"/>
                  </w:pPr>
                  <w:r>
                    <w:t xml:space="preserve">dhs_c_wasted (+)</w:t>
                  </w:r>
                </w:p>
              </w:tc>
              <w:tc>
                <w:tcPr/>
                <w:p>
                  <w:pPr>
                    <w:pStyle w:val="Compact"/>
                    <w:jc w:val="left"/>
                    <w:jc w:val="center"/>
                  </w:pPr>
                  <w:r>
                    <w:t xml:space="preserve">dhs_hh_soap_available (+*)</w:t>
                  </w:r>
                </w:p>
              </w:tc>
              <w:tc>
                <w:tcPr/>
                <w:p>
                  <w:pPr>
                    <w:pStyle w:val="Compact"/>
                    <w:jc w:val="left"/>
                    <w:jc w:val="center"/>
                  </w:pPr>
                  <w:r>
                    <w:t xml:space="preserve">dhs_hh_handwash_facility (+*)</w:t>
                  </w:r>
                </w:p>
              </w:tc>
              <w:tc>
                <w:tcPr/>
                <w:p>
                  <w:pPr>
                    <w:pStyle w:val="Compact"/>
                    <w:jc w:val="left"/>
                    <w:jc w:val="center"/>
                  </w:pPr>
                  <w:r>
                    <w:t xml:space="preserve">lcover_water_seasonal_frac_t0 (+)</w:t>
                  </w:r>
                </w:p>
              </w:tc>
              <w:tc>
                <w:tcPr/>
                <w:p>
                  <w:pPr>
                    <w:pStyle w:val="Compact"/>
                    <w:jc w:val="left"/>
                    <w:jc w:val="center"/>
                  </w:pPr>
                  <w:r>
                    <w:t xml:space="preserve">wdist_coast_km_mean (+)</w:t>
                  </w:r>
                </w:p>
              </w:tc>
            </w:tr>
            <w:tr>
              <w:tc>
                <w:tcPr/>
                <w:p>
                  <w:pPr>
                    <w:pStyle w:val="Compact"/>
                    <w:jc w:val="right"/>
                    <w:jc w:val="center"/>
                  </w:pPr>
                  <w:r>
                    <w:t xml:space="preserve">15</w:t>
                  </w:r>
                </w:p>
              </w:tc>
              <w:tc>
                <w:tcPr/>
                <w:p>
                  <w:pPr>
                    <w:pStyle w:val="Compact"/>
                    <w:jc w:val="left"/>
                    <w:jc w:val="center"/>
                  </w:pPr>
                  <w:r>
                    <w:t xml:space="preserve">glw_ruminant_share (+)</w:t>
                  </w:r>
                </w:p>
              </w:tc>
              <w:tc>
                <w:tcPr/>
                <w:p>
                  <w:pPr>
                    <w:pStyle w:val="Compact"/>
                    <w:jc w:val="left"/>
                    <w:jc w:val="center"/>
                  </w:pPr>
                  <w:r>
                    <w:t xml:space="preserve">dhs_ML_NETP_H_IT2 (-*)</w:t>
                  </w:r>
                </w:p>
              </w:tc>
              <w:tc>
                <w:tcPr/>
                <w:p>
                  <w:pPr>
                    <w:pStyle w:val="Compact"/>
                    <w:jc w:val="left"/>
                    <w:jc w:val="center"/>
                  </w:pPr>
                  <w:r>
                    <w:t xml:space="preserve">npp_gpp_t0 (-)</w:t>
                  </w:r>
                </w:p>
              </w:tc>
              <w:tc>
                <w:tcPr/>
                <w:p>
                  <w:pPr>
                    <w:pStyle w:val="Compact"/>
                    <w:jc w:val="left"/>
                    <w:jc w:val="center"/>
                  </w:pPr>
                  <w:r>
                    <w:t xml:space="preserve">dhs_hh_mean_hhsize (+)</w:t>
                  </w:r>
                </w:p>
              </w:tc>
              <w:tc>
                <w:tcPr/>
                <w:p>
                  <w:pPr>
                    <w:pStyle w:val="Compact"/>
                    <w:jc w:val="left"/>
                    <w:jc w:val="center"/>
                  </w:pPr>
                  <w:r>
                    <w:t xml:space="preserve">ihme_moderateanemia (+)</w:t>
                  </w:r>
                </w:p>
              </w:tc>
              <w:tc>
                <w:tcPr/>
                <w:p>
                  <w:pPr>
                    <w:pStyle w:val="Compact"/>
                    <w:jc w:val="left"/>
                    <w:jc w:val="center"/>
                  </w:pPr>
                  <w:r>
                    <w:t xml:space="preserve">npp_gpp_t0 (-)</w:t>
                  </w:r>
                </w:p>
              </w:tc>
            </w:tr>
            <w:tr>
              <w:tc>
                <w:tcPr/>
                <w:p>
                  <w:pPr>
                    <w:pStyle w:val="Compact"/>
                    <w:jc w:val="right"/>
                    <w:jc w:val="center"/>
                  </w:pPr>
                  <w:r>
                    <w:t xml:space="preserve">16</w:t>
                  </w:r>
                </w:p>
              </w:tc>
              <w:tc>
                <w:tcPr/>
                <w:p>
                  <w:pPr>
                    <w:pStyle w:val="Compact"/>
                    <w:jc w:val="left"/>
                    <w:jc w:val="center"/>
                  </w:pPr>
                  <w:r>
                    <w:t xml:space="preserve">aef_A54 (-)</w:t>
                  </w:r>
                </w:p>
              </w:tc>
              <w:tc>
                <w:tcPr/>
                <w:p>
                  <w:pPr>
                    <w:pStyle w:val="Compact"/>
                    <w:jc w:val="left"/>
                    <w:jc w:val="center"/>
                  </w:pPr>
                  <w:r>
                    <w:t xml:space="preserve">ihme_wastingprevalence (+*)</w:t>
                  </w:r>
                </w:p>
              </w:tc>
              <w:tc>
                <w:tcPr/>
                <w:p>
                  <w:pPr>
                    <w:pStyle w:val="Compact"/>
                    <w:jc w:val="left"/>
                    <w:jc w:val="center"/>
                  </w:pPr>
                  <w:r>
                    <w:t xml:space="preserve">dhs_w_bmi_low (+*)</w:t>
                  </w:r>
                </w:p>
              </w:tc>
              <w:tc>
                <w:tcPr/>
                <w:p>
                  <w:pPr>
                    <w:pStyle w:val="Compact"/>
                    <w:jc w:val="left"/>
                    <w:jc w:val="center"/>
                  </w:pPr>
                  <w:r>
                    <w:t xml:space="preserve">glw_sheep_km2 (+)</w:t>
                  </w:r>
                </w:p>
              </w:tc>
              <w:tc>
                <w:tcPr/>
                <w:p>
                  <w:pPr>
                    <w:pStyle w:val="Compact"/>
                    <w:jc w:val="left"/>
                    <w:jc w:val="center"/>
                  </w:pPr>
                  <w:r>
                    <w:t xml:space="preserve">elevation (-*)</w:t>
                  </w:r>
                </w:p>
              </w:tc>
              <w:tc>
                <w:tcPr/>
                <w:p>
                  <w:pPr>
                    <w:pStyle w:val="Compact"/>
                    <w:jc w:val="left"/>
                    <w:jc w:val="center"/>
                  </w:pPr>
                  <w:r>
                    <w:t xml:space="preserve">fprice_staple_rel (-*)</w:t>
                  </w:r>
                </w:p>
              </w:tc>
            </w:tr>
            <w:tr>
              <w:tc>
                <w:tcPr/>
                <w:p>
                  <w:pPr>
                    <w:pStyle w:val="Compact"/>
                    <w:jc w:val="right"/>
                    <w:jc w:val="center"/>
                  </w:pPr>
                  <w:r>
                    <w:t xml:space="preserve">17</w:t>
                  </w:r>
                </w:p>
              </w:tc>
              <w:tc>
                <w:tcPr/>
                <w:p>
                  <w:pPr>
                    <w:pStyle w:val="Compact"/>
                    <w:jc w:val="left"/>
                    <w:jc w:val="center"/>
                  </w:pPr>
                  <w:r>
                    <w:t xml:space="preserve">glw_tlu_per_capita (+*)</w:t>
                  </w:r>
                </w:p>
              </w:tc>
              <w:tc>
                <w:tcPr/>
                <w:p>
                  <w:pPr>
                    <w:pStyle w:val="Compact"/>
                    <w:jc w:val="left"/>
                    <w:jc w:val="center"/>
                  </w:pPr>
                  <w:r>
                    <w:t xml:space="preserve">dhs_hh_horses_any (+*)</w:t>
                  </w:r>
                </w:p>
              </w:tc>
              <w:tc>
                <w:tcPr/>
                <w:p>
                  <w:pPr>
                    <w:pStyle w:val="Compact"/>
                    <w:jc w:val="left"/>
                    <w:jc w:val="center"/>
                  </w:pPr>
                  <w:r>
                    <w:t xml:space="preserve">dhs_AN_NUTS_W_THN (+*)</w:t>
                  </w:r>
                </w:p>
              </w:tc>
              <w:tc>
                <w:tcPr/>
                <w:p>
                  <w:pPr>
                    <w:pStyle w:val="Compact"/>
                    <w:jc w:val="left"/>
                    <w:jc w:val="center"/>
                  </w:pPr>
                  <w:r>
                    <w:t xml:space="preserve">map_blooddisorders201201globalsicklehaemoglobinhbsallelefrequency (+*)</w:t>
                  </w:r>
                </w:p>
              </w:tc>
              <w:tc>
                <w:tcPr/>
                <w:p>
                  <w:pPr>
                    <w:pStyle w:val="Compact"/>
                    <w:jc w:val="left"/>
                    <w:jc w:val="center"/>
                  </w:pPr>
                  <w:r>
                    <w:t xml:space="preserve">wdist_any_km_mean (-)</w:t>
                  </w:r>
                </w:p>
              </w:tc>
              <w:tc>
                <w:tcPr/>
                <w:p>
                  <w:pPr>
                    <w:pStyle w:val="Compact"/>
                    <w:jc w:val="left"/>
                    <w:jc w:val="center"/>
                  </w:pPr>
                  <w:r>
                    <w:t xml:space="preserve">ihme_ebfprevalence (+)</w:t>
                  </w:r>
                </w:p>
              </w:tc>
            </w:tr>
            <w:tr>
              <w:tc>
                <w:tcPr/>
                <w:p>
                  <w:pPr>
                    <w:pStyle w:val="Compact"/>
                    <w:jc w:val="right"/>
                    <w:jc w:val="center"/>
                  </w:pPr>
                  <w:r>
                    <w:t xml:space="preserve">18</w:t>
                  </w:r>
                </w:p>
              </w:tc>
              <w:tc>
                <w:tcPr/>
                <w:p>
                  <w:pPr>
                    <w:pStyle w:val="Compact"/>
                    <w:jc w:val="left"/>
                    <w:jc w:val="center"/>
                  </w:pPr>
                  <w:r>
                    <w:t xml:space="preserve">lcover_crops_frac_t0 (+)</w:t>
                  </w:r>
                </w:p>
              </w:tc>
              <w:tc>
                <w:tcPr/>
                <w:p>
                  <w:pPr>
                    <w:pStyle w:val="Compact"/>
                    <w:jc w:val="left"/>
                    <w:jc w:val="center"/>
                  </w:pPr>
                  <w:r>
                    <w:t xml:space="preserve">dhs_c_fg_legumes (+*)</w:t>
                  </w:r>
                </w:p>
              </w:tc>
              <w:tc>
                <w:tcPr/>
                <w:p>
                  <w:pPr>
                    <w:pStyle w:val="Compact"/>
                    <w:jc w:val="left"/>
                    <w:jc w:val="center"/>
                  </w:pPr>
                  <w:r>
                    <w:t xml:space="preserve">map_sy_pf_parasite_rate (-*)</w:t>
                  </w:r>
                </w:p>
              </w:tc>
              <w:tc>
                <w:tcPr/>
                <w:p>
                  <w:pPr>
                    <w:pStyle w:val="Compact"/>
                    <w:jc w:val="left"/>
                    <w:jc w:val="center"/>
                  </w:pPr>
                  <w:r>
                    <w:t xml:space="preserve">map_sy_pf_mortality_rate (-)</w:t>
                  </w:r>
                </w:p>
              </w:tc>
              <w:tc>
                <w:tcPr/>
                <w:p>
                  <w:pPr>
                    <w:pStyle w:val="Compact"/>
                    <w:jc w:val="left"/>
                    <w:jc w:val="center"/>
                  </w:pPr>
                  <w:r>
                    <w:t xml:space="preserve">soil_sulfur_stdev_20_50 (-)</w:t>
                  </w:r>
                </w:p>
              </w:tc>
              <w:tc>
                <w:tcPr/>
                <w:p>
                  <w:pPr>
                    <w:pStyle w:val="Compact"/>
                    <w:jc w:val="left"/>
                    <w:jc w:val="center"/>
                  </w:pPr>
                  <w:r>
                    <w:t xml:space="preserve">ihme_wastingprevalence (+*)</w:t>
                  </w:r>
                </w:p>
              </w:tc>
            </w:tr>
            <w:tr>
              <w:tc>
                <w:tcPr/>
                <w:p>
                  <w:pPr>
                    <w:pStyle w:val="Compact"/>
                    <w:jc w:val="right"/>
                    <w:jc w:val="center"/>
                  </w:pPr>
                  <w:r>
                    <w:t xml:space="preserve">19</w:t>
                  </w:r>
                </w:p>
              </w:tc>
              <w:tc>
                <w:tcPr/>
                <w:p>
                  <w:pPr>
                    <w:pStyle w:val="Compact"/>
                    <w:jc w:val="left"/>
                    <w:jc w:val="center"/>
                  </w:pPr>
                  <w:r>
                    <w:t xml:space="preserve">dhs_c_fg_dairy (-*)</w:t>
                  </w:r>
                </w:p>
              </w:tc>
              <w:tc>
                <w:tcPr/>
                <w:p>
                  <w:pPr>
                    <w:pStyle w:val="Compact"/>
                    <w:jc w:val="left"/>
                    <w:jc w:val="center"/>
                  </w:pPr>
                  <w:r>
                    <w:t xml:space="preserve">dhs_c_underweight (+)</w:t>
                  </w:r>
                </w:p>
              </w:tc>
              <w:tc>
                <w:tcPr/>
                <w:p>
                  <w:pPr>
                    <w:pStyle w:val="Compact"/>
                    <w:jc w:val="left"/>
                    <w:jc w:val="center"/>
                  </w:pPr>
                  <w:r>
                    <w:t xml:space="preserve">dhs_hh_cows_any (+)</w:t>
                  </w:r>
                </w:p>
              </w:tc>
              <w:tc>
                <w:tcPr/>
                <w:p>
                  <w:pPr>
                    <w:pStyle w:val="Compact"/>
                    <w:jc w:val="left"/>
                    <w:jc w:val="center"/>
                  </w:pPr>
                  <w:r>
                    <w:t xml:space="preserve">dhs_hh_improved_water (+*)</w:t>
                  </w:r>
                </w:p>
              </w:tc>
              <w:tc>
                <w:tcPr/>
                <w:p>
                  <w:pPr>
                    <w:pStyle w:val="Compact"/>
                    <w:jc w:val="left"/>
                    <w:jc w:val="center"/>
                  </w:pPr>
                  <w:r>
                    <w:t xml:space="preserve">soilgrids_silt (+)</w:t>
                  </w:r>
                </w:p>
              </w:tc>
              <w:tc>
                <w:tcPr/>
                <w:p>
                  <w:pPr>
                    <w:pStyle w:val="Compact"/>
                    <w:jc w:val="left"/>
                    <w:jc w:val="center"/>
                  </w:pPr>
                  <w:r>
                    <w:t xml:space="preserve">glw_cattle_km2 (+)</w:t>
                  </w:r>
                </w:p>
              </w:tc>
            </w:tr>
            <w:tr>
              <w:tc>
                <w:tcPr/>
                <w:p>
                  <w:pPr>
                    <w:pStyle w:val="Compact"/>
                    <w:jc w:val="right"/>
                    <w:jc w:val="center"/>
                  </w:pPr>
                  <w:r>
                    <w:t xml:space="preserve">20</w:t>
                  </w:r>
                </w:p>
              </w:tc>
              <w:tc>
                <w:tcPr/>
                <w:p>
                  <w:pPr>
                    <w:pStyle w:val="Compact"/>
                    <w:jc w:val="left"/>
                    <w:jc w:val="center"/>
                  </w:pPr>
                  <w:r>
                    <w:t xml:space="preserve">dhs_w_bmi_overweight (-)</w:t>
                  </w:r>
                </w:p>
              </w:tc>
              <w:tc>
                <w:tcPr/>
                <w:p>
                  <w:pPr>
                    <w:pStyle w:val="Compact"/>
                    <w:jc w:val="left"/>
                    <w:jc w:val="center"/>
                  </w:pPr>
                  <w:r>
                    <w:t xml:space="preserve">dhs_w_barrier_distance (+)</w:t>
                  </w:r>
                </w:p>
              </w:tc>
              <w:tc>
                <w:tcPr/>
                <w:p>
                  <w:pPr>
                    <w:pStyle w:val="Compact"/>
                    <w:jc w:val="left"/>
                    <w:jc w:val="center"/>
                  </w:pPr>
                  <w:r>
                    <w:t xml:space="preserve">spam_share_roots (-)</w:t>
                  </w:r>
                </w:p>
              </w:tc>
              <w:tc>
                <w:tcPr/>
                <w:p>
                  <w:pPr>
                    <w:pStyle w:val="Compact"/>
                    <w:jc w:val="left"/>
                    <w:jc w:val="center"/>
                  </w:pPr>
                  <w:r>
                    <w:t xml:space="preserve">dhs_w_unmet_fp (+*)</w:t>
                  </w:r>
                </w:p>
              </w:tc>
              <w:tc>
                <w:tcPr/>
                <w:p>
                  <w:pPr>
                    <w:pStyle w:val="Compact"/>
                    <w:jc w:val="left"/>
                    <w:jc w:val="center"/>
                  </w:pPr>
                  <w:r>
                    <w:t xml:space="preserve">ihme_mildanemia (+)</w:t>
                  </w:r>
                </w:p>
              </w:tc>
              <w:tc>
                <w:tcPr/>
                <w:p>
                  <w:pPr>
                    <w:pStyle w:val="Compact"/>
                    <w:jc w:val="left"/>
                    <w:jc w:val="center"/>
                  </w:pPr>
                  <w:r>
                    <w:t xml:space="preserve">wdist_coast_km_min (+)</w:t>
                  </w:r>
                </w:p>
              </w:tc>
            </w:tr>
          </w:tbl>
          <w:bookmarkEnd w:id="71"/>
          <w:p/>
        </w:tc>
      </w:tr>
    </w:tbl>
    <w:bookmarkEnd w:id="72"/>
    <w:bookmarkStart w:id="107" w:name="references"/>
    <w:p>
      <w:pPr>
        <w:pStyle w:val="Heading1"/>
      </w:pPr>
      <w:r>
        <w:t xml:space="preserve">References</w:t>
      </w:r>
    </w:p>
    <w:bookmarkStart w:id="106" w:name="refs"/>
    <w:bookmarkStart w:id="74"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3">
        <w:r>
          <w:rPr>
            <w:rStyle w:val="Hyperlink"/>
          </w:rPr>
          <w:t xml:space="preserve">https://doi.org/10.1007/BF00116466</w:t>
        </w:r>
      </w:hyperlink>
      <w:r>
        <w:t xml:space="preserve">.</w:t>
      </w:r>
    </w:p>
    <w:bookmarkEnd w:id="74"/>
    <w:bookmarkStart w:id="76" w:name="ref-dawes1979"/>
    <w:p>
      <w:pPr>
        <w:pStyle w:val="Bibliography"/>
      </w:pPr>
      <w:r>
        <w:t xml:space="preserve">Dawes, Robyn M. 1979.</w:t>
      </w:r>
      <w:r>
        <w:t xml:space="preserve"> </w:t>
      </w:r>
      <w:r>
        <w:t xml:space="preserve">“The Robust Beauty of Improper Linear Models in Decision Making.”</w:t>
      </w:r>
      <w:r>
        <w:t xml:space="preserve"> </w:t>
      </w:r>
      <w:r>
        <w:rPr>
          <w:i/>
          <w:iCs/>
        </w:rPr>
        <w:t xml:space="preserve">American Psychologist</w:t>
      </w:r>
      <w:r>
        <w:t xml:space="preserve"> </w:t>
      </w:r>
      <w:r>
        <w:t xml:space="preserve">34 (7): 571–82.</w:t>
      </w:r>
      <w:r>
        <w:t xml:space="preserve"> </w:t>
      </w:r>
      <w:hyperlink r:id="rId75">
        <w:r>
          <w:rPr>
            <w:rStyle w:val="Hyperlink"/>
          </w:rPr>
          <w:t xml:space="preserve">https://doi.org/10.1037/0003-066X.34.7.571</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3">
        <w:r>
          <w:rPr>
            <w:rStyle w:val="Hyperlink"/>
          </w:rPr>
          <w:t xml:space="preserve">https://doi.org/10.1038/s41591-020-0807-6</w:t>
        </w:r>
      </w:hyperlink>
      <w:r>
        <w:t xml:space="preserve">.</w:t>
      </w:r>
    </w:p>
    <w:bookmarkEnd w:id="84"/>
    <w:bookmarkStart w:id="86"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5">
        <w:r>
          <w:rPr>
            <w:rStyle w:val="Hyperlink"/>
          </w:rPr>
          <w:t xml:space="preserve">https://doi.org/10.1214/15-AOAS872</w:t>
        </w:r>
      </w:hyperlink>
      <w:r>
        <w:t xml:space="preserve">.</w:t>
      </w:r>
    </w:p>
    <w:bookmarkEnd w:id="86"/>
    <w:bookmarkStart w:id="88"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7">
        <w:r>
          <w:rPr>
            <w:rStyle w:val="Hyperlink"/>
          </w:rPr>
          <w:t xml:space="preserve">https://doi.org/10.3945/ajcn.116.142273</w:t>
        </w:r>
      </w:hyperlink>
      <w:r>
        <w:t xml:space="preserve">.</w:t>
      </w:r>
    </w:p>
    <w:bookmarkEnd w:id="88"/>
    <w:bookmarkStart w:id="90"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9">
        <w:r>
          <w:rPr>
            <w:rStyle w:val="Hyperlink"/>
          </w:rPr>
          <w:t xml:space="preserve">https://doi.org/10.1145/1102351.1102430</w:t>
        </w:r>
      </w:hyperlink>
      <w:r>
        <w:t xml:space="preserve">.</w:t>
      </w:r>
    </w:p>
    <w:bookmarkEnd w:id="90"/>
    <w:bookmarkStart w:id="92"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1">
        <w:r>
          <w:rPr>
            <w:rStyle w:val="Hyperlink"/>
          </w:rPr>
          <w:t xml:space="preserve">https://doi.org/10.1038/nature25760</w:t>
        </w:r>
      </w:hyperlink>
      <w:r>
        <w:t xml:space="preserve">.</w:t>
      </w:r>
    </w:p>
    <w:bookmarkEnd w:id="92"/>
    <w:bookmarkStart w:id="94"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3">
        <w:r>
          <w:rPr>
            <w:rStyle w:val="Hyperlink"/>
          </w:rPr>
          <w:t xml:space="preserve">https://doi.org/10.1177/0962280216660421</w:t>
        </w:r>
      </w:hyperlink>
      <w:r>
        <w:t xml:space="preserve">.</w:t>
      </w:r>
    </w:p>
    <w:bookmarkEnd w:id="94"/>
    <w:bookmarkStart w:id="9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5">
        <w:r>
          <w:rPr>
            <w:rStyle w:val="Hyperlink"/>
          </w:rPr>
          <w:t xml:space="preserve">https://doi.org/10.1016/S2214-109X(22)00367-9</w:t>
        </w:r>
      </w:hyperlink>
      <w:r>
        <w:t xml:space="preserve">.</w:t>
      </w:r>
    </w:p>
    <w:bookmarkEnd w:id="96"/>
    <w:bookmarkStart w:id="9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7">
        <w:r>
          <w:rPr>
            <w:rStyle w:val="Hyperlink"/>
          </w:rPr>
          <w:t xml:space="preserve">https://doi.org/10.3945/an.115.010215</w:t>
        </w:r>
      </w:hyperlink>
      <w:r>
        <w:t xml:space="preserve">.</w:t>
      </w:r>
    </w:p>
    <w:bookmarkEnd w:id="98"/>
    <w:bookmarkStart w:id="10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9">
        <w:r>
          <w:rPr>
            <w:rStyle w:val="Hyperlink"/>
          </w:rPr>
          <w:t xml:space="preserve">https://doi.org/10.1111/insr.12400</w:t>
        </w:r>
      </w:hyperlink>
      <w:r>
        <w:t xml:space="preserve">.</w:t>
      </w:r>
    </w:p>
    <w:bookmarkEnd w:id="100"/>
    <w:bookmarkStart w:id="10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1"/>
    <w:bookmarkStart w:id="103" w:name="ref-who2020anaemia"/>
    <w:p>
      <w:pPr>
        <w:pStyle w:val="Bibliography"/>
      </w:pPr>
      <w:r>
        <w:t xml:space="preserve">———. 2021.</w:t>
      </w:r>
      <w:r>
        <w:t xml:space="preserve"> </w:t>
      </w:r>
      <w:r>
        <w:t xml:space="preserve">“WHO Global Anaemia Estimates, 2021 Edition.”</w:t>
      </w:r>
      <w:r>
        <w:t xml:space="preserve"> </w:t>
      </w:r>
      <w:hyperlink r:id="rId102">
        <w:r>
          <w:rPr>
            <w:rStyle w:val="Hyperlink"/>
          </w:rPr>
          <w:t xml:space="preserve">https://www.who.int/data/gho/data/themes/topics/anaemia_in_women_and_children</w:t>
        </w:r>
      </w:hyperlink>
      <w:r>
        <w:t xml:space="preserve">.</w:t>
      </w:r>
    </w:p>
    <w:bookmarkEnd w:id="103"/>
    <w:bookmarkStart w:id="105" w:name="ref-who_vmnis"/>
    <w:p>
      <w:pPr>
        <w:pStyle w:val="Bibliography"/>
      </w:pPr>
      <w:r>
        <w:t xml:space="preserve">———. 2023.</w:t>
      </w:r>
      <w:r>
        <w:t xml:space="preserve"> </w:t>
      </w:r>
      <w:r>
        <w:t xml:space="preserve">“Vitamin and Mineral Nutrition Information System (VMNIS).”</w:t>
      </w:r>
      <w:r>
        <w:t xml:space="preserve"> </w:t>
      </w:r>
      <w:hyperlink r:id="rId104">
        <w:r>
          <w:rPr>
            <w:rStyle w:val="Hyperlink"/>
          </w:rPr>
          <w:t xml:space="preserve">https://www.who.int/teams/nutrition-and-food-safety/databases/vitamin-and-mineral-nutrition-information-system</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BF00116466" TargetMode="External" /><Relationship Type="http://schemas.openxmlformats.org/officeDocument/2006/relationships/hyperlink" Id="rId95"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75" Target="https://doi.org/10.1037/0003-066X.34.7.571" TargetMode="External" /><Relationship Type="http://schemas.openxmlformats.org/officeDocument/2006/relationships/hyperlink" Id="rId91" Target="https://doi.org/10.1038/nature25760" TargetMode="External" /><Relationship Type="http://schemas.openxmlformats.org/officeDocument/2006/relationships/hyperlink" Id="rId83"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99" Target="https://doi.org/10.1111/insr.12400" TargetMode="External" /><Relationship Type="http://schemas.openxmlformats.org/officeDocument/2006/relationships/hyperlink" Id="rId89" Target="https://doi.org/10.1145/1102351.1102430" TargetMode="External" /><Relationship Type="http://schemas.openxmlformats.org/officeDocument/2006/relationships/hyperlink" Id="rId93" Target="https://doi.org/10.1177/0962280216660421" TargetMode="External" /><Relationship Type="http://schemas.openxmlformats.org/officeDocument/2006/relationships/hyperlink" Id="rId85" Target="https://doi.org/10.1214/15-AOAS872" TargetMode="External" /><Relationship Type="http://schemas.openxmlformats.org/officeDocument/2006/relationships/hyperlink" Id="rId81" Target="https://doi.org/10.2202/1544-6115.1309" TargetMode="External" /><Relationship Type="http://schemas.openxmlformats.org/officeDocument/2006/relationships/hyperlink" Id="rId87" Target="https://doi.org/10.3945/ajcn.116.142273" TargetMode="External" /><Relationship Type="http://schemas.openxmlformats.org/officeDocument/2006/relationships/hyperlink" Id="rId97" Target="https://doi.org/10.3945/an.115.010215" TargetMode="External" /><Relationship Type="http://schemas.openxmlformats.org/officeDocument/2006/relationships/hyperlink" Id="rId102" Target="https://www.who.int/data/gho/data/themes/topics/anaemia_in_women_and_children" TargetMode="External" /><Relationship Type="http://schemas.openxmlformats.org/officeDocument/2006/relationships/hyperlink" Id="rId10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2026-09-10T13:31:44Z</dcterms:created>
  <dcterms:modified xsi:type="dcterms:W3CDTF">2026-09-10T13:31:44Z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454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0.40 against 0.31 on the biomarker concentration, 0.29 against 0.22 on prevalence) but a covariate-free spatial smoother scores 0.39 where the full covariate model scores 0.40. Rankings transport to a country never used in training: mean Spearman 0.26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0.45 (20 of 22). Absolute prevalence does not transport. Directing effort to the fifth of districts the model ranks worst reaches 22%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2026-09-10</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