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geospatial covariates can and cannot do for sub-national micronutrient estimation: a protocol-first re-analysis of four national biomarker surveys</w:t>
      </w:r>
    </w:p>
    <w:p>
      <w:pPr>
        <w:pStyle w:val="Author"/>
      </w:pPr>
      <w:r>
        <w:t xml:space="preserve">Andrew N. Mertens</w:t>
      </w:r>
    </w:p>
    <w:p>
      <w:pPr>
        <w:pStyle w:val="Date"/>
      </w:pPr>
      <w:r>
        <w:t xml:space="preserve">2026-09-07</w:t>
      </w:r>
    </w:p>
    <w:p>
      <w:pPr>
        <w:pStyle w:val="AbstractTitle"/>
      </w:pPr>
      <w:r>
        <w:t xml:space="preserve">Abstract</w:t>
      </w:r>
    </w:p>
    <w:p>
      <w:pPr>
        <w:pStyle w:val="Abstract"/>
      </w:pPr>
      <w:r>
        <w:rPr>
          <w:b/>
          <w:bCs/>
        </w:rPr>
        <w:t xml:space="preserve">Background.</w:t>
      </w:r>
      <w:r>
        <w:t xml:space="preserve"> </w:t>
      </w:r>
      <w:r>
        <w:t xml:space="preserve">Sub-national maps of micronutrient deficiency guide the</w:t>
      </w:r>
      <w:r>
        <w:t xml:space="preserve"> </w:t>
      </w:r>
      <w:r>
        <w:t xml:space="preserve">targeting of fortification, supplementation and food-system programmes, but</w:t>
      </w:r>
      <w:r>
        <w:t xml:space="preserve"> </w:t>
      </w:r>
      <w:r>
        <w:t xml:space="preserve">biomarker surveys are rare and their district-level estimates rest on a</w:t>
      </w:r>
      <w:r>
        <w:t xml:space="preserve"> </w:t>
      </w:r>
      <w:r>
        <w:t xml:space="preserve">handful of respondents. Published accuracies for models that predict</w:t>
      </w:r>
      <w:r>
        <w:t xml:space="preserve"> </w:t>
      </w:r>
      <w:r>
        <w:t xml:space="preserve">district prevalence from geospatial and survey proxies are seldom reported</w:t>
      </w:r>
      <w:r>
        <w:t xml:space="preserve"> </w:t>
      </w:r>
      <w:r>
        <w:t xml:space="preserve">with the reliability of their validation target, the information their</w:t>
      </w:r>
      <w:r>
        <w:t xml:space="preserve"> </w:t>
      </w:r>
      <w:r>
        <w:t xml:space="preserve">comparison baseline was permitted to see, or the replication of their random</w:t>
      </w:r>
      <w:r>
        <w:t xml:space="preserve"> </w:t>
      </w:r>
      <w:r>
        <w:t xml:space="preserve">folds. An audit of our own earlier analysis found that each of these choices</w:t>
      </w:r>
      <w:r>
        <w:t xml:space="preserve"> </w:t>
      </w:r>
      <w:r>
        <w:t xml:space="preserve">had decided a headline conclusion, in both directions.</w:t>
      </w:r>
    </w:p>
    <w:p>
      <w:pPr>
        <w:pStyle w:val="Abstract"/>
      </w:pPr>
      <w:r>
        <w:rPr>
          <w:b/>
          <w:bCs/>
        </w:rPr>
        <w:t xml:space="preserve">Methods.</w:t>
      </w:r>
      <w:r>
        <w:t xml:space="preserve"> </w:t>
      </w:r>
      <w:r>
        <w:t xml:space="preserve">We harmonised biomarker measurements for iron, vitamin A,</w:t>
      </w:r>
      <w:r>
        <w:t xml:space="preserve"> </w:t>
      </w:r>
      <w:r>
        <w:t xml:space="preserve">folate, vitamin B12 and zinc deficiency from national surveys in The Gambia</w:t>
      </w:r>
      <w:r>
        <w:t xml:space="preserve"> </w:t>
      </w:r>
      <w:r>
        <w:t xml:space="preserve">(2018), Ghana (2017), Sierra Leone (2013) and Malawi (2015–16): 24</w:t>
      </w:r>
      <w:r>
        <w:t xml:space="preserve"> </w:t>
      </w:r>
      <w:r>
        <w:t xml:space="preserve">country–outcome cells on 206 districts. Districts were linked to 473</w:t>
      </w:r>
      <w:r>
        <w:t xml:space="preserve"> </w:t>
      </w:r>
      <w:r>
        <w:t xml:space="preserve">predictors in 24 domains from Earth observation, soil, climate, agriculture,</w:t>
      </w:r>
      <w:r>
        <w:t xml:space="preserve"> </w:t>
      </w:r>
      <w:r>
        <w:t xml:space="preserve">livestock, infection, food-price and survey-indicator sources. A protocol</w:t>
      </w:r>
      <w:r>
        <w:t xml:space="preserve"> </w:t>
      </w:r>
      <w:r>
        <w:t xml:space="preserve">specified before re-analysis names three estimands (filling in unsurveyed</w:t>
      </w:r>
      <w:r>
        <w:t xml:space="preserve"> </w:t>
      </w:r>
      <w:r>
        <w:t xml:space="preserve">districts inside a surveyed country, extrapolating to an unseen region, and</w:t>
      </w:r>
      <w:r>
        <w:t xml:space="preserve"> </w:t>
      </w:r>
      <w:r>
        <w:t xml:space="preserve">transporting to a country held entirely out of training), recomputes every</w:t>
      </w:r>
      <w:r>
        <w:t xml:space="preserve"> </w:t>
      </w:r>
      <w:r>
        <w:t xml:space="preserve">baseline under the model’s own folds and jackknifes any baseline derived</w:t>
      </w:r>
      <w:r>
        <w:t xml:space="preserve"> </w:t>
      </w:r>
      <w:r>
        <w:t xml:space="preserve">from the survey, replicates every random split ten times, weights districts</w:t>
      </w:r>
      <w:r>
        <w:t xml:space="preserve"> </w:t>
      </w:r>
      <w:r>
        <w:t xml:space="preserve">by an effective sample size from measured design effects, rank-normalises</w:t>
      </w:r>
      <w:r>
        <w:t xml:space="preserve"> </w:t>
      </w:r>
      <w:r>
        <w:t xml:space="preserve">predictors within country before pooling, and calibrates transport against</w:t>
      </w:r>
      <w:r>
        <w:t xml:space="preserve"> </w:t>
      </w:r>
      <w:r>
        <w:t xml:space="preserve">a country-block permutation null. The estimator of record is a zero-tuning</w:t>
      </w:r>
      <w:r>
        <w:t xml:space="preserve"> </w:t>
      </w:r>
      <w:r>
        <w:t xml:space="preserve">index over domain principal components; a penalised regression, a</w:t>
      </w:r>
      <w:r>
        <w:t xml:space="preserve"> </w:t>
      </w:r>
      <w:r>
        <w:t xml:space="preserve">covariate-free spatial smoother and the survey’s own regional averages are</w:t>
      </w:r>
      <w:r>
        <w:t xml:space="preserve"> </w:t>
      </w:r>
      <w:r>
        <w:t xml:space="preserve">scored on identical folds.</w:t>
      </w:r>
    </w:p>
    <w:p>
      <w:pPr>
        <w:pStyle w:val="Abstract"/>
      </w:pPr>
      <w:r>
        <w:rPr>
          <w:b/>
          <w:bCs/>
        </w:rPr>
        <w:t xml:space="preserve">Results.</w:t>
      </w:r>
      <w:r>
        <w:t xml:space="preserve"> </w:t>
      </w:r>
      <w:r>
        <w:t xml:space="preserve">Within a surveyed country, covariates beat the honest survey</w:t>
      </w:r>
      <w:r>
        <w:t xml:space="preserve"> </w:t>
      </w:r>
      <w:r>
        <w:t xml:space="preserve">baseline (rank correlation 0.39 against 0.31 on the biomarker concentration,</w:t>
      </w:r>
      <w:r>
        <w:t xml:space="preserve"> </w:t>
      </w:r>
      <w:r>
        <w:t xml:space="preserve">0.29 against 0.19 on prevalence) but a covariate-free spatial smoother</w:t>
      </w:r>
      <w:r>
        <w:t xml:space="preserve"> </w:t>
      </w:r>
      <w:r>
        <w:t xml:space="preserve">scores 0.39 where the full covariate model scores 0.39. Rankings transport</w:t>
      </w:r>
      <w:r>
        <w:t xml:space="preserve"> </w:t>
      </w:r>
      <w:r>
        <w:t xml:space="preserve">to a country never used in training: mean Spearman 0.27 over 22</w:t>
      </w:r>
      <w:r>
        <w:t xml:space="preserve"> </w:t>
      </w:r>
      <w:r>
        <w:t xml:space="preserve">country–outcome combinations at district level (17 positive) and 0.31 at</w:t>
      </w:r>
      <w:r>
        <w:t xml:space="preserve"> </w:t>
      </w:r>
      <w:r>
        <w:t xml:space="preserve">the first sub-national tier, against permutation nulls whose 95th</w:t>
      </w:r>
      <w:r>
        <w:t xml:space="preserve"> </w:t>
      </w:r>
      <w:r>
        <w:t xml:space="preserve">percentiles are 0.08 and 0.16; an index built only from remotely sensed</w:t>
      </w:r>
      <w:r>
        <w:t xml:space="preserve"> </w:t>
      </w:r>
      <w:r>
        <w:t xml:space="preserve">climate and soil layers transports better, 0.37 (22 of 22 positive) and</w:t>
      </w:r>
      <w:r>
        <w:t xml:space="preserve"> </w:t>
      </w:r>
      <w:r>
        <w:t xml:space="preserve">0.46 (20 of 22). Absolute prevalence does not transport. Directing effort to</w:t>
      </w:r>
      <w:r>
        <w:t xml:space="preserve"> </w:t>
      </w:r>
      <w:r>
        <w:t xml:space="preserve">the fifth of districts the model ranks worst reaches 24% of national</w:t>
      </w:r>
      <w:r>
        <w:t xml:space="preserve"> </w:t>
      </w:r>
      <w:r>
        <w:t xml:space="preserve">deficiency burden against 19% for regional survey averages and 20% at</w:t>
      </w:r>
      <w:r>
        <w:t xml:space="preserve"> </w:t>
      </w:r>
      <w:r>
        <w:t xml:space="preserve">random. A national biomarker sample of five percent of a survey plus the</w:t>
      </w:r>
      <w:r>
        <w:t xml:space="preserve"> </w:t>
      </w:r>
      <w:r>
        <w:t xml:space="preserve">transported ranking gives district levels with a 10 percentage-point error,</w:t>
      </w:r>
      <w:r>
        <w:t xml:space="preserve"> </w:t>
      </w:r>
      <w:r>
        <w:t xml:space="preserve">against 20 for a district survey of the same size, which needs about 40% of</w:t>
      </w:r>
      <w:r>
        <w:t xml:space="preserve"> </w:t>
      </w:r>
      <w:r>
        <w:t xml:space="preserve">the full sample to do better. A variance-components ceiling puts the</w:t>
      </w:r>
      <w:r>
        <w:t xml:space="preserve"> </w:t>
      </w:r>
      <w:r>
        <w:t xml:space="preserve">attainable prevalence correlation at 0.44, one fifth of the split-half</w:t>
      </w:r>
      <w:r>
        <w:t xml:space="preserve"> </w:t>
      </w:r>
      <w:r>
        <w:t xml:space="preserve">ceiling being cluster effect; the model is at that ceiling in three of 24</w:t>
      </w:r>
      <w:r>
        <w:t xml:space="preserve"> </w:t>
      </w:r>
      <w:r>
        <w:t xml:space="preserve">cells. Four data blocks added in this revision (livestock density, distance</w:t>
      </w:r>
      <w:r>
        <w:t xml:space="preserve"> </w:t>
      </w:r>
      <w:r>
        <w:t xml:space="preserve">to water and coast, helminth burden, and IHME surfaces re-extracted as</w:t>
      </w:r>
      <w:r>
        <w:t xml:space="preserve"> </w:t>
      </w:r>
      <w:r>
        <w:t xml:space="preserve">zonal means) move the index by less than 0.01 each. Evaluation design moved</w:t>
      </w:r>
      <w:r>
        <w:t xml:space="preserve"> </w:t>
      </w:r>
      <w:r>
        <w:t xml:space="preserve">results more than any model did: a published within-country correlation of</w:t>
      </w:r>
      <w:r>
        <w:t xml:space="preserve"> </w:t>
      </w:r>
      <w:r>
        <w:t xml:space="preserve">0.058 was a single fold draw (replicated median 0.22), a baseline the models</w:t>
      </w:r>
      <w:r>
        <w:t xml:space="preserve"> </w:t>
      </w:r>
      <w:r>
        <w:t xml:space="preserve">lost to had read the scored district’s own respondents, a regional headline</w:t>
      </w:r>
      <w:r>
        <w:t xml:space="preserve"> </w:t>
      </w:r>
      <w:r>
        <w:t xml:space="preserve">of 0.50–0.56 rested on three countries, and the reliability ceiling used to</w:t>
      </w:r>
      <w:r>
        <w:t xml:space="preserve"> </w:t>
      </w:r>
      <w:r>
        <w:t xml:space="preserve">argue that districts were unresolvable was biased low by a factor of about</w:t>
      </w:r>
      <w:r>
        <w:t xml:space="preserve"> </w:t>
      </w:r>
      <w:r>
        <w:t xml:space="preserve">4.7.</w:t>
      </w:r>
    </w:p>
    <w:p>
      <w:pPr>
        <w:pStyle w:val="Abstract"/>
      </w:pPr>
      <w:r>
        <w:rPr>
          <w:b/>
          <w:bCs/>
        </w:rPr>
        <w:t xml:space="preserve">Conclusions.</w:t>
      </w:r>
      <w:r>
        <w:t xml:space="preserve"> </w:t>
      </w:r>
      <w:r>
        <w:t xml:space="preserve">The defensible product is a ranked district priority list</w:t>
      </w:r>
      <w:r>
        <w:t xml:space="preserve"> </w:t>
      </w:r>
      <w:r>
        <w:t xml:space="preserve">for any country, and a level-calibrated map for a country willing to measure</w:t>
      </w:r>
      <w:r>
        <w:t xml:space="preserve"> </w:t>
      </w:r>
      <w:r>
        <w:t xml:space="preserve">one national prevalence. Within a surveyed country geography does most of</w:t>
      </w:r>
      <w:r>
        <w:t xml:space="preserve"> </w:t>
      </w:r>
      <w:r>
        <w:t xml:space="preserve">the work. We recommend that studies of this kind name their estimand, state</w:t>
      </w:r>
      <w:r>
        <w:t xml:space="preserve"> </w:t>
      </w:r>
      <w:r>
        <w:t xml:space="preserve">what their baseline saw, replicate every random division, report the</w:t>
      </w:r>
      <w:r>
        <w:t xml:space="preserve"> </w:t>
      </w:r>
      <w:r>
        <w:t xml:space="preserve">reliability of the validation target, and show that each significance</w:t>
      </w:r>
      <w:r>
        <w:t xml:space="preserve"> </w:t>
      </w:r>
      <w:r>
        <w:t xml:space="preserve">screen could have detected an effect.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Program Files\RStudio\resources\app\bin\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About this version</w:t>
            </w:r>
          </w:p>
        </w:tc>
      </w:tr>
      <w:tr>
        <w:trPr>
          <w:cantSplit/>
        </w:trPr>
        <w:tc>
          <w:tcPr>
            <w:tcMar>
              <w:top w:w="108" w:type="dxa"/>
              <w:bottom w:w="108" w:type="dxa"/>
            </w:tcMar>
          </w:tcPr>
          <w:p>
            <w:pPr>
              <w:pStyle w:val="BodyText"/>
            </w:pPr>
            <w:pPr>
              <w:spacing w:before="16" w:after="16"/>
            </w:pPr>
            <w:r>
              <w:t xml:space="preserve">This is the second version of the manuscript. It adopts the paper outline of</w:t>
            </w:r>
            <w:r>
              <w:t xml:space="preserve"> </w:t>
            </w:r>
            <w:r>
              <w:t xml:space="preserve">the project’s findings notes (</w:t>
            </w:r>
            <w:r>
              <w:rPr>
                <w:rStyle w:val="VerbatimChar"/>
              </w:rPr>
              <w:t xml:space="preserve">docs/findings/TWO_READINGS_2026-09f.md</w:t>
            </w:r>
            <w:r>
              <w:t xml:space="preserve">) for</w:t>
            </w:r>
            <w:r>
              <w:t xml:space="preserve"> </w:t>
            </w:r>
            <w:r>
              <w:t xml:space="preserve">the Results and Discussion, writes the two readings there as one voice, and</w:t>
            </w:r>
            <w:r>
              <w:t xml:space="preserve"> </w:t>
            </w:r>
            <w:r>
              <w:t xml:space="preserve">moves the individual-level SuperLearner and corrected-methods analyses to a</w:t>
            </w:r>
            <w:r>
              <w:t xml:space="preserve"> </w:t>
            </w:r>
            <w:r>
              <w:t xml:space="preserve">supplement. The first version (</w:t>
            </w:r>
            <w:r>
              <w:rPr>
                <w:rStyle w:val="VerbatimChar"/>
              </w:rPr>
              <w:t xml:space="preserve">docs/manuscript_mcn.qmd</w:t>
            </w:r>
            <w:r>
              <w:t xml:space="preserve">) is kept unchanged</w:t>
            </w:r>
            <w:r>
              <w:t xml:space="preserve"> </w:t>
            </w:r>
            <w:r>
              <w:t xml:space="preserve">for comparison. Every table here is generated from the protocol result tables</w:t>
            </w:r>
            <w:r>
              <w:t xml:space="preserve"> </w:t>
            </w:r>
            <w:r>
              <w:t xml:space="preserve">at render time, so a re-run of the pipeline re-renders the paper.</w:t>
            </w:r>
          </w:p>
        </w:tc>
      </w:tr>
    </w:tbl>
    <w:bookmarkStart w:id="23" w:name="introduction"/>
    <w:p>
      <w:pPr>
        <w:pStyle w:val="Heading1"/>
      </w:pPr>
      <w:r>
        <w:t xml:space="preserve">1. Introduction</w:t>
      </w:r>
    </w:p>
    <w:p>
      <w:pPr>
        <w:pStyle w:val="FirstParagraph"/>
      </w:pPr>
      <w:r>
        <w:t xml:space="preserve">Micronutrient deficiencies remain a leading driver of preventable morbidity</w:t>
      </w:r>
      <w:r>
        <w:t xml:space="preserve"> </w:t>
      </w:r>
      <w:r>
        <w:t xml:space="preserve">and mortality among children and women in low- and middle-income countries,</w:t>
      </w:r>
      <w:r>
        <w:t xml:space="preserve"> </w:t>
      </w:r>
      <w:r>
        <w:t xml:space="preserve">contributing to anaemia, impaired growth, immune dysfunction and adverse</w:t>
      </w:r>
      <w:r>
        <w:t xml:space="preserve"> </w:t>
      </w:r>
      <w:r>
        <w:t xml:space="preserve">pregnancy outcomes</w:t>
      </w:r>
      <w:r>
        <w:t xml:space="preserve"> </w:t>
      </w:r>
      <w:r>
        <w:t xml:space="preserve">(Stevens et al. 2022; World Health Organization 2021)</w:t>
      </w:r>
      <w:r>
        <w:t xml:space="preserve">. National</w:t>
      </w:r>
      <w:r>
        <w:t xml:space="preserve"> </w:t>
      </w:r>
      <w:r>
        <w:t xml:space="preserve">biomarker surveys collated under the WHO Vitamin and Mineral Nutrition</w:t>
      </w:r>
      <w:r>
        <w:t xml:space="preserve"> </w:t>
      </w:r>
      <w:r>
        <w:t xml:space="preserve">Information System</w:t>
      </w:r>
      <w:r>
        <w:t xml:space="preserve"> </w:t>
      </w:r>
      <w:r>
        <w:t xml:space="preserve">(World Health Organization 2023)</w:t>
      </w:r>
      <w:r>
        <w:t xml:space="preserve"> </w:t>
      </w:r>
      <w:r>
        <w:t xml:space="preserve">and the BRINDA pooled analyses</w:t>
      </w:r>
      <w:r>
        <w:t xml:space="preserve"> </w:t>
      </w:r>
      <w:r>
        <w:t xml:space="preserve">(Suchdev et al. 2016)</w:t>
      </w:r>
      <w:r>
        <w:t xml:space="preserve"> </w:t>
      </w:r>
      <w:r>
        <w:t xml:space="preserve">document broad regional contrasts, but their spatial</w:t>
      </w:r>
      <w:r>
        <w:t xml:space="preserve"> </w:t>
      </w:r>
      <w:r>
        <w:t xml:space="preserve">resolution is rarely finer than the province, and many countries have no</w:t>
      </w:r>
      <w:r>
        <w:t xml:space="preserve"> </w:t>
      </w:r>
      <w:r>
        <w:t xml:space="preserve">survey at all. Sub-national targeting of fortification, supplementation and</w:t>
      </w:r>
      <w:r>
        <w:t xml:space="preserve"> </w:t>
      </w:r>
      <w:r>
        <w:t xml:space="preserve">food-system programmes therefore rests on indirect inference from sparse</w:t>
      </w:r>
      <w:r>
        <w:t xml:space="preserve"> </w:t>
      </w:r>
      <w:r>
        <w:t xml:space="preserve">data.</w:t>
      </w:r>
    </w:p>
    <w:p>
      <w:pPr>
        <w:pStyle w:val="BodyText"/>
      </w:pPr>
      <w:r>
        <w:t xml:space="preserve">Two traditions have tried to fill the gap. Small-area estimation, from the</w:t>
      </w:r>
      <w:r>
        <w:t xml:space="preserve"> </w:t>
      </w:r>
      <w:r>
        <w:t xml:space="preserve">Fay–Herriot model</w:t>
      </w:r>
      <w:r>
        <w:t xml:space="preserve"> </w:t>
      </w:r>
      <w:r>
        <w:t xml:space="preserve">(Fay and Herriot 1979)</w:t>
      </w:r>
      <w:r>
        <w:t xml:space="preserve"> </w:t>
      </w:r>
      <w:r>
        <w:t xml:space="preserve">to the Bayesian disease-mapping</w:t>
      </w:r>
      <w:r>
        <w:t xml:space="preserve"> </w:t>
      </w:r>
      <w:r>
        <w:t xml:space="preserve">framework</w:t>
      </w:r>
      <w:r>
        <w:t xml:space="preserve"> </w:t>
      </w:r>
      <w:r>
        <w:t xml:space="preserve">(Besag, York, and Mollié 1991; Mercer et al. 2015; Wakefield, Okonek, and Pedersen 2020; Riebler et al. 2016)</w:t>
      </w:r>
      <w:r>
        <w:t xml:space="preserve">, borrows strength across neighbouring areas with known</w:t>
      </w:r>
      <w:r>
        <w:t xml:space="preserve"> </w:t>
      </w:r>
      <w:r>
        <w:t xml:space="preserve">sampling variances. Ensemble machine learning on satellite-derived covariates</w:t>
      </w:r>
      <w:r>
        <w:t xml:space="preserve"> </w:t>
      </w:r>
      <w:r>
        <w:t xml:space="preserve">(Laan, Polley, and Hubbard 2007; Osgood-Zimmerman et al. 2018; Local Burden of Disease Child Growth Failure Collaborators 2020)</w:t>
      </w:r>
      <w:r>
        <w:t xml:space="preserve"> </w:t>
      </w:r>
      <w:r>
        <w:t xml:space="preserve">has</w:t>
      </w:r>
      <w:r>
        <w:t xml:space="preserve"> </w:t>
      </w:r>
      <w:r>
        <w:t xml:space="preserve">produced high-resolution maps of indirect nutritional indicators. Both</w:t>
      </w:r>
      <w:r>
        <w:t xml:space="preserve"> </w:t>
      </w:r>
      <w:r>
        <w:t xml:space="preserve">traditions report accuracies for district-level prediction; what they rarely</w:t>
      </w:r>
      <w:r>
        <w:t xml:space="preserve"> </w:t>
      </w:r>
      <w:r>
        <w:t xml:space="preserve">report is the reliability of the district target those accuracies are scored</w:t>
      </w:r>
      <w:r>
        <w:t xml:space="preserve"> </w:t>
      </w:r>
      <w:r>
        <w:t xml:space="preserve">against, the information their comparison baseline was permitted to see, or</w:t>
      </w:r>
      <w:r>
        <w:t xml:space="preserve"> </w:t>
      </w:r>
      <w:r>
        <w:t xml:space="preserve">the spread across the random divisions of the data that produced the number.</w:t>
      </w:r>
    </w:p>
    <w:p>
      <w:pPr>
        <w:pStyle w:val="BodyText"/>
      </w:pPr>
      <w:r>
        <w:t xml:space="preserve">That observation motivates this paper. An internal audit of our own earlier</w:t>
      </w:r>
      <w:r>
        <w:t xml:space="preserve"> </w:t>
      </w:r>
      <w:r>
        <w:t xml:space="preserve">analysis of the same four surveys found that each of those omissions had</w:t>
      </w:r>
      <w:r>
        <w:t xml:space="preserve"> </w:t>
      </w:r>
      <w:r>
        <w:t xml:space="preserve">decided a headline conclusion: a published within-country correlation of</w:t>
      </w:r>
      <w:r>
        <w:t xml:space="preserve"> </w:t>
      </w:r>
      <w:r>
        <w:t xml:space="preserve">0.058 was one draw from a distribution whose median was 0.22; a</w:t>
      </w:r>
      <w:r>
        <w:t xml:space="preserve"> </w:t>
      </w:r>
      <w:r>
        <w:t xml:space="preserve">covariate-free baseline the models appeared to lose to had been computed from</w:t>
      </w:r>
      <w:r>
        <w:t xml:space="preserve"> </w:t>
      </w:r>
      <w:r>
        <w:t xml:space="preserve">the scored district’s own respondents; a significance screen reported as</w:t>
      </w:r>
      <w:r>
        <w:t xml:space="preserve"> </w:t>
      </w:r>
      <w:r>
        <w:t xml:space="preserve">finding nothing could not have found anything at any effect size; the</w:t>
      </w:r>
      <w:r>
        <w:t xml:space="preserve"> </w:t>
      </w:r>
      <w:r>
        <w:t xml:space="preserve">reliability ceiling used to argue that districts were unresolvable was biased</w:t>
      </w:r>
      <w:r>
        <w:t xml:space="preserve"> </w:t>
      </w:r>
      <w:r>
        <w:t xml:space="preserve">low by a factor of about 4.7; and a regional transport headline of 0.50–0.56</w:t>
      </w:r>
      <w:r>
        <w:t xml:space="preserve"> </w:t>
      </w:r>
      <w:r>
        <w:t xml:space="preserve">rested on three of four countries because of a spelling mismatch in a</w:t>
      </w:r>
      <w:r>
        <w:t xml:space="preserve"> </w:t>
      </w:r>
      <w:r>
        <w:t xml:space="preserve">population file. Corrections ran in both directions.</w:t>
      </w:r>
    </w:p>
    <w:p>
      <w:pPr>
        <w:pStyle w:val="BodyText"/>
      </w:pPr>
      <w:r>
        <w:t xml:space="preserve">We therefore re-analysed the four surveys under a protocol specified before</w:t>
      </w:r>
      <w:r>
        <w:t xml:space="preserve"> </w:t>
      </w:r>
      <w:r>
        <w:t xml:space="preserve">the re-analysis, and we report the protocol as the paper’s main contribution.</w:t>
      </w:r>
      <w:r>
        <w:t xml:space="preserve"> </w:t>
      </w:r>
      <w:r>
        <w:t xml:space="preserve">Three questions are answered separately because they have different answers:</w:t>
      </w:r>
      <w:r>
        <w:t xml:space="preserve"> </w:t>
      </w:r>
      <w:r>
        <w:t xml:space="preserve">whether covariates can fill in unsurveyed districts inside a surveyed country,</w:t>
      </w:r>
      <w:r>
        <w:t xml:space="preserve"> </w:t>
      </w:r>
      <w:r>
        <w:t xml:space="preserve">whether they can extrapolate to a region none of whose districts was seen,</w:t>
      </w:r>
      <w:r>
        <w:t xml:space="preserve"> </w:t>
      </w:r>
      <w:r>
        <w:t xml:space="preserve">and whether they transport to a country held entirely out of training. Each is</w:t>
      </w:r>
      <w:r>
        <w:t xml:space="preserve"> </w:t>
      </w:r>
      <w:r>
        <w:t xml:space="preserve">scored against the cheapest alternative a programme actually has, against a</w:t>
      </w:r>
      <w:r>
        <w:t xml:space="preserve"> </w:t>
      </w:r>
      <w:r>
        <w:t xml:space="preserve">permutation null, and against the reliability of the target itself. The</w:t>
      </w:r>
      <w:r>
        <w:t xml:space="preserve"> </w:t>
      </w:r>
      <w:r>
        <w:t xml:space="preserve">result is a deliverable stated at the resolution the evidence supports: a</w:t>
      </w:r>
      <w:r>
        <w:t xml:space="preserve"> </w:t>
      </w:r>
      <w:r>
        <w:t xml:space="preserve">ranked district priority list that transports across borders, and a level that</w:t>
      </w:r>
      <w:r>
        <w:t xml:space="preserve"> </w:t>
      </w:r>
      <w:r>
        <w:t xml:space="preserve">does not.</w:t>
      </w:r>
    </w:p>
    <w:bookmarkEnd w:id="23"/>
    <w:bookmarkStart w:id="28" w:name="data"/>
    <w:p>
      <w:pPr>
        <w:pStyle w:val="Heading1"/>
      </w:pPr>
      <w:r>
        <w:t xml:space="preserve">2. Data</w:t>
      </w:r>
    </w:p>
    <w:bookmarkStart w:id="25" w:name="surveys-and-outcomes"/>
    <w:p>
      <w:pPr>
        <w:pStyle w:val="Heading2"/>
      </w:pPr>
      <w:r>
        <w:t xml:space="preserve">2.1 Surveys and outcomes</w:t>
      </w:r>
    </w:p>
    <w:p>
      <w:pPr>
        <w:pStyle w:val="FirstParagraph"/>
      </w:pPr>
      <w:r>
        <w:t xml:space="preserve">We assembled individual biomarker measurements from four national surveys:</w:t>
      </w:r>
      <w:r>
        <w:t xml:space="preserve"> </w:t>
      </w:r>
      <w:r>
        <w:t xml:space="preserve">The Gambia Micronutrient Survey 2018 (fieldwork January–April 2018), the Ghana</w:t>
      </w:r>
      <w:r>
        <w:t xml:space="preserve"> </w:t>
      </w:r>
      <w:r>
        <w:t xml:space="preserve">Micronutrient Survey 2017 (April–June 2017), the Sierra Leone Micronutrient</w:t>
      </w:r>
      <w:r>
        <w:t xml:space="preserve"> </w:t>
      </w:r>
      <w:r>
        <w:t xml:space="preserve">Survey 2013 (November–December 2013) and the Malawi Micronutrient Survey</w:t>
      </w:r>
      <w:r>
        <w:t xml:space="preserve"> </w:t>
      </w:r>
      <w:r>
        <w:t xml:space="preserve">2015–16 (December 2015–February 2016). Fieldwork dates were recovered for every</w:t>
      </w:r>
      <w:r>
        <w:t xml:space="preserve"> </w:t>
      </w:r>
      <w:r>
        <w:t xml:space="preserve">survey cluster so that time-varying predictors could be matched to the</w:t>
      </w:r>
      <w:r>
        <w:t xml:space="preserve"> </w:t>
      </w:r>
      <w:r>
        <w:t xml:space="preserve">fieldwork window. Outcomes are deficiency indicators for children aged 6–59</w:t>
      </w:r>
      <w:r>
        <w:t xml:space="preserve"> </w:t>
      </w:r>
      <w:r>
        <w:t xml:space="preserve">months (vitamin A from retinol-binding protein or retinol, iron from ferritin,</w:t>
      </w:r>
      <w:r>
        <w:t xml:space="preserve"> </w:t>
      </w:r>
      <w:r>
        <w:t xml:space="preserve">zinc where measured) and women aged 15–49 (vitamin A, iron, folate, vitamin</w:t>
      </w:r>
      <w:r>
        <w:t xml:space="preserve"> </w:t>
      </w:r>
      <w:r>
        <w:t xml:space="preserve">B12, zinc where measured), each defined uniformly across surveys at the WHO</w:t>
      </w:r>
      <w:r>
        <w:t xml:space="preserve"> </w:t>
      </w:r>
      <w:r>
        <w:t xml:space="preserve">cut-off after BRINDA inflammation adjustment where acute-phase proteins were</w:t>
      </w:r>
      <w:r>
        <w:t xml:space="preserve"> </w:t>
      </w:r>
      <w:r>
        <w:t xml:space="preserve">available</w:t>
      </w:r>
      <w:r>
        <w:t xml:space="preserve"> </w:t>
      </w:r>
      <w:r>
        <w:t xml:space="preserve">(Namaste et al. 2017; World Health Organization 2011)</w:t>
      </w:r>
      <w:r>
        <w:t xml:space="preserve">. Two targets are</w:t>
      </w:r>
      <w:r>
        <w:t xml:space="preserve"> </w:t>
      </w:r>
      <w:r>
        <w:t xml:space="preserve">carried for every cell: the survey-weighted district prevalence, and the</w:t>
      </w:r>
      <w:r>
        <w:t xml:space="preserve"> </w:t>
      </w:r>
      <w:r>
        <w:t xml:space="preserve">survey-weighted district mean of the log biomarker concentration, which</w:t>
      </w:r>
      <w:r>
        <w:t xml:space="preserve"> </w:t>
      </w:r>
      <w:r>
        <w:t xml:space="preserve">retains the information a dichotomised indicator discards.</w:t>
      </w:r>
    </w:p>
    <w:p>
      <w:pPr>
        <w:pStyle w:val="BodyText"/>
      </w:pPr>
      <w:r>
        <w:t xml:space="preserve">A fifth survey, Tanzania 2010, was withdrawn before analysis after its</w:t>
      </w:r>
      <w:r>
        <w:t xml:space="preserve"> </w:t>
      </w:r>
      <w:r>
        <w:t xml:space="preserve">dried-blood-spot vitamin A measurements were judged unreliable by a</w:t>
      </w:r>
      <w:r>
        <w:t xml:space="preserve"> </w:t>
      </w:r>
      <w:r>
        <w:t xml:space="preserve">collaborator and failed independent consistency checks; Côte d’Ivoire, with</w:t>
      </w:r>
      <w:r>
        <w:t xml:space="preserve"> </w:t>
      </w:r>
      <w:r>
        <w:t xml:space="preserve">covariates but no biomarker survey, is used only as an out-of-sample</w:t>
      </w:r>
      <w:r>
        <w:t xml:space="preserve"> </w:t>
      </w:r>
      <w:r>
        <w:t xml:space="preserve">prediction target and not for evaluation.</w:t>
      </w:r>
    </w:p>
    <w:tbl>
      <w:tblPr>
        <w:tblStyle w:val="Table"/>
        <w:tblW w:type="pct" w:w="5000"/>
        <w:tblLayout w:type="fixed"/>
        <w:tblLook w:firstRow="0" w:lastRow="0" w:firstColumn="0" w:lastColumn="0" w:noHBand="0" w:noVBand="0" w:val="0000"/>
      </w:tblPr>
      <w:tblGrid>
        <w:gridCol w:w="7920"/>
      </w:tblGrid>
      <w:tr>
        <w:tc>
          <w:tcPr/>
          <w:bookmarkStart w:id="24" w:name="tbl-cells"/>
          <w:p>
            <w:pPr>
              <w:jc w:val="center"/>
            </w:pPr>
            <w:pPr>
              <w:jc w:val="start"/>
              <w:spacing w:before="200"/>
              <w:pStyle w:val="ImageCaption"/>
            </w:pPr>
            <w:r>
              <w:t xml:space="preserve">Table 1: The 24 country–outcome cells: districts with a biomarker estimate, respondents, and survey-weighted national prevalence. Districts are the second sub-national tier (Malawi’s Traditional Authorities for in-fill; its 27 districts for region extrapolation and the regional transport tier).</w:t>
            </w:r>
          </w:p>
          <w:tbl>
            <w:tblPr>
              <w:tblStyle w:val="Table"/>
              <w:tblW w:type="pct" w:w="5000"/>
              <w:tblLayout w:type="fixed"/>
              <w:tblLook w:firstRow="1" w:lastRow="0" w:firstColumn="0" w:lastColumn="0" w:noHBand="0" w:noVBand="0" w:val="0020"/>
            </w:tblPr>
            <w:tblGrid>
              <w:gridCol w:w="1067"/>
              <w:gridCol w:w="1601"/>
              <w:gridCol w:w="889"/>
              <w:gridCol w:w="1067"/>
              <w:gridCol w:w="1334"/>
              <w:gridCol w:w="1957"/>
            </w:tblGrid>
            <w:tr>
              <w:trPr>
                <w:tblHeader w:val="on"/>
              </w:trPr>
              <w:tc>
                <w:tcPr/>
                <w:p>
                  <w:pPr>
                    <w:pStyle w:val="Compact"/>
                    <w:jc w:val="left"/>
                    <w:jc w:val="center"/>
                  </w:pPr>
                  <w:r>
                    <w:t xml:space="preserve">Country</w:t>
                  </w:r>
                </w:p>
              </w:tc>
              <w:tc>
                <w:tcPr/>
                <w:p>
                  <w:pPr>
                    <w:pStyle w:val="Compact"/>
                    <w:jc w:val="left"/>
                    <w:jc w:val="center"/>
                  </w:pPr>
                  <w:r>
                    <w:t xml:space="preserve">Outcome</w:t>
                  </w:r>
                </w:p>
              </w:tc>
              <w:tc>
                <w:tcPr/>
                <w:p>
                  <w:pPr>
                    <w:pStyle w:val="Compact"/>
                    <w:jc w:val="right"/>
                    <w:jc w:val="center"/>
                  </w:pPr>
                  <w:r>
                    <w:t xml:space="preserve">Districts</w:t>
                  </w:r>
                </w:p>
              </w:tc>
              <w:tc>
                <w:tcPr/>
                <w:p>
                  <w:pPr>
                    <w:pStyle w:val="Compact"/>
                    <w:jc w:val="right"/>
                    <w:jc w:val="center"/>
                  </w:pPr>
                  <w:r>
                    <w:t xml:space="preserve">Respondents</w:t>
                  </w:r>
                </w:p>
              </w:tc>
              <w:tc>
                <w:tcPr/>
                <w:p>
                  <w:pPr>
                    <w:pStyle w:val="Compact"/>
                    <w:jc w:val="right"/>
                    <w:jc w:val="center"/>
                  </w:pPr>
                  <w:r>
                    <w:t xml:space="preserve">Prevalence (%)</w:t>
                  </w:r>
                </w:p>
              </w:tc>
              <w:tc>
                <w:tcPr/>
                <w:p>
                  <w:pPr>
                    <w:pStyle w:val="Compact"/>
                    <w:jc w:val="right"/>
                    <w:jc w:val="center"/>
                  </w:pPr>
                  <w:r>
                    <w:t xml:space="preserve">Median n per district</w:t>
                  </w:r>
                </w:p>
              </w:tc>
            </w:tr>
            <w:tr>
              <w:tc>
                <w:tcPr/>
                <w:p>
                  <w:pPr>
                    <w:pStyle w:val="Compact"/>
                    <w:jc w:val="left"/>
                    <w:jc w:val="center"/>
                  </w:pPr>
                  <w:r>
                    <w:t xml:space="preserve">Gambia</w:t>
                  </w:r>
                </w:p>
              </w:tc>
              <w:tc>
                <w:tcPr/>
                <w:p>
                  <w:pPr>
                    <w:pStyle w:val="Compact"/>
                    <w:jc w:val="left"/>
                    <w:jc w:val="center"/>
                  </w:pPr>
                  <w:r>
                    <w:t xml:space="preserve">Child iron</w:t>
                  </w:r>
                </w:p>
              </w:tc>
              <w:tc>
                <w:tcPr/>
                <w:p>
                  <w:pPr>
                    <w:pStyle w:val="Compact"/>
                    <w:jc w:val="right"/>
                    <w:jc w:val="center"/>
                  </w:pPr>
                  <w:r>
                    <w:t xml:space="preserve">30</w:t>
                  </w:r>
                </w:p>
              </w:tc>
              <w:tc>
                <w:tcPr/>
                <w:p>
                  <w:pPr>
                    <w:pStyle w:val="Compact"/>
                    <w:jc w:val="right"/>
                    <w:jc w:val="center"/>
                  </w:pPr>
                  <w:r>
                    <w:t xml:space="preserve">1013</w:t>
                  </w:r>
                </w:p>
              </w:tc>
              <w:tc>
                <w:tcPr/>
                <w:p>
                  <w:pPr>
                    <w:pStyle w:val="Compact"/>
                    <w:jc w:val="right"/>
                    <w:jc w:val="center"/>
                  </w:pPr>
                  <w:r>
                    <w:t xml:space="preserve">62.2</w:t>
                  </w:r>
                </w:p>
              </w:tc>
              <w:tc>
                <w:tcPr/>
                <w:p>
                  <w:pPr>
                    <w:pStyle w:val="Compact"/>
                    <w:jc w:val="right"/>
                    <w:jc w:val="center"/>
                  </w:pPr>
                  <w:r>
                    <w:t xml:space="preserve">22</w:t>
                  </w:r>
                </w:p>
              </w:tc>
            </w:tr>
            <w:tr>
              <w:tc>
                <w:tcPr/>
                <w:p>
                  <w:pPr>
                    <w:pStyle w:val="Compact"/>
                    <w:jc w:val="left"/>
                    <w:jc w:val="center"/>
                  </w:pPr>
                  <w:r>
                    <w:t xml:space="preserve">Gambia</w:t>
                  </w:r>
                </w:p>
              </w:tc>
              <w:tc>
                <w:tcPr/>
                <w:p>
                  <w:pPr>
                    <w:pStyle w:val="Compact"/>
                    <w:jc w:val="left"/>
                    <w:jc w:val="center"/>
                  </w:pPr>
                  <w:r>
                    <w:t xml:space="preserve">Child vitamin A</w:t>
                  </w:r>
                </w:p>
              </w:tc>
              <w:tc>
                <w:tcPr/>
                <w:p>
                  <w:pPr>
                    <w:pStyle w:val="Compact"/>
                    <w:jc w:val="right"/>
                    <w:jc w:val="center"/>
                  </w:pPr>
                  <w:r>
                    <w:t xml:space="preserve">30</w:t>
                  </w:r>
                </w:p>
              </w:tc>
              <w:tc>
                <w:tcPr/>
                <w:p>
                  <w:pPr>
                    <w:pStyle w:val="Compact"/>
                    <w:jc w:val="right"/>
                    <w:jc w:val="center"/>
                  </w:pPr>
                  <w:r>
                    <w:t xml:space="preserve">1020</w:t>
                  </w:r>
                </w:p>
              </w:tc>
              <w:tc>
                <w:tcPr/>
                <w:p>
                  <w:pPr>
                    <w:pStyle w:val="Compact"/>
                    <w:jc w:val="right"/>
                    <w:jc w:val="center"/>
                  </w:pPr>
                  <w:r>
                    <w:t xml:space="preserve">19.8</w:t>
                  </w:r>
                </w:p>
              </w:tc>
              <w:tc>
                <w:tcPr/>
                <w:p>
                  <w:pPr>
                    <w:pStyle w:val="Compact"/>
                    <w:jc w:val="right"/>
                    <w:jc w:val="center"/>
                  </w:pPr>
                  <w:r>
                    <w:t xml:space="preserve">22</w:t>
                  </w:r>
                </w:p>
              </w:tc>
            </w:tr>
            <w:tr>
              <w:tc>
                <w:tcPr/>
                <w:p>
                  <w:pPr>
                    <w:pStyle w:val="Compact"/>
                    <w:jc w:val="left"/>
                    <w:jc w:val="center"/>
                  </w:pPr>
                  <w:r>
                    <w:t xml:space="preserve">Gambia</w:t>
                  </w:r>
                </w:p>
              </w:tc>
              <w:tc>
                <w:tcPr/>
                <w:p>
                  <w:pPr>
                    <w:pStyle w:val="Compact"/>
                    <w:jc w:val="left"/>
                    <w:jc w:val="center"/>
                  </w:pPr>
                  <w:r>
                    <w:t xml:space="preserve">Women’s iron</w:t>
                  </w:r>
                </w:p>
              </w:tc>
              <w:tc>
                <w:tcPr/>
                <w:p>
                  <w:pPr>
                    <w:pStyle w:val="Compact"/>
                    <w:jc w:val="right"/>
                    <w:jc w:val="center"/>
                  </w:pPr>
                  <w:r>
                    <w:t xml:space="preserve">30</w:t>
                  </w:r>
                </w:p>
              </w:tc>
              <w:tc>
                <w:tcPr/>
                <w:p>
                  <w:pPr>
                    <w:pStyle w:val="Compact"/>
                    <w:jc w:val="right"/>
                    <w:jc w:val="center"/>
                  </w:pPr>
                  <w:r>
                    <w:t xml:space="preserve">1402</w:t>
                  </w:r>
                </w:p>
              </w:tc>
              <w:tc>
                <w:tcPr/>
                <w:p>
                  <w:pPr>
                    <w:pStyle w:val="Compact"/>
                    <w:jc w:val="right"/>
                    <w:jc w:val="center"/>
                  </w:pPr>
                  <w:r>
                    <w:t xml:space="preserve">45.2</w:t>
                  </w:r>
                </w:p>
              </w:tc>
              <w:tc>
                <w:tcPr/>
                <w:p>
                  <w:pPr>
                    <w:pStyle w:val="Compact"/>
                    <w:jc w:val="right"/>
                    <w:jc w:val="center"/>
                  </w:pPr>
                  <w:r>
                    <w:t xml:space="preserve">26</w:t>
                  </w:r>
                </w:p>
              </w:tc>
            </w:tr>
            <w:tr>
              <w:tc>
                <w:tcPr/>
                <w:p>
                  <w:pPr>
                    <w:pStyle w:val="Compact"/>
                    <w:jc w:val="left"/>
                    <w:jc w:val="center"/>
                  </w:pPr>
                  <w:r>
                    <w:t xml:space="preserve">Gambia</w:t>
                  </w:r>
                </w:p>
              </w:tc>
              <w:tc>
                <w:tcPr/>
                <w:p>
                  <w:pPr>
                    <w:pStyle w:val="Compact"/>
                    <w:jc w:val="left"/>
                    <w:jc w:val="center"/>
                  </w:pPr>
                  <w:r>
                    <w:t xml:space="preserve">Women’s vitamin A</w:t>
                  </w:r>
                </w:p>
              </w:tc>
              <w:tc>
                <w:tcPr/>
                <w:p>
                  <w:pPr>
                    <w:pStyle w:val="Compact"/>
                    <w:jc w:val="right"/>
                    <w:jc w:val="center"/>
                  </w:pPr>
                  <w:r>
                    <w:t xml:space="preserve">30</w:t>
                  </w:r>
                </w:p>
              </w:tc>
              <w:tc>
                <w:tcPr/>
                <w:p>
                  <w:pPr>
                    <w:pStyle w:val="Compact"/>
                    <w:jc w:val="right"/>
                    <w:jc w:val="center"/>
                  </w:pPr>
                  <w:r>
                    <w:t xml:space="preserve">1413</w:t>
                  </w:r>
                </w:p>
              </w:tc>
              <w:tc>
                <w:tcPr/>
                <w:p>
                  <w:pPr>
                    <w:pStyle w:val="Compact"/>
                    <w:jc w:val="right"/>
                    <w:jc w:val="center"/>
                  </w:pPr>
                  <w:r>
                    <w:t xml:space="preserve">2.5</w:t>
                  </w:r>
                </w:p>
              </w:tc>
              <w:tc>
                <w:tcPr/>
                <w:p>
                  <w:pPr>
                    <w:pStyle w:val="Compact"/>
                    <w:jc w:val="right"/>
                    <w:jc w:val="center"/>
                  </w:pPr>
                  <w:r>
                    <w:t xml:space="preserve">26</w:t>
                  </w:r>
                </w:p>
              </w:tc>
            </w:tr>
            <w:tr>
              <w:tc>
                <w:tcPr/>
                <w:p>
                  <w:pPr>
                    <w:pStyle w:val="Compact"/>
                    <w:jc w:val="left"/>
                    <w:jc w:val="center"/>
                  </w:pPr>
                  <w:r>
                    <w:t xml:space="preserve">Ghana</w:t>
                  </w:r>
                </w:p>
              </w:tc>
              <w:tc>
                <w:tcPr/>
                <w:p>
                  <w:pPr>
                    <w:pStyle w:val="Compact"/>
                    <w:jc w:val="left"/>
                    <w:jc w:val="center"/>
                  </w:pPr>
                  <w:r>
                    <w:t xml:space="preserve">Child iron</w:t>
                  </w:r>
                </w:p>
              </w:tc>
              <w:tc>
                <w:tcPr/>
                <w:p>
                  <w:pPr>
                    <w:pStyle w:val="Compact"/>
                    <w:jc w:val="right"/>
                    <w:jc w:val="center"/>
                  </w:pPr>
                  <w:r>
                    <w:t xml:space="preserve">75</w:t>
                  </w:r>
                </w:p>
              </w:tc>
              <w:tc>
                <w:tcPr/>
                <w:p>
                  <w:pPr>
                    <w:pStyle w:val="Compact"/>
                    <w:jc w:val="right"/>
                    <w:jc w:val="center"/>
                  </w:pPr>
                  <w:r>
                    <w:t xml:space="preserve">1165</w:t>
                  </w:r>
                </w:p>
              </w:tc>
              <w:tc>
                <w:tcPr/>
                <w:p>
                  <w:pPr>
                    <w:pStyle w:val="Compact"/>
                    <w:jc w:val="right"/>
                    <w:jc w:val="center"/>
                  </w:pPr>
                  <w:r>
                    <w:t xml:space="preserve">23.7</w:t>
                  </w:r>
                </w:p>
              </w:tc>
              <w:tc>
                <w:tcPr/>
                <w:p>
                  <w:pPr>
                    <w:pStyle w:val="Compact"/>
                    <w:jc w:val="right"/>
                    <w:jc w:val="center"/>
                  </w:pPr>
                  <w:r>
                    <w:t xml:space="preserve">14</w:t>
                  </w:r>
                </w:p>
              </w:tc>
            </w:tr>
            <w:tr>
              <w:tc>
                <w:tcPr/>
                <w:p>
                  <w:pPr>
                    <w:pStyle w:val="Compact"/>
                    <w:jc w:val="left"/>
                    <w:jc w:val="center"/>
                  </w:pPr>
                  <w:r>
                    <w:t xml:space="preserve">Ghana</w:t>
                  </w:r>
                </w:p>
              </w:tc>
              <w:tc>
                <w:tcPr/>
                <w:p>
                  <w:pPr>
                    <w:pStyle w:val="Compact"/>
                    <w:jc w:val="left"/>
                    <w:jc w:val="center"/>
                  </w:pPr>
                  <w:r>
                    <w:t xml:space="preserve">Child vitamin A</w:t>
                  </w:r>
                </w:p>
              </w:tc>
              <w:tc>
                <w:tcPr/>
                <w:p>
                  <w:pPr>
                    <w:pStyle w:val="Compact"/>
                    <w:jc w:val="right"/>
                    <w:jc w:val="center"/>
                  </w:pPr>
                  <w:r>
                    <w:t xml:space="preserve">75</w:t>
                  </w:r>
                </w:p>
              </w:tc>
              <w:tc>
                <w:tcPr/>
                <w:p>
                  <w:pPr>
                    <w:pStyle w:val="Compact"/>
                    <w:jc w:val="right"/>
                    <w:jc w:val="center"/>
                  </w:pPr>
                  <w:r>
                    <w:t xml:space="preserve">1165</w:t>
                  </w:r>
                </w:p>
              </w:tc>
              <w:tc>
                <w:tcPr/>
                <w:p>
                  <w:pPr>
                    <w:pStyle w:val="Compact"/>
                    <w:jc w:val="right"/>
                    <w:jc w:val="center"/>
                  </w:pPr>
                  <w:r>
                    <w:t xml:space="preserve">15.2</w:t>
                  </w:r>
                </w:p>
              </w:tc>
              <w:tc>
                <w:tcPr/>
                <w:p>
                  <w:pPr>
                    <w:pStyle w:val="Compact"/>
                    <w:jc w:val="right"/>
                    <w:jc w:val="center"/>
                  </w:pPr>
                  <w:r>
                    <w:t xml:space="preserve">14</w:t>
                  </w:r>
                </w:p>
              </w:tc>
            </w:tr>
            <w:tr>
              <w:tc>
                <w:tcPr/>
                <w:p>
                  <w:pPr>
                    <w:pStyle w:val="Compact"/>
                    <w:jc w:val="left"/>
                    <w:jc w:val="center"/>
                  </w:pPr>
                  <w:r>
                    <w:t xml:space="preserve">Ghana</w:t>
                  </w:r>
                </w:p>
              </w:tc>
              <w:tc>
                <w:tcPr/>
                <w:p>
                  <w:pPr>
                    <w:pStyle w:val="Compact"/>
                    <w:jc w:val="left"/>
                    <w:jc w:val="center"/>
                  </w:pPr>
                  <w:r>
                    <w:t xml:space="preserve">Women’s B12</w:t>
                  </w:r>
                </w:p>
              </w:tc>
              <w:tc>
                <w:tcPr/>
                <w:p>
                  <w:pPr>
                    <w:pStyle w:val="Compact"/>
                    <w:jc w:val="right"/>
                    <w:jc w:val="center"/>
                  </w:pPr>
                  <w:r>
                    <w:t xml:space="preserve">75</w:t>
                  </w:r>
                </w:p>
              </w:tc>
              <w:tc>
                <w:tcPr/>
                <w:p>
                  <w:pPr>
                    <w:pStyle w:val="Compact"/>
                    <w:jc w:val="right"/>
                    <w:jc w:val="center"/>
                  </w:pPr>
                  <w:r>
                    <w:t xml:space="preserve">473</w:t>
                  </w:r>
                </w:p>
              </w:tc>
              <w:tc>
                <w:tcPr/>
                <w:p>
                  <w:pPr>
                    <w:pStyle w:val="Compact"/>
                    <w:jc w:val="right"/>
                    <w:jc w:val="center"/>
                  </w:pPr>
                  <w:r>
                    <w:t xml:space="preserve">8.3</w:t>
                  </w:r>
                </w:p>
              </w:tc>
              <w:tc>
                <w:tcPr/>
                <w:p>
                  <w:pPr>
                    <w:pStyle w:val="Compact"/>
                    <w:jc w:val="right"/>
                    <w:jc w:val="center"/>
                  </w:pPr>
                  <w:r>
                    <w:t xml:space="preserve">6</w:t>
                  </w:r>
                </w:p>
              </w:tc>
            </w:tr>
            <w:tr>
              <w:tc>
                <w:tcPr/>
                <w:p>
                  <w:pPr>
                    <w:pStyle w:val="Compact"/>
                    <w:jc w:val="left"/>
                    <w:jc w:val="center"/>
                  </w:pPr>
                  <w:r>
                    <w:t xml:space="preserve">Ghana</w:t>
                  </w:r>
                </w:p>
              </w:tc>
              <w:tc>
                <w:tcPr/>
                <w:p>
                  <w:pPr>
                    <w:pStyle w:val="Compact"/>
                    <w:jc w:val="left"/>
                    <w:jc w:val="center"/>
                  </w:pPr>
                  <w:r>
                    <w:t xml:space="preserve">Women’s folate</w:t>
                  </w:r>
                </w:p>
              </w:tc>
              <w:tc>
                <w:tcPr/>
                <w:p>
                  <w:pPr>
                    <w:pStyle w:val="Compact"/>
                    <w:jc w:val="right"/>
                    <w:jc w:val="center"/>
                  </w:pPr>
                  <w:r>
                    <w:t xml:space="preserve">75</w:t>
                  </w:r>
                </w:p>
              </w:tc>
              <w:tc>
                <w:tcPr/>
                <w:p>
                  <w:pPr>
                    <w:pStyle w:val="Compact"/>
                    <w:jc w:val="right"/>
                    <w:jc w:val="center"/>
                  </w:pPr>
                  <w:r>
                    <w:t xml:space="preserve">475</w:t>
                  </w:r>
                </w:p>
              </w:tc>
              <w:tc>
                <w:tcPr/>
                <w:p>
                  <w:pPr>
                    <w:pStyle w:val="Compact"/>
                    <w:jc w:val="right"/>
                    <w:jc w:val="center"/>
                  </w:pPr>
                  <w:r>
                    <w:t xml:space="preserve">54.8</w:t>
                  </w:r>
                </w:p>
              </w:tc>
              <w:tc>
                <w:tcPr/>
                <w:p>
                  <w:pPr>
                    <w:pStyle w:val="Compact"/>
                    <w:jc w:val="right"/>
                    <w:jc w:val="center"/>
                  </w:pPr>
                  <w:r>
                    <w:t xml:space="preserve">6</w:t>
                  </w:r>
                </w:p>
              </w:tc>
            </w:tr>
            <w:tr>
              <w:tc>
                <w:tcPr/>
                <w:p>
                  <w:pPr>
                    <w:pStyle w:val="Compact"/>
                    <w:jc w:val="left"/>
                    <w:jc w:val="center"/>
                  </w:pPr>
                  <w:r>
                    <w:t xml:space="preserve">Ghana</w:t>
                  </w:r>
                </w:p>
              </w:tc>
              <w:tc>
                <w:tcPr/>
                <w:p>
                  <w:pPr>
                    <w:pStyle w:val="Compact"/>
                    <w:jc w:val="left"/>
                    <w:jc w:val="center"/>
                  </w:pPr>
                  <w:r>
                    <w:t xml:space="preserve">Women’s iron</w:t>
                  </w:r>
                </w:p>
              </w:tc>
              <w:tc>
                <w:tcPr/>
                <w:p>
                  <w:pPr>
                    <w:pStyle w:val="Compact"/>
                    <w:jc w:val="right"/>
                    <w:jc w:val="center"/>
                  </w:pPr>
                  <w:r>
                    <w:t xml:space="preserve">75</w:t>
                  </w:r>
                </w:p>
              </w:tc>
              <w:tc>
                <w:tcPr/>
                <w:p>
                  <w:pPr>
                    <w:pStyle w:val="Compact"/>
                    <w:jc w:val="right"/>
                    <w:jc w:val="center"/>
                  </w:pPr>
                  <w:r>
                    <w:t xml:space="preserve">981</w:t>
                  </w:r>
                </w:p>
              </w:tc>
              <w:tc>
                <w:tcPr/>
                <w:p>
                  <w:pPr>
                    <w:pStyle w:val="Compact"/>
                    <w:jc w:val="right"/>
                    <w:jc w:val="center"/>
                  </w:pPr>
                  <w:r>
                    <w:t xml:space="preserve">13.7</w:t>
                  </w:r>
                </w:p>
              </w:tc>
              <w:tc>
                <w:tcPr/>
                <w:p>
                  <w:pPr>
                    <w:pStyle w:val="Compact"/>
                    <w:jc w:val="right"/>
                    <w:jc w:val="center"/>
                  </w:pPr>
                  <w:r>
                    <w:t xml:space="preserve">12</w:t>
                  </w:r>
                </w:p>
              </w:tc>
            </w:tr>
            <w:tr>
              <w:tc>
                <w:tcPr/>
                <w:p>
                  <w:pPr>
                    <w:pStyle w:val="Compact"/>
                    <w:jc w:val="left"/>
                    <w:jc w:val="center"/>
                  </w:pPr>
                  <w:r>
                    <w:t xml:space="preserve">Ghana</w:t>
                  </w:r>
                </w:p>
              </w:tc>
              <w:tc>
                <w:tcPr/>
                <w:p>
                  <w:pPr>
                    <w:pStyle w:val="Compact"/>
                    <w:jc w:val="left"/>
                    <w:jc w:val="center"/>
                  </w:pPr>
                  <w:r>
                    <w:t xml:space="preserve">Women’s vitamin A</w:t>
                  </w:r>
                </w:p>
              </w:tc>
              <w:tc>
                <w:tcPr/>
                <w:p>
                  <w:pPr>
                    <w:pStyle w:val="Compact"/>
                    <w:jc w:val="right"/>
                    <w:jc w:val="center"/>
                  </w:pPr>
                  <w:r>
                    <w:t xml:space="preserve">75</w:t>
                  </w:r>
                </w:p>
              </w:tc>
              <w:tc>
                <w:tcPr/>
                <w:p>
                  <w:pPr>
                    <w:pStyle w:val="Compact"/>
                    <w:jc w:val="right"/>
                    <w:jc w:val="center"/>
                  </w:pPr>
                  <w:r>
                    <w:t xml:space="preserve">992</w:t>
                  </w:r>
                </w:p>
              </w:tc>
              <w:tc>
                <w:tcPr/>
                <w:p>
                  <w:pPr>
                    <w:pStyle w:val="Compact"/>
                    <w:jc w:val="right"/>
                    <w:jc w:val="center"/>
                  </w:pPr>
                  <w:r>
                    <w:t xml:space="preserve">1.7</w:t>
                  </w:r>
                </w:p>
              </w:tc>
              <w:tc>
                <w:tcPr/>
                <w:p>
                  <w:pPr>
                    <w:pStyle w:val="Compact"/>
                    <w:jc w:val="right"/>
                    <w:jc w:val="center"/>
                  </w:pPr>
                  <w:r>
                    <w:t xml:space="preserve">12</w:t>
                  </w:r>
                </w:p>
              </w:tc>
            </w:tr>
            <w:tr>
              <w:tc>
                <w:tcPr/>
                <w:p>
                  <w:pPr>
                    <w:pStyle w:val="Compact"/>
                    <w:jc w:val="left"/>
                    <w:jc w:val="center"/>
                  </w:pPr>
                  <w:r>
                    <w:t xml:space="preserve">Malawi</w:t>
                  </w:r>
                </w:p>
              </w:tc>
              <w:tc>
                <w:tcPr/>
                <w:p>
                  <w:pPr>
                    <w:pStyle w:val="Compact"/>
                    <w:jc w:val="left"/>
                    <w:jc w:val="center"/>
                  </w:pPr>
                  <w:r>
                    <w:t xml:space="preserve">Child iron</w:t>
                  </w:r>
                </w:p>
              </w:tc>
              <w:tc>
                <w:tcPr/>
                <w:p>
                  <w:pPr>
                    <w:pStyle w:val="Compact"/>
                    <w:jc w:val="right"/>
                    <w:jc w:val="center"/>
                  </w:pPr>
                  <w:r>
                    <w:t xml:space="preserve">87</w:t>
                  </w:r>
                </w:p>
              </w:tc>
              <w:tc>
                <w:tcPr/>
                <w:p>
                  <w:pPr>
                    <w:pStyle w:val="Compact"/>
                    <w:jc w:val="right"/>
                    <w:jc w:val="center"/>
                  </w:pPr>
                  <w:r>
                    <w:t xml:space="preserve">1149</w:t>
                  </w:r>
                </w:p>
              </w:tc>
              <w:tc>
                <w:tcPr/>
                <w:p>
                  <w:pPr>
                    <w:pStyle w:val="Compact"/>
                    <w:jc w:val="right"/>
                    <w:jc w:val="center"/>
                  </w:pPr>
                  <w:r>
                    <w:t xml:space="preserve">20.4</w:t>
                  </w:r>
                </w:p>
              </w:tc>
              <w:tc>
                <w:tcPr/>
                <w:p>
                  <w:pPr>
                    <w:pStyle w:val="Compact"/>
                    <w:jc w:val="right"/>
                    <w:jc w:val="center"/>
                  </w:pPr>
                  <w:r>
                    <w:t xml:space="preserve">12</w:t>
                  </w:r>
                </w:p>
              </w:tc>
            </w:tr>
            <w:tr>
              <w:tc>
                <w:tcPr/>
                <w:p>
                  <w:pPr>
                    <w:pStyle w:val="Compact"/>
                    <w:jc w:val="left"/>
                    <w:jc w:val="center"/>
                  </w:pPr>
                  <w:r>
                    <w:t xml:space="preserve">Malawi</w:t>
                  </w:r>
                </w:p>
              </w:tc>
              <w:tc>
                <w:tcPr/>
                <w:p>
                  <w:pPr>
                    <w:pStyle w:val="Compact"/>
                    <w:jc w:val="left"/>
                    <w:jc w:val="center"/>
                  </w:pPr>
                  <w:r>
                    <w:t xml:space="preserve">Child vitamin A</w:t>
                  </w:r>
                </w:p>
              </w:tc>
              <w:tc>
                <w:tcPr/>
                <w:p>
                  <w:pPr>
                    <w:pStyle w:val="Compact"/>
                    <w:jc w:val="right"/>
                    <w:jc w:val="center"/>
                  </w:pPr>
                  <w:r>
                    <w:t xml:space="preserve">87</w:t>
                  </w:r>
                </w:p>
              </w:tc>
              <w:tc>
                <w:tcPr/>
                <w:p>
                  <w:pPr>
                    <w:pStyle w:val="Compact"/>
                    <w:jc w:val="right"/>
                    <w:jc w:val="center"/>
                  </w:pPr>
                  <w:r>
                    <w:t xml:space="preserve">1149</w:t>
                  </w:r>
                </w:p>
              </w:tc>
              <w:tc>
                <w:tcPr/>
                <w:p>
                  <w:pPr>
                    <w:pStyle w:val="Compact"/>
                    <w:jc w:val="right"/>
                    <w:jc w:val="center"/>
                  </w:pPr>
                  <w:r>
                    <w:t xml:space="preserve">9.2</w:t>
                  </w:r>
                </w:p>
              </w:tc>
              <w:tc>
                <w:tcPr/>
                <w:p>
                  <w:pPr>
                    <w:pStyle w:val="Compact"/>
                    <w:jc w:val="right"/>
                    <w:jc w:val="center"/>
                  </w:pPr>
                  <w:r>
                    <w:t xml:space="preserve">12</w:t>
                  </w:r>
                </w:p>
              </w:tc>
            </w:tr>
            <w:tr>
              <w:tc>
                <w:tcPr/>
                <w:p>
                  <w:pPr>
                    <w:pStyle w:val="Compact"/>
                    <w:jc w:val="left"/>
                    <w:jc w:val="center"/>
                  </w:pPr>
                  <w:r>
                    <w:t xml:space="preserve">Malawi</w:t>
                  </w:r>
                </w:p>
              </w:tc>
              <w:tc>
                <w:tcPr/>
                <w:p>
                  <w:pPr>
                    <w:pStyle w:val="Compact"/>
                    <w:jc w:val="left"/>
                    <w:jc w:val="center"/>
                  </w:pPr>
                  <w:r>
                    <w:t xml:space="preserve">Child zinc</w:t>
                  </w:r>
                </w:p>
              </w:tc>
              <w:tc>
                <w:tcPr/>
                <w:p>
                  <w:pPr>
                    <w:pStyle w:val="Compact"/>
                    <w:jc w:val="right"/>
                    <w:jc w:val="center"/>
                  </w:pPr>
                  <w:r>
                    <w:t xml:space="preserve">87</w:t>
                  </w:r>
                </w:p>
              </w:tc>
              <w:tc>
                <w:tcPr/>
                <w:p>
                  <w:pPr>
                    <w:pStyle w:val="Compact"/>
                    <w:jc w:val="right"/>
                    <w:jc w:val="center"/>
                  </w:pPr>
                  <w:r>
                    <w:t xml:space="preserve">1134</w:t>
                  </w:r>
                </w:p>
              </w:tc>
              <w:tc>
                <w:tcPr/>
                <w:p>
                  <w:pPr>
                    <w:pStyle w:val="Compact"/>
                    <w:jc w:val="right"/>
                    <w:jc w:val="center"/>
                  </w:pPr>
                  <w:r>
                    <w:t xml:space="preserve">59.1</w:t>
                  </w:r>
                </w:p>
              </w:tc>
              <w:tc>
                <w:tcPr/>
                <w:p>
                  <w:pPr>
                    <w:pStyle w:val="Compact"/>
                    <w:jc w:val="right"/>
                    <w:jc w:val="center"/>
                  </w:pPr>
                  <w:r>
                    <w:t xml:space="preserve">11</w:t>
                  </w:r>
                </w:p>
              </w:tc>
            </w:tr>
            <w:tr>
              <w:tc>
                <w:tcPr/>
                <w:p>
                  <w:pPr>
                    <w:pStyle w:val="Compact"/>
                    <w:jc w:val="left"/>
                    <w:jc w:val="center"/>
                  </w:pPr>
                  <w:r>
                    <w:t xml:space="preserve">Malawi</w:t>
                  </w:r>
                </w:p>
              </w:tc>
              <w:tc>
                <w:tcPr/>
                <w:p>
                  <w:pPr>
                    <w:pStyle w:val="Compact"/>
                    <w:jc w:val="left"/>
                    <w:jc w:val="center"/>
                  </w:pPr>
                  <w:r>
                    <w:t xml:space="preserve">Women’s B12</w:t>
                  </w:r>
                </w:p>
              </w:tc>
              <w:tc>
                <w:tcPr/>
                <w:p>
                  <w:pPr>
                    <w:pStyle w:val="Compact"/>
                    <w:jc w:val="right"/>
                    <w:jc w:val="center"/>
                  </w:pPr>
                  <w:r>
                    <w:t xml:space="preserve">87</w:t>
                  </w:r>
                </w:p>
              </w:tc>
              <w:tc>
                <w:tcPr/>
                <w:p>
                  <w:pPr>
                    <w:pStyle w:val="Compact"/>
                    <w:jc w:val="right"/>
                    <w:jc w:val="center"/>
                  </w:pPr>
                  <w:r>
                    <w:t xml:space="preserve">839</w:t>
                  </w:r>
                </w:p>
              </w:tc>
              <w:tc>
                <w:tcPr/>
                <w:p>
                  <w:pPr>
                    <w:pStyle w:val="Compact"/>
                    <w:jc w:val="right"/>
                    <w:jc w:val="center"/>
                  </w:pPr>
                  <w:r>
                    <w:t xml:space="preserve">2.8</w:t>
                  </w:r>
                </w:p>
              </w:tc>
              <w:tc>
                <w:tcPr/>
                <w:p>
                  <w:pPr>
                    <w:pStyle w:val="Compact"/>
                    <w:jc w:val="right"/>
                    <w:jc w:val="center"/>
                  </w:pPr>
                  <w:r>
                    <w:t xml:space="preserve">9</w:t>
                  </w:r>
                </w:p>
              </w:tc>
            </w:tr>
            <w:tr>
              <w:tc>
                <w:tcPr/>
                <w:p>
                  <w:pPr>
                    <w:pStyle w:val="Compact"/>
                    <w:jc w:val="left"/>
                    <w:jc w:val="center"/>
                  </w:pPr>
                  <w:r>
                    <w:t xml:space="preserve">Malawi</w:t>
                  </w:r>
                </w:p>
              </w:tc>
              <w:tc>
                <w:tcPr/>
                <w:p>
                  <w:pPr>
                    <w:pStyle w:val="Compact"/>
                    <w:jc w:val="left"/>
                    <w:jc w:val="center"/>
                  </w:pPr>
                  <w:r>
                    <w:t xml:space="preserve">Women’s folate</w:t>
                  </w:r>
                </w:p>
              </w:tc>
              <w:tc>
                <w:tcPr/>
                <w:p>
                  <w:pPr>
                    <w:pStyle w:val="Compact"/>
                    <w:jc w:val="right"/>
                    <w:jc w:val="center"/>
                  </w:pPr>
                  <w:r>
                    <w:t xml:space="preserve">87</w:t>
                  </w:r>
                </w:p>
              </w:tc>
              <w:tc>
                <w:tcPr/>
                <w:p>
                  <w:pPr>
                    <w:pStyle w:val="Compact"/>
                    <w:jc w:val="right"/>
                    <w:jc w:val="center"/>
                  </w:pPr>
                  <w:r>
                    <w:t xml:space="preserve">828</w:t>
                  </w:r>
                </w:p>
              </w:tc>
              <w:tc>
                <w:tcPr/>
                <w:p>
                  <w:pPr>
                    <w:pStyle w:val="Compact"/>
                    <w:jc w:val="right"/>
                    <w:jc w:val="center"/>
                  </w:pPr>
                  <w:r>
                    <w:t xml:space="preserve">20.2</w:t>
                  </w:r>
                </w:p>
              </w:tc>
              <w:tc>
                <w:tcPr/>
                <w:p>
                  <w:pPr>
                    <w:pStyle w:val="Compact"/>
                    <w:jc w:val="right"/>
                    <w:jc w:val="center"/>
                  </w:pPr>
                  <w:r>
                    <w:t xml:space="preserve">8</w:t>
                  </w:r>
                </w:p>
              </w:tc>
            </w:tr>
            <w:tr>
              <w:tc>
                <w:tcPr/>
                <w:p>
                  <w:pPr>
                    <w:pStyle w:val="Compact"/>
                    <w:jc w:val="left"/>
                    <w:jc w:val="center"/>
                  </w:pPr>
                  <w:r>
                    <w:t xml:space="preserve">Malawi</w:t>
                  </w:r>
                </w:p>
              </w:tc>
              <w:tc>
                <w:tcPr/>
                <w:p>
                  <w:pPr>
                    <w:pStyle w:val="Compact"/>
                    <w:jc w:val="left"/>
                    <w:jc w:val="center"/>
                  </w:pPr>
                  <w:r>
                    <w:t xml:space="preserve">Women’s iron</w:t>
                  </w:r>
                </w:p>
              </w:tc>
              <w:tc>
                <w:tcPr/>
                <w:p>
                  <w:pPr>
                    <w:pStyle w:val="Compact"/>
                    <w:jc w:val="right"/>
                    <w:jc w:val="center"/>
                  </w:pPr>
                  <w:r>
                    <w:t xml:space="preserve">87</w:t>
                  </w:r>
                </w:p>
              </w:tc>
              <w:tc>
                <w:tcPr/>
                <w:p>
                  <w:pPr>
                    <w:pStyle w:val="Compact"/>
                    <w:jc w:val="right"/>
                    <w:jc w:val="center"/>
                  </w:pPr>
                  <w:r>
                    <w:t xml:space="preserve">781</w:t>
                  </w:r>
                </w:p>
              </w:tc>
              <w:tc>
                <w:tcPr/>
                <w:p>
                  <w:pPr>
                    <w:pStyle w:val="Compact"/>
                    <w:jc w:val="right"/>
                    <w:jc w:val="center"/>
                  </w:pPr>
                  <w:r>
                    <w:t xml:space="preserve">17.5</w:t>
                  </w:r>
                </w:p>
              </w:tc>
              <w:tc>
                <w:tcPr/>
                <w:p>
                  <w:pPr>
                    <w:pStyle w:val="Compact"/>
                    <w:jc w:val="right"/>
                    <w:jc w:val="center"/>
                  </w:pPr>
                  <w:r>
                    <w:t xml:space="preserve">8</w:t>
                  </w:r>
                </w:p>
              </w:tc>
            </w:tr>
            <w:tr>
              <w:tc>
                <w:tcPr/>
                <w:p>
                  <w:pPr>
                    <w:pStyle w:val="Compact"/>
                    <w:jc w:val="left"/>
                    <w:jc w:val="center"/>
                  </w:pPr>
                  <w:r>
                    <w:t xml:space="preserve">Malawi</w:t>
                  </w:r>
                </w:p>
              </w:tc>
              <w:tc>
                <w:tcPr/>
                <w:p>
                  <w:pPr>
                    <w:pStyle w:val="Compact"/>
                    <w:jc w:val="left"/>
                    <w:jc w:val="center"/>
                  </w:pPr>
                  <w:r>
                    <w:t xml:space="preserve">Women’s vitamin A</w:t>
                  </w:r>
                </w:p>
              </w:tc>
              <w:tc>
                <w:tcPr/>
                <w:p>
                  <w:pPr>
                    <w:pStyle w:val="Compact"/>
                    <w:jc w:val="right"/>
                    <w:jc w:val="center"/>
                  </w:pPr>
                  <w:r>
                    <w:t xml:space="preserve">87</w:t>
                  </w:r>
                </w:p>
              </w:tc>
              <w:tc>
                <w:tcPr/>
                <w:p>
                  <w:pPr>
                    <w:pStyle w:val="Compact"/>
                    <w:jc w:val="right"/>
                    <w:jc w:val="center"/>
                  </w:pPr>
                  <w:r>
                    <w:t xml:space="preserve">836</w:t>
                  </w:r>
                </w:p>
              </w:tc>
              <w:tc>
                <w:tcPr/>
                <w:p>
                  <w:pPr>
                    <w:pStyle w:val="Compact"/>
                    <w:jc w:val="right"/>
                    <w:jc w:val="center"/>
                  </w:pPr>
                  <w:r>
                    <w:t xml:space="preserve">1.3</w:t>
                  </w:r>
                </w:p>
              </w:tc>
              <w:tc>
                <w:tcPr/>
                <w:p>
                  <w:pPr>
                    <w:pStyle w:val="Compact"/>
                    <w:jc w:val="right"/>
                    <w:jc w:val="center"/>
                  </w:pPr>
                  <w:r>
                    <w:t xml:space="preserve">8</w:t>
                  </w:r>
                </w:p>
              </w:tc>
            </w:tr>
            <w:tr>
              <w:tc>
                <w:tcPr/>
                <w:p>
                  <w:pPr>
                    <w:pStyle w:val="Compact"/>
                    <w:jc w:val="left"/>
                    <w:jc w:val="center"/>
                  </w:pPr>
                  <w:r>
                    <w:t xml:space="preserve">Malawi</w:t>
                  </w:r>
                </w:p>
              </w:tc>
              <w:tc>
                <w:tcPr/>
                <w:p>
                  <w:pPr>
                    <w:pStyle w:val="Compact"/>
                    <w:jc w:val="left"/>
                    <w:jc w:val="center"/>
                  </w:pPr>
                  <w:r>
                    <w:t xml:space="preserve">Women’s zinc</w:t>
                  </w:r>
                </w:p>
              </w:tc>
              <w:tc>
                <w:tcPr/>
                <w:p>
                  <w:pPr>
                    <w:pStyle w:val="Compact"/>
                    <w:jc w:val="right"/>
                    <w:jc w:val="center"/>
                  </w:pPr>
                  <w:r>
                    <w:t xml:space="preserve">87</w:t>
                  </w:r>
                </w:p>
              </w:tc>
              <w:tc>
                <w:tcPr/>
                <w:p>
                  <w:pPr>
                    <w:pStyle w:val="Compact"/>
                    <w:jc w:val="right"/>
                    <w:jc w:val="center"/>
                  </w:pPr>
                  <w:r>
                    <w:t xml:space="preserve">844</w:t>
                  </w:r>
                </w:p>
              </w:tc>
              <w:tc>
                <w:tcPr/>
                <w:p>
                  <w:pPr>
                    <w:pStyle w:val="Compact"/>
                    <w:jc w:val="right"/>
                    <w:jc w:val="center"/>
                  </w:pPr>
                  <w:r>
                    <w:t xml:space="preserve">62.0</w:t>
                  </w:r>
                </w:p>
              </w:tc>
              <w:tc>
                <w:tcPr/>
                <w:p>
                  <w:pPr>
                    <w:pStyle w:val="Compact"/>
                    <w:jc w:val="right"/>
                    <w:jc w:val="center"/>
                  </w:pPr>
                  <w:r>
                    <w:t xml:space="preserve">8</w:t>
                  </w:r>
                </w:p>
              </w:tc>
            </w:tr>
            <w:tr>
              <w:tc>
                <w:tcPr/>
                <w:p>
                  <w:pPr>
                    <w:pStyle w:val="Compact"/>
                    <w:jc w:val="left"/>
                    <w:jc w:val="center"/>
                  </w:pPr>
                  <w:r>
                    <w:t xml:space="preserve">SierraLeone</w:t>
                  </w:r>
                </w:p>
              </w:tc>
              <w:tc>
                <w:tcPr/>
                <w:p>
                  <w:pPr>
                    <w:pStyle w:val="Compact"/>
                    <w:jc w:val="left"/>
                    <w:jc w:val="center"/>
                  </w:pPr>
                  <w:r>
                    <w:t xml:space="preserve">Child iron</w:t>
                  </w:r>
                </w:p>
              </w:tc>
              <w:tc>
                <w:tcPr/>
                <w:p>
                  <w:pPr>
                    <w:pStyle w:val="Compact"/>
                    <w:jc w:val="right"/>
                    <w:jc w:val="center"/>
                  </w:pPr>
                  <w:r>
                    <w:t xml:space="preserve">14</w:t>
                  </w:r>
                </w:p>
              </w:tc>
              <w:tc>
                <w:tcPr/>
                <w:p>
                  <w:pPr>
                    <w:pStyle w:val="Compact"/>
                    <w:jc w:val="right"/>
                    <w:jc w:val="center"/>
                  </w:pPr>
                  <w:r>
                    <w:t xml:space="preserve">486</w:t>
                  </w:r>
                </w:p>
              </w:tc>
              <w:tc>
                <w:tcPr/>
                <w:p>
                  <w:pPr>
                    <w:pStyle w:val="Compact"/>
                    <w:jc w:val="right"/>
                    <w:jc w:val="center"/>
                  </w:pPr>
                  <w:r>
                    <w:t xml:space="preserve">5.2</w:t>
                  </w:r>
                </w:p>
              </w:tc>
              <w:tc>
                <w:tcPr/>
                <w:p>
                  <w:pPr>
                    <w:pStyle w:val="Compact"/>
                    <w:jc w:val="right"/>
                    <w:jc w:val="center"/>
                  </w:pPr>
                  <w:r>
                    <w:t xml:space="preserve">36</w:t>
                  </w:r>
                </w:p>
              </w:tc>
            </w:tr>
            <w:tr>
              <w:tc>
                <w:tcPr/>
                <w:p>
                  <w:pPr>
                    <w:pStyle w:val="Compact"/>
                    <w:jc w:val="left"/>
                    <w:jc w:val="center"/>
                  </w:pPr>
                  <w:r>
                    <w:t xml:space="preserve">SierraLeone</w:t>
                  </w:r>
                </w:p>
              </w:tc>
              <w:tc>
                <w:tcPr/>
                <w:p>
                  <w:pPr>
                    <w:pStyle w:val="Compact"/>
                    <w:jc w:val="left"/>
                    <w:jc w:val="center"/>
                  </w:pPr>
                  <w:r>
                    <w:t xml:space="preserve">Child vitamin A</w:t>
                  </w:r>
                </w:p>
              </w:tc>
              <w:tc>
                <w:tcPr/>
                <w:p>
                  <w:pPr>
                    <w:pStyle w:val="Compact"/>
                    <w:jc w:val="right"/>
                    <w:jc w:val="center"/>
                  </w:pPr>
                  <w:r>
                    <w:t xml:space="preserve">14</w:t>
                  </w:r>
                </w:p>
              </w:tc>
              <w:tc>
                <w:tcPr/>
                <w:p>
                  <w:pPr>
                    <w:pStyle w:val="Compact"/>
                    <w:jc w:val="right"/>
                    <w:jc w:val="center"/>
                  </w:pPr>
                  <w:r>
                    <w:t xml:space="preserve">486</w:t>
                  </w:r>
                </w:p>
              </w:tc>
              <w:tc>
                <w:tcPr/>
                <w:p>
                  <w:pPr>
                    <w:pStyle w:val="Compact"/>
                    <w:jc w:val="right"/>
                    <w:jc w:val="center"/>
                  </w:pPr>
                  <w:r>
                    <w:t xml:space="preserve">12.2</w:t>
                  </w:r>
                </w:p>
              </w:tc>
              <w:tc>
                <w:tcPr/>
                <w:p>
                  <w:pPr>
                    <w:pStyle w:val="Compact"/>
                    <w:jc w:val="right"/>
                    <w:jc w:val="center"/>
                  </w:pPr>
                  <w:r>
                    <w:t xml:space="preserve">36</w:t>
                  </w:r>
                </w:p>
              </w:tc>
            </w:tr>
            <w:tr>
              <w:tc>
                <w:tcPr/>
                <w:p>
                  <w:pPr>
                    <w:pStyle w:val="Compact"/>
                    <w:jc w:val="left"/>
                    <w:jc w:val="center"/>
                  </w:pPr>
                  <w:r>
                    <w:t xml:space="preserve">SierraLeone</w:t>
                  </w:r>
                </w:p>
              </w:tc>
              <w:tc>
                <w:tcPr/>
                <w:p>
                  <w:pPr>
                    <w:pStyle w:val="Compact"/>
                    <w:jc w:val="left"/>
                    <w:jc w:val="center"/>
                  </w:pPr>
                  <w:r>
                    <w:t xml:space="preserve">Women’s B12</w:t>
                  </w:r>
                </w:p>
              </w:tc>
              <w:tc>
                <w:tcPr/>
                <w:p>
                  <w:pPr>
                    <w:pStyle w:val="Compact"/>
                    <w:jc w:val="right"/>
                    <w:jc w:val="center"/>
                  </w:pPr>
                  <w:r>
                    <w:t xml:space="preserve">14</w:t>
                  </w:r>
                </w:p>
              </w:tc>
              <w:tc>
                <w:tcPr/>
                <w:p>
                  <w:pPr>
                    <w:pStyle w:val="Compact"/>
                    <w:jc w:val="right"/>
                    <w:jc w:val="center"/>
                  </w:pPr>
                  <w:r>
                    <w:t xml:space="preserve">768</w:t>
                  </w:r>
                </w:p>
              </w:tc>
              <w:tc>
                <w:tcPr/>
                <w:p>
                  <w:pPr>
                    <w:pStyle w:val="Compact"/>
                    <w:jc w:val="right"/>
                    <w:jc w:val="center"/>
                  </w:pPr>
                  <w:r>
                    <w:t xml:space="preserve">0.6</w:t>
                  </w:r>
                </w:p>
              </w:tc>
              <w:tc>
                <w:tcPr/>
                <w:p>
                  <w:pPr>
                    <w:pStyle w:val="Compact"/>
                    <w:jc w:val="right"/>
                    <w:jc w:val="center"/>
                  </w:pPr>
                  <w:r>
                    <w:t xml:space="preserve">47</w:t>
                  </w:r>
                </w:p>
              </w:tc>
            </w:tr>
            <w:tr>
              <w:tc>
                <w:tcPr/>
                <w:p>
                  <w:pPr>
                    <w:pStyle w:val="Compact"/>
                    <w:jc w:val="left"/>
                    <w:jc w:val="center"/>
                  </w:pPr>
                  <w:r>
                    <w:t xml:space="preserve">SierraLeone</w:t>
                  </w:r>
                </w:p>
              </w:tc>
              <w:tc>
                <w:tcPr/>
                <w:p>
                  <w:pPr>
                    <w:pStyle w:val="Compact"/>
                    <w:jc w:val="left"/>
                    <w:jc w:val="center"/>
                  </w:pPr>
                  <w:r>
                    <w:t xml:space="preserve">Women’s folate</w:t>
                  </w:r>
                </w:p>
              </w:tc>
              <w:tc>
                <w:tcPr/>
                <w:p>
                  <w:pPr>
                    <w:pStyle w:val="Compact"/>
                    <w:jc w:val="right"/>
                    <w:jc w:val="center"/>
                  </w:pPr>
                  <w:r>
                    <w:t xml:space="preserve">14</w:t>
                  </w:r>
                </w:p>
              </w:tc>
              <w:tc>
                <w:tcPr/>
                <w:p>
                  <w:pPr>
                    <w:pStyle w:val="Compact"/>
                    <w:jc w:val="right"/>
                    <w:jc w:val="center"/>
                  </w:pPr>
                  <w:r>
                    <w:t xml:space="preserve">766</w:t>
                  </w:r>
                </w:p>
              </w:tc>
              <w:tc>
                <w:tcPr/>
                <w:p>
                  <w:pPr>
                    <w:pStyle w:val="Compact"/>
                    <w:jc w:val="right"/>
                    <w:jc w:val="center"/>
                  </w:pPr>
                  <w:r>
                    <w:t xml:space="preserve">79.2</w:t>
                  </w:r>
                </w:p>
              </w:tc>
              <w:tc>
                <w:tcPr/>
                <w:p>
                  <w:pPr>
                    <w:pStyle w:val="Compact"/>
                    <w:jc w:val="right"/>
                    <w:jc w:val="center"/>
                  </w:pPr>
                  <w:r>
                    <w:t xml:space="preserve">47</w:t>
                  </w:r>
                </w:p>
              </w:tc>
            </w:tr>
            <w:tr>
              <w:tc>
                <w:tcPr/>
                <w:p>
                  <w:pPr>
                    <w:pStyle w:val="Compact"/>
                    <w:jc w:val="left"/>
                    <w:jc w:val="center"/>
                  </w:pPr>
                  <w:r>
                    <w:t xml:space="preserve">SierraLeone</w:t>
                  </w:r>
                </w:p>
              </w:tc>
              <w:tc>
                <w:tcPr/>
                <w:p>
                  <w:pPr>
                    <w:pStyle w:val="Compact"/>
                    <w:jc w:val="left"/>
                    <w:jc w:val="center"/>
                  </w:pPr>
                  <w:r>
                    <w:t xml:space="preserve">Women’s iron</w:t>
                  </w:r>
                </w:p>
              </w:tc>
              <w:tc>
                <w:tcPr/>
                <w:p>
                  <w:pPr>
                    <w:pStyle w:val="Compact"/>
                    <w:jc w:val="right"/>
                    <w:jc w:val="center"/>
                  </w:pPr>
                  <w:r>
                    <w:t xml:space="preserve">14</w:t>
                  </w:r>
                </w:p>
              </w:tc>
              <w:tc>
                <w:tcPr/>
                <w:p>
                  <w:pPr>
                    <w:pStyle w:val="Compact"/>
                    <w:jc w:val="right"/>
                    <w:jc w:val="center"/>
                  </w:pPr>
                  <w:r>
                    <w:t xml:space="preserve">774</w:t>
                  </w:r>
                </w:p>
              </w:tc>
              <w:tc>
                <w:tcPr/>
                <w:p>
                  <w:pPr>
                    <w:pStyle w:val="Compact"/>
                    <w:jc w:val="right"/>
                    <w:jc w:val="center"/>
                  </w:pPr>
                  <w:r>
                    <w:t xml:space="preserve">17.9</w:t>
                  </w:r>
                </w:p>
              </w:tc>
              <w:tc>
                <w:tcPr/>
                <w:p>
                  <w:pPr>
                    <w:pStyle w:val="Compact"/>
                    <w:jc w:val="right"/>
                    <w:jc w:val="center"/>
                  </w:pPr>
                  <w:r>
                    <w:t xml:space="preserve">54</w:t>
                  </w:r>
                </w:p>
              </w:tc>
            </w:tr>
            <w:tr>
              <w:tc>
                <w:tcPr/>
                <w:p>
                  <w:pPr>
                    <w:pStyle w:val="Compact"/>
                    <w:jc w:val="left"/>
                    <w:jc w:val="center"/>
                  </w:pPr>
                  <w:r>
                    <w:t xml:space="preserve">SierraLeone</w:t>
                  </w:r>
                </w:p>
              </w:tc>
              <w:tc>
                <w:tcPr/>
                <w:p>
                  <w:pPr>
                    <w:pStyle w:val="Compact"/>
                    <w:jc w:val="left"/>
                    <w:jc w:val="center"/>
                  </w:pPr>
                  <w:r>
                    <w:t xml:space="preserve">Women’s vitamin A</w:t>
                  </w:r>
                </w:p>
              </w:tc>
              <w:tc>
                <w:tcPr/>
                <w:p>
                  <w:pPr>
                    <w:pStyle w:val="Compact"/>
                    <w:jc w:val="right"/>
                    <w:jc w:val="center"/>
                  </w:pPr>
                  <w:r>
                    <w:t xml:space="preserve">14</w:t>
                  </w:r>
                </w:p>
              </w:tc>
              <w:tc>
                <w:tcPr/>
                <w:p>
                  <w:pPr>
                    <w:pStyle w:val="Compact"/>
                    <w:jc w:val="right"/>
                    <w:jc w:val="center"/>
                  </w:pPr>
                  <w:r>
                    <w:t xml:space="preserve">774</w:t>
                  </w:r>
                </w:p>
              </w:tc>
              <w:tc>
                <w:tcPr/>
                <w:p>
                  <w:pPr>
                    <w:pStyle w:val="Compact"/>
                    <w:jc w:val="right"/>
                    <w:jc w:val="center"/>
                  </w:pPr>
                  <w:r>
                    <w:t xml:space="preserve">1.5</w:t>
                  </w:r>
                </w:p>
              </w:tc>
              <w:tc>
                <w:tcPr/>
                <w:p>
                  <w:pPr>
                    <w:pStyle w:val="Compact"/>
                    <w:jc w:val="right"/>
                    <w:jc w:val="center"/>
                  </w:pPr>
                  <w:r>
                    <w:t xml:space="preserve">54</w:t>
                  </w:r>
                </w:p>
              </w:tc>
            </w:tr>
          </w:tbl>
          <w:bookmarkEnd w:id="24"/>
          <w:p/>
        </w:tc>
      </w:tr>
    </w:tbl>
    <w:p>
      <w:pPr>
        <w:pStyle w:val="BodyText"/>
      </w:pPr>
      <w:r>
        <w:t xml:space="preserve">Most districts contribute between six and forty biomarker measurements, and</w:t>
      </w:r>
      <w:r>
        <w:t xml:space="preserve"> </w:t>
      </w:r>
      <w:r>
        <w:t xml:space="preserve">in three of the four surveys most districts contain a single primary sampling</w:t>
      </w:r>
      <w:r>
        <w:t xml:space="preserve"> </w:t>
      </w:r>
      <w:r>
        <w:t xml:space="preserve">unit. The precision of the district target, not the number of districts, is</w:t>
      </w:r>
      <w:r>
        <w:t xml:space="preserve"> </w:t>
      </w:r>
      <w:r>
        <w:t xml:space="preserve">the binding constraint on everything that follows, and Section 3 and Section</w:t>
      </w:r>
      <w:r>
        <w:t xml:space="preserve"> </w:t>
      </w:r>
      <w:r>
        <w:t xml:space="preserve">4.5 treat it explicitly.</w:t>
      </w:r>
    </w:p>
    <w:bookmarkEnd w:id="25"/>
    <w:bookmarkStart w:id="27" w:name="predictors"/>
    <w:p>
      <w:pPr>
        <w:pStyle w:val="Heading2"/>
      </w:pPr>
      <w:r>
        <w:t xml:space="preserve">2.2 Predictors</w:t>
      </w:r>
    </w:p>
    <w:p>
      <w:pPr>
        <w:pStyle w:val="FirstParagraph"/>
      </w:pPr>
      <w:r>
        <w:t xml:space="preserve">Every predictor available at district resolution was assembled, not Earth</w:t>
      </w:r>
      <w:r>
        <w:t xml:space="preserve"> </w:t>
      </w:r>
      <w:r>
        <w:t xml:space="preserve">observation alone. The vocabulary in this version holds</w:t>
      </w:r>
      <w:r>
        <w:t xml:space="preserve"> </w:t>
      </w:r>
      <w:r>
        <w:t xml:space="preserve">471 columns in</w:t>
      </w:r>
      <w:r>
        <w:t xml:space="preserve"> </w:t>
      </w:r>
      <w:r>
        <w:t xml:space="preserve">24 domains</w:t>
      </w:r>
      <w:r>
        <w:t xml:space="preserve"> </w:t>
      </w:r>
      <w:r>
        <w:t xml:space="preserve">(</w:t>
      </w:r>
      <w:hyperlink w:anchor="tbl-domains">
        <w:r>
          <w:rPr>
            <w:rStyle w:val="Hyperlink"/>
          </w:rPr>
          <w:t xml:space="preserve">Table 2</w:t>
        </w:r>
      </w:hyperlink>
      <w:r>
        <w:t xml:space="preserve">): Google Earth Engine zonal aggregates</w:t>
      </w:r>
      <w:r>
        <w:t xml:space="preserve"> </w:t>
      </w:r>
      <w:r>
        <w:t xml:space="preserve">(Gorelick et al. 2017)</w:t>
      </w:r>
      <w:r>
        <w:t xml:space="preserve"> </w:t>
      </w:r>
      <w:r>
        <w:t xml:space="preserve">of climate, land cover, greenness, terrain, built environment and night-time</w:t>
      </w:r>
      <w:r>
        <w:t xml:space="preserve"> </w:t>
      </w:r>
      <w:r>
        <w:t xml:space="preserve">lights; the 64-dimension AlphaEarth satellite embedding; SoilGrids and</w:t>
      </w:r>
      <w:r>
        <w:t xml:space="preserve"> </w:t>
      </w:r>
      <w:r>
        <w:t xml:space="preserve">iSDAsoil soil chemistry; MapSPAM crop composition; Gridded Livestock of the</w:t>
      </w:r>
      <w:r>
        <w:t xml:space="preserve"> </w:t>
      </w:r>
      <w:r>
        <w:t xml:space="preserve">World densities; Malaria Atlas Project surfaces; IHME modelled surfaces of</w:t>
      </w:r>
      <w:r>
        <w:t xml:space="preserve"> </w:t>
      </w:r>
      <w:r>
        <w:t xml:space="preserve">child growth failure, anaemia, HIV, vaccination and water and sanitation,</w:t>
      </w:r>
      <w:r>
        <w:t xml:space="preserve"> </w:t>
      </w:r>
      <w:r>
        <w:t xml:space="preserve">extracted as population-weighted zonal means of the published 5 km rasters;</w:t>
      </w:r>
      <w:r>
        <w:t xml:space="preserve"> </w:t>
      </w:r>
      <w:r>
        <w:t xml:space="preserve">WHO ESPEN helminth and schistosomiasis programme data; WFP market prices,</w:t>
      </w:r>
      <w:r>
        <w:t xml:space="preserve"> </w:t>
      </w:r>
      <w:r>
        <w:t xml:space="preserve">FAOSTAT food supply and food-security indicators; distance to surface water</w:t>
      </w:r>
      <w:r>
        <w:t xml:space="preserve"> </w:t>
      </w:r>
      <w:r>
        <w:t xml:space="preserve">and to the coast; and survey-indicator aggregates from the DHS and MICS rounds</w:t>
      </w:r>
      <w:r>
        <w:t xml:space="preserve"> </w:t>
      </w:r>
      <w:r>
        <w:t xml:space="preserve">nearest each biomarker survey, with every biomarker-adjacent indicator removed</w:t>
      </w:r>
      <w:r>
        <w:t xml:space="preserve"> </w:t>
      </w:r>
      <w:r>
        <w:t xml:space="preserve">as leakage.</w:t>
      </w:r>
    </w:p>
    <w:tbl>
      <w:tblPr>
        <w:tblStyle w:val="Table"/>
        <w:tblW w:type="pct" w:w="5000"/>
        <w:tblLayout w:type="fixed"/>
        <w:tblLook w:firstRow="0" w:lastRow="0" w:firstColumn="0" w:lastColumn="0" w:noHBand="0" w:noVBand="0" w:val="0000"/>
      </w:tblPr>
      <w:tblGrid>
        <w:gridCol w:w="7920"/>
      </w:tblGrid>
      <w:tr>
        <w:tc>
          <w:tcPr/>
          <w:bookmarkStart w:id="26" w:name="tbl-domains"/>
          <w:p>
            <w:pPr>
              <w:jc w:val="center"/>
            </w:pPr>
            <w:pPr>
              <w:jc w:val="start"/>
              <w:spacing w:before="200"/>
              <w:pStyle w:val="ImageCaption"/>
            </w:pPr>
            <w:r>
              <w:t xml:space="preserve">Table 2: Predictor domains in the shared vocabulary, with the number of columns and the sources each draws on. A domain enters the models as its leading principal components to 80% of variance.</w:t>
            </w:r>
          </w:p>
          <w:tbl>
            <w:tblPr>
              <w:tblStyle w:val="Table"/>
              <w:tblW w:type="pct" w:w="5000"/>
              <w:tblLayout w:type="fixed"/>
              <w:tblLook w:firstRow="1" w:lastRow="0" w:firstColumn="0" w:lastColumn="0" w:noHBand="0" w:noVBand="0" w:val="0020"/>
            </w:tblPr>
            <w:tblGrid>
              <w:gridCol w:w="4218"/>
              <w:gridCol w:w="688"/>
              <w:gridCol w:w="3013"/>
            </w:tblGrid>
            <w:tr>
              <w:trPr>
                <w:tblHeader w:val="on"/>
              </w:trPr>
              <w:tc>
                <w:tcPr/>
                <w:p>
                  <w:pPr>
                    <w:pStyle w:val="Compact"/>
                    <w:jc w:val="left"/>
                    <w:jc w:val="center"/>
                  </w:pPr>
                  <w:r>
                    <w:t xml:space="preserve">Domain</w:t>
                  </w:r>
                </w:p>
              </w:tc>
              <w:tc>
                <w:tcPr/>
                <w:p>
                  <w:pPr>
                    <w:pStyle w:val="Compact"/>
                    <w:jc w:val="right"/>
                    <w:jc w:val="center"/>
                  </w:pPr>
                  <w:r>
                    <w:t xml:space="preserve">Columns</w:t>
                  </w:r>
                </w:p>
              </w:tc>
              <w:tc>
                <w:tcPr/>
                <w:p>
                  <w:pPr>
                    <w:pStyle w:val="Compact"/>
                    <w:jc w:val="left"/>
                    <w:jc w:val="center"/>
                  </w:pPr>
                  <w:r>
                    <w:t xml:space="preserve">Sources</w:t>
                  </w:r>
                </w:p>
              </w:tc>
            </w:tr>
            <w:tr>
              <w:tc>
                <w:tcPr/>
                <w:p>
                  <w:pPr>
                    <w:pStyle w:val="Compact"/>
                    <w:jc w:val="left"/>
                    <w:jc w:val="center"/>
                  </w:pPr>
                  <w:r>
                    <w:t xml:space="preserve">Satellite embedding</w:t>
                  </w:r>
                </w:p>
              </w:tc>
              <w:tc>
                <w:tcPr/>
                <w:p>
                  <w:pPr>
                    <w:pStyle w:val="Compact"/>
                    <w:jc w:val="right"/>
                    <w:jc w:val="center"/>
                  </w:pPr>
                  <w:r>
                    <w:t xml:space="preserve">64</w:t>
                  </w:r>
                </w:p>
              </w:tc>
              <w:tc>
                <w:tcPr/>
                <w:p>
                  <w:pPr>
                    <w:pStyle w:val="Compact"/>
                    <w:jc w:val="left"/>
                    <w:jc w:val="center"/>
                  </w:pPr>
                  <w:r>
                    <w:t xml:space="preserve">AlphaEarth</w:t>
                  </w:r>
                </w:p>
              </w:tc>
            </w:tr>
            <w:tr>
              <w:tc>
                <w:tcPr/>
                <w:p>
                  <w:pPr>
                    <w:pStyle w:val="Compact"/>
                    <w:jc w:val="left"/>
                    <w:jc w:val="center"/>
                  </w:pPr>
                  <w:r>
                    <w:t xml:space="preserve">Infant and child morbidity/mortality</w:t>
                  </w:r>
                </w:p>
              </w:tc>
              <w:tc>
                <w:tcPr/>
                <w:p>
                  <w:pPr>
                    <w:pStyle w:val="Compact"/>
                    <w:jc w:val="right"/>
                    <w:jc w:val="center"/>
                  </w:pPr>
                  <w:r>
                    <w:t xml:space="preserve">60</w:t>
                  </w:r>
                </w:p>
              </w:tc>
              <w:tc>
                <w:tcPr/>
                <w:p>
                  <w:pPr>
                    <w:pStyle w:val="Compact"/>
                    <w:jc w:val="left"/>
                    <w:jc w:val="center"/>
                  </w:pPr>
                  <w:r>
                    <w:t xml:space="preserve">DHS / MICS, IHME</w:t>
                  </w:r>
                </w:p>
              </w:tc>
            </w:tr>
            <w:tr>
              <w:tc>
                <w:tcPr/>
                <w:p>
                  <w:pPr>
                    <w:pStyle w:val="Compact"/>
                    <w:jc w:val="left"/>
                    <w:jc w:val="center"/>
                  </w:pPr>
                  <w:r>
                    <w:t xml:space="preserve">Climate and weather</w:t>
                  </w:r>
                </w:p>
              </w:tc>
              <w:tc>
                <w:tcPr/>
                <w:p>
                  <w:pPr>
                    <w:pStyle w:val="Compact"/>
                    <w:jc w:val="right"/>
                    <w:jc w:val="center"/>
                  </w:pPr>
                  <w:r>
                    <w:t xml:space="preserve">50</w:t>
                  </w:r>
                </w:p>
              </w:tc>
              <w:tc>
                <w:tcPr/>
                <w:p>
                  <w:pPr>
                    <w:pStyle w:val="Compact"/>
                    <w:jc w:val="left"/>
                    <w:jc w:val="center"/>
                  </w:pPr>
                  <w:r>
                    <w:t xml:space="preserve">Earth Engine, Koppen / AEZ</w:t>
                  </w:r>
                </w:p>
              </w:tc>
            </w:tr>
            <w:tr>
              <w:tc>
                <w:tcPr/>
                <w:p>
                  <w:pPr>
                    <w:pStyle w:val="Compact"/>
                    <w:jc w:val="left"/>
                    <w:jc w:val="center"/>
                  </w:pPr>
                  <w:r>
                    <w:t xml:space="preserve">Soil characteristics</w:t>
                  </w:r>
                </w:p>
              </w:tc>
              <w:tc>
                <w:tcPr/>
                <w:p>
                  <w:pPr>
                    <w:pStyle w:val="Compact"/>
                    <w:jc w:val="right"/>
                    <w:jc w:val="center"/>
                  </w:pPr>
                  <w:r>
                    <w:t xml:space="preserve">45</w:t>
                  </w:r>
                </w:p>
              </w:tc>
              <w:tc>
                <w:tcPr/>
                <w:p>
                  <w:pPr>
                    <w:pStyle w:val="Compact"/>
                    <w:jc w:val="left"/>
                    <w:jc w:val="center"/>
                  </w:pPr>
                  <w:r>
                    <w:t xml:space="preserve">SoilGrids / iSDA</w:t>
                  </w:r>
                </w:p>
              </w:tc>
            </w:tr>
            <w:tr>
              <w:tc>
                <w:tcPr/>
                <w:p>
                  <w:pPr>
                    <w:pStyle w:val="Compact"/>
                    <w:jc w:val="left"/>
                    <w:jc w:val="center"/>
                  </w:pPr>
                  <w:r>
                    <w:t xml:space="preserve">Agricultural production, land use</w:t>
                  </w:r>
                </w:p>
              </w:tc>
              <w:tc>
                <w:tcPr/>
                <w:p>
                  <w:pPr>
                    <w:pStyle w:val="Compact"/>
                    <w:jc w:val="right"/>
                    <w:jc w:val="center"/>
                  </w:pPr>
                  <w:r>
                    <w:t xml:space="preserve">29</w:t>
                  </w:r>
                </w:p>
              </w:tc>
              <w:tc>
                <w:tcPr/>
                <w:p>
                  <w:pPr>
                    <w:pStyle w:val="Compact"/>
                    <w:jc w:val="left"/>
                    <w:jc w:val="center"/>
                  </w:pPr>
                  <w:r>
                    <w:t xml:space="preserve">DHS / MICS, MapSPAM</w:t>
                  </w:r>
                </w:p>
              </w:tc>
            </w:tr>
            <w:tr>
              <w:tc>
                <w:tcPr/>
                <w:p>
                  <w:pPr>
                    <w:pStyle w:val="Compact"/>
                    <w:jc w:val="left"/>
                    <w:jc w:val="center"/>
                  </w:pPr>
                  <w:r>
                    <w:t xml:space="preserve">Fertility, reproductive health</w:t>
                  </w:r>
                </w:p>
              </w:tc>
              <w:tc>
                <w:tcPr/>
                <w:p>
                  <w:pPr>
                    <w:pStyle w:val="Compact"/>
                    <w:jc w:val="right"/>
                    <w:jc w:val="center"/>
                  </w:pPr>
                  <w:r>
                    <w:t xml:space="preserve">23</w:t>
                  </w:r>
                </w:p>
              </w:tc>
              <w:tc>
                <w:tcPr/>
                <w:p>
                  <w:pPr>
                    <w:pStyle w:val="Compact"/>
                    <w:jc w:val="left"/>
                    <w:jc w:val="center"/>
                  </w:pPr>
                  <w:r>
                    <w:t xml:space="preserve">DHS / MICS</w:t>
                  </w:r>
                </w:p>
              </w:tc>
            </w:tr>
            <w:tr>
              <w:tc>
                <w:tcPr/>
                <w:p>
                  <w:pPr>
                    <w:pStyle w:val="Compact"/>
                    <w:jc w:val="left"/>
                    <w:jc w:val="center"/>
                  </w:pPr>
                  <w:r>
                    <w:t xml:space="preserve">Malaria incidence and treatment</w:t>
                  </w:r>
                </w:p>
              </w:tc>
              <w:tc>
                <w:tcPr/>
                <w:p>
                  <w:pPr>
                    <w:pStyle w:val="Compact"/>
                    <w:jc w:val="right"/>
                    <w:jc w:val="center"/>
                  </w:pPr>
                  <w:r>
                    <w:t xml:space="preserve">23</w:t>
                  </w:r>
                </w:p>
              </w:tc>
              <w:tc>
                <w:tcPr/>
                <w:p>
                  <w:pPr>
                    <w:pStyle w:val="Compact"/>
                    <w:jc w:val="left"/>
                    <w:jc w:val="center"/>
                  </w:pPr>
                  <w:r>
                    <w:t xml:space="preserve">Malaria Atlas</w:t>
                  </w:r>
                </w:p>
              </w:tc>
            </w:tr>
            <w:tr>
              <w:tc>
                <w:tcPr/>
                <w:p>
                  <w:pPr>
                    <w:pStyle w:val="Compact"/>
                    <w:jc w:val="left"/>
                    <w:jc w:val="center"/>
                  </w:pPr>
                  <w:r>
                    <w:t xml:space="preserve">Food prices and supply</w:t>
                  </w:r>
                </w:p>
              </w:tc>
              <w:tc>
                <w:tcPr/>
                <w:p>
                  <w:pPr>
                    <w:pStyle w:val="Compact"/>
                    <w:jc w:val="right"/>
                    <w:jc w:val="center"/>
                  </w:pPr>
                  <w:r>
                    <w:t xml:space="preserve">21</w:t>
                  </w:r>
                </w:p>
              </w:tc>
              <w:tc>
                <w:tcPr/>
                <w:p>
                  <w:pPr>
                    <w:pStyle w:val="Compact"/>
                    <w:jc w:val="left"/>
                    <w:jc w:val="center"/>
                  </w:pPr>
                  <w:r>
                    <w:t xml:space="preserve">FAOSTAT, WFP</w:t>
                  </w:r>
                </w:p>
              </w:tc>
            </w:tr>
            <w:tr>
              <w:tc>
                <w:tcPr/>
                <w:p>
                  <w:pPr>
                    <w:pStyle w:val="Compact"/>
                    <w:jc w:val="left"/>
                    <w:jc w:val="center"/>
                  </w:pPr>
                  <w:r>
                    <w:t xml:space="preserve">Household assets and characteristics</w:t>
                  </w:r>
                </w:p>
              </w:tc>
              <w:tc>
                <w:tcPr/>
                <w:p>
                  <w:pPr>
                    <w:pStyle w:val="Compact"/>
                    <w:jc w:val="right"/>
                    <w:jc w:val="center"/>
                  </w:pPr>
                  <w:r>
                    <w:t xml:space="preserve">21</w:t>
                  </w:r>
                </w:p>
              </w:tc>
              <w:tc>
                <w:tcPr/>
                <w:p>
                  <w:pPr>
                    <w:pStyle w:val="Compact"/>
                    <w:jc w:val="left"/>
                    <w:jc w:val="center"/>
                  </w:pPr>
                  <w:r>
                    <w:t xml:space="preserve">DHS / MICS, WorldPop / GHS / RWI</w:t>
                  </w:r>
                </w:p>
              </w:tc>
            </w:tr>
            <w:tr>
              <w:tc>
                <w:tcPr/>
                <w:p>
                  <w:pPr>
                    <w:pStyle w:val="Compact"/>
                    <w:jc w:val="left"/>
                    <w:jc w:val="center"/>
                  </w:pPr>
                  <w:r>
                    <w:t xml:space="preserve">Ecosystem productivity/greenness</w:t>
                  </w:r>
                </w:p>
              </w:tc>
              <w:tc>
                <w:tcPr/>
                <w:p>
                  <w:pPr>
                    <w:pStyle w:val="Compact"/>
                    <w:jc w:val="right"/>
                    <w:jc w:val="center"/>
                  </w:pPr>
                  <w:r>
                    <w:t xml:space="preserve">16</w:t>
                  </w:r>
                </w:p>
              </w:tc>
              <w:tc>
                <w:tcPr/>
                <w:p>
                  <w:pPr>
                    <w:pStyle w:val="Compact"/>
                    <w:jc w:val="left"/>
                    <w:jc w:val="center"/>
                  </w:pPr>
                  <w:r>
                    <w:t xml:space="preserve">Earth Engine</w:t>
                  </w:r>
                </w:p>
              </w:tc>
            </w:tr>
            <w:tr>
              <w:tc>
                <w:tcPr/>
                <w:p>
                  <w:pPr>
                    <w:pStyle w:val="Compact"/>
                    <w:jc w:val="left"/>
                    <w:jc w:val="center"/>
                  </w:pPr>
                  <w:r>
                    <w:t xml:space="preserve">Built environment</w:t>
                  </w:r>
                </w:p>
              </w:tc>
              <w:tc>
                <w:tcPr/>
                <w:p>
                  <w:pPr>
                    <w:pStyle w:val="Compact"/>
                    <w:jc w:val="right"/>
                    <w:jc w:val="center"/>
                  </w:pPr>
                  <w:r>
                    <w:t xml:space="preserve">13</w:t>
                  </w:r>
                </w:p>
              </w:tc>
              <w:tc>
                <w:tcPr/>
                <w:p>
                  <w:pPr>
                    <w:pStyle w:val="Compact"/>
                    <w:jc w:val="left"/>
                    <w:jc w:val="center"/>
                  </w:pPr>
                  <w:r>
                    <w:t xml:space="preserve">DHS / MICS, Earth Engine</w:t>
                  </w:r>
                </w:p>
              </w:tc>
            </w:tr>
            <w:tr>
              <w:tc>
                <w:tcPr/>
                <w:p>
                  <w:pPr>
                    <w:pStyle w:val="Compact"/>
                    <w:jc w:val="left"/>
                    <w:jc w:val="center"/>
                  </w:pPr>
                  <w:r>
                    <w:t xml:space="preserve">Education, employment, SES</w:t>
                  </w:r>
                </w:p>
              </w:tc>
              <w:tc>
                <w:tcPr/>
                <w:p>
                  <w:pPr>
                    <w:pStyle w:val="Compact"/>
                    <w:jc w:val="right"/>
                    <w:jc w:val="center"/>
                  </w:pPr>
                  <w:r>
                    <w:t xml:space="preserve">12</w:t>
                  </w:r>
                </w:p>
              </w:tc>
              <w:tc>
                <w:tcPr/>
                <w:p>
                  <w:pPr>
                    <w:pStyle w:val="Compact"/>
                    <w:jc w:val="left"/>
                    <w:jc w:val="center"/>
                  </w:pPr>
                  <w:r>
                    <w:t xml:space="preserve">DHS / MICS, WorldPop / GHS / RWI</w:t>
                  </w:r>
                </w:p>
              </w:tc>
            </w:tr>
            <w:tr>
              <w:tc>
                <w:tcPr/>
                <w:p>
                  <w:pPr>
                    <w:pStyle w:val="Compact"/>
                    <w:jc w:val="left"/>
                    <w:jc w:val="center"/>
                  </w:pPr>
                  <w:r>
                    <w:t xml:space="preserve">Dietary diversity</w:t>
                  </w:r>
                </w:p>
              </w:tc>
              <w:tc>
                <w:tcPr/>
                <w:p>
                  <w:pPr>
                    <w:pStyle w:val="Compact"/>
                    <w:jc w:val="right"/>
                    <w:jc w:val="center"/>
                  </w:pPr>
                  <w:r>
                    <w:t xml:space="preserve">11</w:t>
                  </w:r>
                </w:p>
              </w:tc>
              <w:tc>
                <w:tcPr/>
                <w:p>
                  <w:pPr>
                    <w:pStyle w:val="Compact"/>
                    <w:jc w:val="left"/>
                    <w:jc w:val="center"/>
                  </w:pPr>
                  <w:r>
                    <w:t xml:space="preserve">DHS / MICS</w:t>
                  </w:r>
                </w:p>
              </w:tc>
            </w:tr>
            <w:tr>
              <w:tc>
                <w:tcPr/>
                <w:p>
                  <w:pPr>
                    <w:pStyle w:val="Compact"/>
                    <w:jc w:val="left"/>
                    <w:jc w:val="center"/>
                  </w:pPr>
                  <w:r>
                    <w:t xml:space="preserve">Ruralness, population density, built environment</w:t>
                  </w:r>
                </w:p>
              </w:tc>
              <w:tc>
                <w:tcPr/>
                <w:p>
                  <w:pPr>
                    <w:pStyle w:val="Compact"/>
                    <w:jc w:val="right"/>
                    <w:jc w:val="center"/>
                  </w:pPr>
                  <w:r>
                    <w:t xml:space="preserve">11</w:t>
                  </w:r>
                </w:p>
              </w:tc>
              <w:tc>
                <w:tcPr/>
                <w:p>
                  <w:pPr>
                    <w:pStyle w:val="Compact"/>
                    <w:jc w:val="left"/>
                    <w:jc w:val="center"/>
                  </w:pPr>
                  <w:r>
                    <w:t xml:space="preserve">Earth Engine, WorldPop / GHS / RWI</w:t>
                  </w:r>
                </w:p>
              </w:tc>
            </w:tr>
            <w:tr>
              <w:tc>
                <w:tcPr/>
                <w:p>
                  <w:pPr>
                    <w:pStyle w:val="Compact"/>
                    <w:jc w:val="left"/>
                    <w:jc w:val="center"/>
                  </w:pPr>
                  <w:r>
                    <w:t xml:space="preserve">Nutrition status (MODELLED SURFACE)</w:t>
                  </w:r>
                </w:p>
              </w:tc>
              <w:tc>
                <w:tcPr/>
                <w:p>
                  <w:pPr>
                    <w:pStyle w:val="Compact"/>
                    <w:jc w:val="right"/>
                    <w:jc w:val="center"/>
                  </w:pPr>
                  <w:r>
                    <w:t xml:space="preserve">10</w:t>
                  </w:r>
                </w:p>
              </w:tc>
              <w:tc>
                <w:tcPr/>
                <w:p>
                  <w:pPr>
                    <w:pStyle w:val="Compact"/>
                    <w:jc w:val="left"/>
                    <w:jc w:val="center"/>
                  </w:pPr>
                  <w:r>
                    <w:t xml:space="preserve">GFDx, IHME</w:t>
                  </w:r>
                </w:p>
              </w:tc>
            </w:tr>
            <w:tr>
              <w:tc>
                <w:tcPr/>
                <w:p>
                  <w:pPr>
                    <w:pStyle w:val="Compact"/>
                    <w:jc w:val="left"/>
                    <w:jc w:val="center"/>
                  </w:pPr>
                  <w:r>
                    <w:t xml:space="preserve">Adult and maternal mortality</w:t>
                  </w:r>
                </w:p>
              </w:tc>
              <w:tc>
                <w:tcPr/>
                <w:p>
                  <w:pPr>
                    <w:pStyle w:val="Compact"/>
                    <w:jc w:val="right"/>
                    <w:jc w:val="center"/>
                  </w:pPr>
                  <w:r>
                    <w:t xml:space="preserve">9</w:t>
                  </w:r>
                </w:p>
              </w:tc>
              <w:tc>
                <w:tcPr/>
                <w:p>
                  <w:pPr>
                    <w:pStyle w:val="Compact"/>
                    <w:jc w:val="left"/>
                    <w:jc w:val="center"/>
                  </w:pPr>
                  <w:r>
                    <w:t xml:space="preserve">DHS / MICS</w:t>
                  </w:r>
                </w:p>
              </w:tc>
            </w:tr>
            <w:tr>
              <w:tc>
                <w:tcPr/>
                <w:p>
                  <w:pPr>
                    <w:pStyle w:val="Compact"/>
                    <w:jc w:val="left"/>
                    <w:jc w:val="center"/>
                  </w:pPr>
                  <w:r>
                    <w:t xml:space="preserve">Water and sanitation</w:t>
                  </w:r>
                </w:p>
              </w:tc>
              <w:tc>
                <w:tcPr/>
                <w:p>
                  <w:pPr>
                    <w:pStyle w:val="Compact"/>
                    <w:jc w:val="right"/>
                    <w:jc w:val="center"/>
                  </w:pPr>
                  <w:r>
                    <w:t xml:space="preserve">9</w:t>
                  </w:r>
                </w:p>
              </w:tc>
              <w:tc>
                <w:tcPr/>
                <w:p>
                  <w:pPr>
                    <w:pStyle w:val="Compact"/>
                    <w:jc w:val="left"/>
                    <w:jc w:val="center"/>
                  </w:pPr>
                  <w:r>
                    <w:t xml:space="preserve">DHS / MICS</w:t>
                  </w:r>
                </w:p>
              </w:tc>
            </w:tr>
            <w:tr>
              <w:tc>
                <w:tcPr/>
                <w:p>
                  <w:pPr>
                    <w:pStyle w:val="Compact"/>
                    <w:jc w:val="left"/>
                    <w:jc w:val="center"/>
                  </w:pPr>
                  <w:r>
                    <w:t xml:space="preserve">Helminth burden and control</w:t>
                  </w:r>
                </w:p>
              </w:tc>
              <w:tc>
                <w:tcPr/>
                <w:p>
                  <w:pPr>
                    <w:pStyle w:val="Compact"/>
                    <w:jc w:val="right"/>
                    <w:jc w:val="center"/>
                  </w:pPr>
                  <w:r>
                    <w:t xml:space="preserve">8</w:t>
                  </w:r>
                </w:p>
              </w:tc>
              <w:tc>
                <w:tcPr/>
                <w:p>
                  <w:pPr>
                    <w:pStyle w:val="Compact"/>
                    <w:jc w:val="left"/>
                    <w:jc w:val="center"/>
                  </w:pPr>
                  <w:r>
                    <w:t xml:space="preserve">ESPEN</w:t>
                  </w:r>
                </w:p>
              </w:tc>
            </w:tr>
            <w:tr>
              <w:tc>
                <w:tcPr/>
                <w:p>
                  <w:pPr>
                    <w:pStyle w:val="Compact"/>
                    <w:jc w:val="left"/>
                    <w:jc w:val="center"/>
                  </w:pPr>
                  <w:r>
                    <w:t xml:space="preserve">Livestock density</w:t>
                  </w:r>
                </w:p>
              </w:tc>
              <w:tc>
                <w:tcPr/>
                <w:p>
                  <w:pPr>
                    <w:pStyle w:val="Compact"/>
                    <w:jc w:val="right"/>
                    <w:jc w:val="center"/>
                  </w:pPr>
                  <w:r>
                    <w:t xml:space="preserve">8</w:t>
                  </w:r>
                </w:p>
              </w:tc>
              <w:tc>
                <w:tcPr/>
                <w:p>
                  <w:pPr>
                    <w:pStyle w:val="Compact"/>
                    <w:jc w:val="left"/>
                    <w:jc w:val="center"/>
                  </w:pPr>
                  <w:r>
                    <w:t xml:space="preserve">GLW4</w:t>
                  </w:r>
                </w:p>
              </w:tc>
            </w:tr>
            <w:tr>
              <w:tc>
                <w:tcPr/>
                <w:p>
                  <w:pPr>
                    <w:pStyle w:val="Compact"/>
                    <w:jc w:val="left"/>
                    <w:jc w:val="center"/>
                  </w:pPr>
                  <w:r>
                    <w:t xml:space="preserve">Adult nutrition</w:t>
                  </w:r>
                </w:p>
              </w:tc>
              <w:tc>
                <w:tcPr/>
                <w:p>
                  <w:pPr>
                    <w:pStyle w:val="Compact"/>
                    <w:jc w:val="right"/>
                    <w:jc w:val="center"/>
                  </w:pPr>
                  <w:r>
                    <w:t xml:space="preserve">7</w:t>
                  </w:r>
                </w:p>
              </w:tc>
              <w:tc>
                <w:tcPr/>
                <w:p>
                  <w:pPr>
                    <w:pStyle w:val="Compact"/>
                    <w:jc w:val="left"/>
                    <w:jc w:val="center"/>
                  </w:pPr>
                  <w:r>
                    <w:t xml:space="preserve">DHS / MICS</w:t>
                  </w:r>
                </w:p>
              </w:tc>
            </w:tr>
            <w:tr>
              <w:tc>
                <w:tcPr/>
                <w:p>
                  <w:pPr>
                    <w:pStyle w:val="Compact"/>
                    <w:jc w:val="left"/>
                    <w:jc w:val="center"/>
                  </w:pPr>
                  <w:r>
                    <w:t xml:space="preserve">Food fortification and supplementation</w:t>
                  </w:r>
                </w:p>
              </w:tc>
              <w:tc>
                <w:tcPr/>
                <w:p>
                  <w:pPr>
                    <w:pStyle w:val="Compact"/>
                    <w:jc w:val="right"/>
                    <w:jc w:val="center"/>
                  </w:pPr>
                  <w:r>
                    <w:t xml:space="preserve">7</w:t>
                  </w:r>
                </w:p>
              </w:tc>
              <w:tc>
                <w:tcPr/>
                <w:p>
                  <w:pPr>
                    <w:pStyle w:val="Compact"/>
                    <w:jc w:val="left"/>
                    <w:jc w:val="center"/>
                  </w:pPr>
                  <w:r>
                    <w:t xml:space="preserve">DHS / MICS, GFDx</w:t>
                  </w:r>
                </w:p>
              </w:tc>
            </w:tr>
            <w:tr>
              <w:tc>
                <w:tcPr/>
                <w:p>
                  <w:pPr>
                    <w:pStyle w:val="Compact"/>
                    <w:jc w:val="left"/>
                    <w:jc w:val="center"/>
                  </w:pPr>
                  <w:r>
                    <w:t xml:space="preserve">Healthcare access</w:t>
                  </w:r>
                </w:p>
              </w:tc>
              <w:tc>
                <w:tcPr/>
                <w:p>
                  <w:pPr>
                    <w:pStyle w:val="Compact"/>
                    <w:jc w:val="right"/>
                    <w:jc w:val="center"/>
                  </w:pPr>
                  <w:r>
                    <w:t xml:space="preserve">7</w:t>
                  </w:r>
                </w:p>
              </w:tc>
              <w:tc>
                <w:tcPr/>
                <w:p>
                  <w:pPr>
                    <w:pStyle w:val="Compact"/>
                    <w:jc w:val="left"/>
                    <w:jc w:val="center"/>
                  </w:pPr>
                  <w:r>
                    <w:t xml:space="preserve">DHS / MICS</w:t>
                  </w:r>
                </w:p>
              </w:tc>
            </w:tr>
            <w:tr>
              <w:tc>
                <w:tcPr/>
                <w:p>
                  <w:pPr>
                    <w:pStyle w:val="Compact"/>
                    <w:jc w:val="left"/>
                    <w:jc w:val="center"/>
                  </w:pPr>
                  <w:r>
                    <w:t xml:space="preserve">Water and coast proximity</w:t>
                  </w:r>
                </w:p>
              </w:tc>
              <w:tc>
                <w:tcPr/>
                <w:p>
                  <w:pPr>
                    <w:pStyle w:val="Compact"/>
                    <w:jc w:val="right"/>
                    <w:jc w:val="center"/>
                  </w:pPr>
                  <w:r>
                    <w:t xml:space="preserve">6</w:t>
                  </w:r>
                </w:p>
              </w:tc>
              <w:tc>
                <w:tcPr/>
                <w:p>
                  <w:pPr>
                    <w:pStyle w:val="Compact"/>
                    <w:jc w:val="left"/>
                    <w:jc w:val="center"/>
                  </w:pPr>
                  <w:r>
                    <w:t xml:space="preserve">Earth Engine</w:t>
                  </w:r>
                </w:p>
              </w:tc>
            </w:tr>
            <w:tr>
              <w:tc>
                <w:tcPr/>
                <w:p>
                  <w:pPr>
                    <w:pStyle w:val="Compact"/>
                    <w:jc w:val="left"/>
                    <w:jc w:val="center"/>
                  </w:pPr>
                  <w:r>
                    <w:t xml:space="preserve">Malaria</w:t>
                  </w:r>
                </w:p>
              </w:tc>
              <w:tc>
                <w:tcPr/>
                <w:p>
                  <w:pPr>
                    <w:pStyle w:val="Compact"/>
                    <w:jc w:val="right"/>
                    <w:jc w:val="center"/>
                  </w:pPr>
                  <w:r>
                    <w:t xml:space="preserve">1</w:t>
                  </w:r>
                </w:p>
              </w:tc>
              <w:tc>
                <w:tcPr/>
                <w:p>
                  <w:pPr>
                    <w:pStyle w:val="Compact"/>
                    <w:jc w:val="left"/>
                    <w:jc w:val="center"/>
                  </w:pPr>
                  <w:r>
                    <w:t xml:space="preserve">DHS / MICS</w:t>
                  </w:r>
                </w:p>
              </w:tc>
            </w:tr>
          </w:tbl>
          <w:bookmarkEnd w:id="26"/>
          <w:p/>
        </w:tc>
      </w:tr>
    </w:tbl>
    <w:p>
      <w:pPr>
        <w:pStyle w:val="BodyText"/>
      </w:pPr>
      <w:r>
        <w:t xml:space="preserve">Which administrative level a source natively lives at matters as much as what</w:t>
      </w:r>
      <w:r>
        <w:t xml:space="preserve"> </w:t>
      </w:r>
      <w:r>
        <w:t xml:space="preserve">it measures. The IHME surfaces are a worked example: their published district</w:t>
      </w:r>
      <w:r>
        <w:t xml:space="preserve"> </w:t>
      </w:r>
      <w:r>
        <w:t xml:space="preserve">rollups are keyed by district name, and joining them by name left a quarter</w:t>
      </w:r>
      <w:r>
        <w:t xml:space="preserve"> </w:t>
      </w:r>
      <w:r>
        <w:t xml:space="preserve">of Ghana’s surveyed districts without a value after the 2019 district splits</w:t>
      </w:r>
      <w:r>
        <w:t xml:space="preserve"> </w:t>
      </w:r>
      <w:r>
        <w:t xml:space="preserve">and could only reach Malawi at its districts, which are this project’s</w:t>
      </w:r>
      <w:r>
        <w:t xml:space="preserve"> </w:t>
      </w:r>
      <w:r>
        <w:t xml:space="preserve">regions. Re-extracting the same surfaces as zonal means over the spine</w:t>
      </w:r>
      <w:r>
        <w:t xml:space="preserve"> </w:t>
      </w:r>
      <w:r>
        <w:t xml:space="preserve">polygons removed both problems, and the two versions agree at Spearman</w:t>
      </w:r>
      <w:r>
        <w:t xml:space="preserve"> </w:t>
      </w:r>
      <w:r>
        <w:t xml:space="preserve">0.6–0.98 where both exist. Every source’s native level, join method and known</w:t>
      </w:r>
      <w:r>
        <w:t xml:space="preserve"> </w:t>
      </w:r>
      <w:r>
        <w:t xml:space="preserve">gaps are recorded in the variable annotation sheet (Supplement S2).</w:t>
      </w:r>
    </w:p>
    <w:p>
      <w:pPr>
        <w:pStyle w:val="BodyText"/>
      </w:pPr>
      <w:r>
        <w:t xml:space="preserve">Predictors that could not be reconciled across surveys were excluded with a</w:t>
      </w:r>
      <w:r>
        <w:t xml:space="preserve"> </w:t>
      </w:r>
      <w:r>
        <w:t xml:space="preserve">stated reason; national values (FAOSTAT supply, fortification standards) are</w:t>
      </w:r>
      <w:r>
        <w:t xml:space="preserve"> </w:t>
      </w:r>
      <w:r>
        <w:t xml:space="preserve">broadcast to every district and enter the pooled models only. Nothing</w:t>
      </w:r>
      <w:r>
        <w:t xml:space="preserve"> </w:t>
      </w:r>
      <w:r>
        <w:t xml:space="preserve">survey-derived from the same respondents as an outcome is used to predict it.</w:t>
      </w:r>
    </w:p>
    <w:bookmarkEnd w:id="27"/>
    <w:bookmarkEnd w:id="28"/>
    <w:bookmarkStart w:id="29" w:name="sec-protocol"/>
    <w:p>
      <w:pPr>
        <w:pStyle w:val="Heading1"/>
      </w:pPr>
      <w:r>
        <w:t xml:space="preserve">3. The evaluation protocol</w:t>
      </w:r>
    </w:p>
    <w:p>
      <w:pPr>
        <w:pStyle w:val="FirstParagraph"/>
      </w:pPr>
      <w:r>
        <w:t xml:space="preserve">The protocol was specified before the re-analysis and applied to every</w:t>
      </w:r>
      <w:r>
        <w:t xml:space="preserve"> </w:t>
      </w:r>
      <w:r>
        <w:t xml:space="preserve">comparison in this paper. It rests on five rules and three measurement</w:t>
      </w:r>
      <w:r>
        <w:t xml:space="preserve"> </w:t>
      </w:r>
      <w:r>
        <w:t xml:space="preserve">choices; the effect of each in isolation is reported in Section 5.</w:t>
      </w:r>
    </w:p>
    <w:p>
      <w:pPr>
        <w:pStyle w:val="BodyText"/>
      </w:pPr>
      <w:r>
        <w:rPr>
          <w:b/>
          <w:bCs/>
        </w:rPr>
        <w:t xml:space="preserve">One. Name the estimand.</w:t>
      </w:r>
      <w:r>
        <w:t xml:space="preserve"> </w:t>
      </w:r>
      <w:r>
        <w:t xml:space="preserve">“Can covariates predict district prevalence”</w:t>
      </w:r>
      <w:r>
        <w:t xml:space="preserve"> </w:t>
      </w:r>
      <w:r>
        <w:t xml:space="preserve">is</w:t>
      </w:r>
      <w:r>
        <w:t xml:space="preserve"> </w:t>
      </w:r>
      <w:r>
        <w:t xml:space="preserve">three questions with three answers.</w:t>
      </w:r>
      <w:r>
        <w:t xml:space="preserve"> </w:t>
      </w:r>
      <w:r>
        <w:rPr>
          <w:i/>
          <w:iCs/>
        </w:rPr>
        <w:t xml:space="preserve">In-fill</w:t>
      </w:r>
      <w:r>
        <w:t xml:space="preserve"> </w:t>
      </w:r>
      <w:r>
        <w:t xml:space="preserve">predicts unsurveyed districts</w:t>
      </w:r>
      <w:r>
        <w:t xml:space="preserve"> </w:t>
      </w:r>
      <w:r>
        <w:t xml:space="preserve">inside a surveyed country (5-fold cross-validation over districts);</w:t>
      </w:r>
      <w:r>
        <w:t xml:space="preserve"> </w:t>
      </w:r>
      <w:r>
        <w:rPr>
          <w:i/>
          <w:iCs/>
        </w:rPr>
        <w:t xml:space="preserve">region</w:t>
      </w:r>
      <w:r>
        <w:rPr>
          <w:i/>
          <w:iCs/>
        </w:rPr>
        <w:t xml:space="preserve"> </w:t>
      </w:r>
      <w:r>
        <w:rPr>
          <w:i/>
          <w:iCs/>
        </w:rPr>
        <w:t xml:space="preserve">extrapolation</w:t>
      </w:r>
      <w:r>
        <w:t xml:space="preserve"> </w:t>
      </w:r>
      <w:r>
        <w:t xml:space="preserve">predicts a region none of whose districts was seen (exhaustive</w:t>
      </w:r>
      <w:r>
        <w:t xml:space="preserve"> </w:t>
      </w:r>
      <w:r>
        <w:t xml:space="preserve">leave-one-region-out);</w:t>
      </w:r>
      <w:r>
        <w:t xml:space="preserve"> </w:t>
      </w:r>
      <w:r>
        <w:rPr>
          <w:i/>
          <w:iCs/>
        </w:rPr>
        <w:t xml:space="preserve">country transport</w:t>
      </w:r>
      <w:r>
        <w:t xml:space="preserve"> </w:t>
      </w:r>
      <w:r>
        <w:t xml:space="preserve">predicts a country held entirely</w:t>
      </w:r>
      <w:r>
        <w:t xml:space="preserve"> </w:t>
      </w:r>
      <w:r>
        <w:t xml:space="preserve">out of training (leave-one-country-out, scored at the district and at the</w:t>
      </w:r>
      <w:r>
        <w:t xml:space="preserve"> </w:t>
      </w:r>
      <w:r>
        <w:t xml:space="preserve">first sub-national tier). Every result is reported against a named estimand.</w:t>
      </w:r>
    </w:p>
    <w:p>
      <w:pPr>
        <w:pStyle w:val="BodyText"/>
      </w:pPr>
      <w:r>
        <w:rPr>
          <w:b/>
          <w:bCs/>
        </w:rPr>
        <w:t xml:space="preserve">Two. Match the baseline’s information to the model’s.</w:t>
      </w:r>
      <w:r>
        <w:t xml:space="preserve"> </w:t>
      </w:r>
      <w:r>
        <w:t xml:space="preserve">A comparison is</w:t>
      </w:r>
      <w:r>
        <w:t xml:space="preserve"> </w:t>
      </w:r>
      <w:r>
        <w:t xml:space="preserve">interpretable only if the benchmark has seen what the model has seen. The</w:t>
      </w:r>
      <w:r>
        <w:t xml:space="preserve"> </w:t>
      </w:r>
      <w:r>
        <w:t xml:space="preserve">regional-mean baseline is computed under the same folds as the model and</w:t>
      </w:r>
      <w:r>
        <w:t xml:space="preserve"> </w:t>
      </w:r>
      <w:r>
        <w:t xml:space="preserve">jackknifed, so the scored district never contributes to the regional average</w:t>
      </w:r>
      <w:r>
        <w:t xml:space="preserve"> </w:t>
      </w:r>
      <w:r>
        <w:t xml:space="preserve">it is compared with. A covariate-free spatial smoother on district centroids</w:t>
      </w:r>
      <w:r>
        <w:t xml:space="preserve"> </w:t>
      </w:r>
      <w:r>
        <w:t xml:space="preserve">is scored on the identical folds, so</w:t>
      </w:r>
      <w:r>
        <w:t xml:space="preserve"> </w:t>
      </w:r>
      <w:r>
        <w:t xml:space="preserve">“covariates versus geography”</w:t>
      </w:r>
      <w:r>
        <w:t xml:space="preserve"> </w:t>
      </w:r>
      <w:r>
        <w:t xml:space="preserve">is not a</w:t>
      </w:r>
      <w:r>
        <w:t xml:space="preserve"> </w:t>
      </w:r>
      <w:r>
        <w:t xml:space="preserve">comparison across fold schemes.</w:t>
      </w:r>
    </w:p>
    <w:p>
      <w:pPr>
        <w:pStyle w:val="BodyText"/>
      </w:pPr>
      <w:r>
        <w:rPr>
          <w:b/>
          <w:bCs/>
        </w:rPr>
        <w:t xml:space="preserve">Three. Replicate every random split.</w:t>
      </w:r>
      <w:r>
        <w:t xml:space="preserve"> </w:t>
      </w:r>
      <w:r>
        <w:t xml:space="preserve">A single random division of 14–87</w:t>
      </w:r>
      <w:r>
        <w:t xml:space="preserve"> </w:t>
      </w:r>
      <w:r>
        <w:t xml:space="preserve">districts is a high-variance draw: across ten draws of the same scheme, the</w:t>
      </w:r>
      <w:r>
        <w:t xml:space="preserve"> </w:t>
      </w:r>
      <w:r>
        <w:t xml:space="preserve">median range of a cell’s rank correlation is 0.17 and the maximum 0.71. Every</w:t>
      </w:r>
      <w:r>
        <w:t xml:space="preserve"> </w:t>
      </w:r>
      <w:r>
        <w:t xml:space="preserve">random scheme is repeated ten times and reported as its median; the region</w:t>
      </w:r>
      <w:r>
        <w:t xml:space="preserve"> </w:t>
      </w:r>
      <w:r>
        <w:t xml:space="preserve">scheme is exhaustive and carries no draw.</w:t>
      </w:r>
    </w:p>
    <w:p>
      <w:pPr>
        <w:pStyle w:val="BodyText"/>
      </w:pPr>
      <w:r>
        <w:rPr>
          <w:b/>
          <w:bCs/>
        </w:rPr>
        <w:t xml:space="preserve">Four. Calibrate transport against a null that respects the design.</w:t>
      </w:r>
      <w:r>
        <w:t xml:space="preserve"> </w:t>
      </w:r>
      <w:r>
        <w:t xml:space="preserve">Because outcomes are correlated within a country, counts of positive cells</w:t>
      </w:r>
      <w:r>
        <w:t xml:space="preserve"> </w:t>
      </w:r>
      <w:r>
        <w:t xml:space="preserve">have a fat null: with no transport at all, 15–16 of 22 cells come out positive</w:t>
      </w:r>
      <w:r>
        <w:t xml:space="preserve"> </w:t>
      </w:r>
      <w:r>
        <w:t xml:space="preserve">five percent of the time. The primary transport criterion is therefore the</w:t>
      </w:r>
      <w:r>
        <w:t xml:space="preserve"> </w:t>
      </w:r>
      <w:r>
        <w:t xml:space="preserve">mean rank correlation over cells against the 95th percentile of a</w:t>
      </w:r>
      <w:r>
        <w:t xml:space="preserve"> </w:t>
      </w:r>
      <w:r>
        <w:t xml:space="preserve">country-block permutation null; cell counts are secondary.</w:t>
      </w:r>
    </w:p>
    <w:p>
      <w:pPr>
        <w:pStyle w:val="BodyText"/>
      </w:pPr>
      <w:r>
        <w:rPr>
          <w:b/>
          <w:bCs/>
        </w:rPr>
        <w:t xml:space="preserve">Five. Report the reliability of the target.</w:t>
      </w:r>
      <w:r>
        <w:t xml:space="preserve"> </w:t>
      </w:r>
      <w:r>
        <w:t xml:space="preserve">Every within-country</w:t>
      </w:r>
      <w:r>
        <w:t xml:space="preserve"> </w:t>
      </w:r>
      <w:r>
        <w:t xml:space="preserve">correlation is read against a ceiling for the cell: the correlation a perfect</w:t>
      </w:r>
      <w:r>
        <w:t xml:space="preserve"> </w:t>
      </w:r>
      <w:r>
        <w:t xml:space="preserve">predictor of the true district value could achieve given the sampling noise in</w:t>
      </w:r>
      <w:r>
        <w:t xml:space="preserve"> </w:t>
      </w:r>
      <w:r>
        <w:t xml:space="preserve">the survey estimate. Section 4.5 estimates it from a</w:t>
      </w:r>
      <w:r>
        <w:t xml:space="preserve"> </w:t>
      </w:r>
      <w:r>
        <w:t xml:space="preserve">respondent-in-cluster-in-district-in-region variance model, which separates</w:t>
      </w:r>
      <w:r>
        <w:t xml:space="preserve"> </w:t>
      </w:r>
      <w:r>
        <w:t xml:space="preserve">the cluster effect a split-half estimator counts as geography.</w:t>
      </w:r>
    </w:p>
    <w:p>
      <w:pPr>
        <w:pStyle w:val="BodyText"/>
      </w:pPr>
      <w:r>
        <w:t xml:space="preserve">Three measurement choices follow. Districts are weighted by an effective</w:t>
      </w:r>
      <w:r>
        <w:t xml:space="preserve"> </w:t>
      </w:r>
      <w:r>
        <w:t xml:space="preserve">sample size, Kish’s</w:t>
      </w:r>
      <w:r>
        <w:t xml:space="preserve"> </w:t>
      </w:r>
      <m:oMath>
        <m:sSub>
          <m:e>
            <m:r>
              <m:t>n</m:t>
            </m:r>
          </m:e>
          <m:sub>
            <m:r>
              <m:rPr>
                <m:nor/>
                <m:sty m:val="p"/>
              </m:rPr>
              <m:t>eff</m:t>
            </m:r>
          </m:sub>
        </m:sSub>
      </m:oMath>
      <w:r>
        <w:t xml:space="preserve"> </w:t>
      </w:r>
      <w:r>
        <w:t xml:space="preserve">divided by a design effect measured at the</w:t>
      </w:r>
      <w:r>
        <w:t xml:space="preserve"> </w:t>
      </w:r>
      <w:r>
        <w:t xml:space="preserve">national level for each country and outcome (median 2.4; the conventional 1.5</w:t>
      </w:r>
      <w:r>
        <w:t xml:space="preserve"> </w:t>
      </w:r>
      <w:r>
        <w:t xml:space="preserve">understates it). Predictors are rank-normalised within country before pooling,</w:t>
      </w:r>
      <w:r>
        <w:t xml:space="preserve"> </w:t>
      </w:r>
      <w:r>
        <w:t xml:space="preserve">because the same indicator sits on different scales in different surveys and</w:t>
      </w:r>
      <w:r>
        <w:t xml:space="preserve"> </w:t>
      </w:r>
      <w:r>
        <w:t xml:space="preserve">z-scoring does not remove that. And predictors enter in three competing</w:t>
      </w:r>
      <w:r>
        <w:t xml:space="preserve"> </w:t>
      </w:r>
      <w:r>
        <w:t xml:space="preserve">representations so that model capacity is a measured factor: all columns</w:t>
      </w:r>
      <w:r>
        <w:t xml:space="preserve"> </w:t>
      </w:r>
      <w:r>
        <w:t xml:space="preserve">under elastic net; the leading principal components of each domain to 80% of</w:t>
      </w:r>
      <w:r>
        <w:t xml:space="preserve"> </w:t>
      </w:r>
      <w:r>
        <w:t xml:space="preserve">variance, oriented from the training rows only; and a zero-tuning</w:t>
      </w:r>
      <w:r>
        <w:t xml:space="preserve"> </w:t>
      </w:r>
      <w:r>
        <w:rPr>
          <w:b/>
          <w:bCs/>
        </w:rPr>
        <w:t xml:space="preserve">domain</w:t>
      </w:r>
      <w:r>
        <w:rPr>
          <w:b/>
          <w:bCs/>
        </w:rPr>
        <w:t xml:space="preserve"> </w:t>
      </w:r>
      <w:r>
        <w:rPr>
          <w:b/>
          <w:bCs/>
        </w:rPr>
        <w:t xml:space="preserve">index</w:t>
      </w:r>
      <w:r>
        <w:t xml:space="preserve">, a marginal-correlation-weighted composite over those components with</w:t>
      </w:r>
      <w:r>
        <w:t xml:space="preserve"> </w:t>
      </w:r>
      <w:r>
        <w:t xml:space="preserve">no cross-validated hyperparameter, which is the estimator of record.</w:t>
      </w:r>
    </w:p>
    <w:p>
      <w:pPr>
        <w:pStyle w:val="BodyText"/>
      </w:pPr>
      <w:r>
        <w:t xml:space="preserve">The protocol is pre-registered for the next countries added to the panel</w:t>
      </w:r>
      <w:r>
        <w:t xml:space="preserve"> </w:t>
      </w:r>
      <w:r>
        <w:t xml:space="preserve">(</w:t>
      </w:r>
      <w:r>
        <w:rPr>
          <w:rStyle w:val="VerbatimChar"/>
        </w:rPr>
        <w:t xml:space="preserve">docs/findings/PREREGISTRATION_NEW_COUNTRIES_2026-09.md</w:t>
      </w:r>
      <w:r>
        <w:t xml:space="preserve">): seven</w:t>
      </w:r>
      <w:r>
        <w:t xml:space="preserve"> </w:t>
      </w:r>
      <w:r>
        <w:t xml:space="preserve">predictions with thresholds fixed in advance, of which the central one is that</w:t>
      </w:r>
      <w:r>
        <w:t xml:space="preserve"> </w:t>
      </w:r>
      <w:r>
        <w:t xml:space="preserve">the two-domain climate-and-soil index transports at least as well as the full</w:t>
      </w:r>
      <w:r>
        <w:t xml:space="preserve"> </w:t>
      </w:r>
      <w:r>
        <w:t xml:space="preserve">vocabulary.</w:t>
      </w:r>
    </w:p>
    <w:bookmarkEnd w:id="29"/>
    <w:bookmarkStart w:id="44" w:name="results"/>
    <w:p>
      <w:pPr>
        <w:pStyle w:val="Heading1"/>
      </w:pPr>
      <w:r>
        <w:t xml:space="preserve">4. Results</w:t>
      </w:r>
    </w:p>
    <w:bookmarkStart w:id="31" w:name="X60afbd056d4648ef79ebc0c38639e51de74fca7"/>
    <w:p>
      <w:pPr>
        <w:pStyle w:val="Heading2"/>
      </w:pPr>
      <w:r>
        <w:t xml:space="preserve">4.1 Filling in unsurveyed districts inside a surveyed country</w:t>
      </w:r>
    </w:p>
    <w:p>
      <w:pPr>
        <w:pStyle w:val="FirstParagraph"/>
      </w:pPr>
      <w:r>
        <w:t xml:space="preserve">Within a surveyed country the covariates beat the honest survey baseline and</w:t>
      </w:r>
      <w:r>
        <w:t xml:space="preserve"> </w:t>
      </w:r>
      <w:r>
        <w:t xml:space="preserve">tie the covariate-free smoother (</w:t>
      </w:r>
      <w:hyperlink w:anchor="tbl-infill">
        <w:r>
          <w:rPr>
            <w:rStyle w:val="Hyperlink"/>
          </w:rPr>
          <w:t xml:space="preserve">Table 3</w:t>
        </w:r>
      </w:hyperlink>
      <w:r>
        <w:t xml:space="preserve">). Against a jackknifed regional</w:t>
      </w:r>
      <w:r>
        <w:t xml:space="preserve"> </w:t>
      </w:r>
      <w:r>
        <w:t xml:space="preserve">mean, the only sub-national alternative a programme actually has, the domain</w:t>
      </w:r>
      <w:r>
        <w:t xml:space="preserve"> </w:t>
      </w:r>
      <w:r>
        <w:t xml:space="preserve">index reaches a mean rank correlation of</w:t>
      </w:r>
      <w:r>
        <w:t xml:space="preserve"> </w:t>
      </w:r>
      <w:r>
        <w:t xml:space="preserve">0.39</w:t>
      </w:r>
      <w:r>
        <w:t xml:space="preserve"> </w:t>
      </w:r>
      <w:r>
        <w:t xml:space="preserve">against</w:t>
      </w:r>
      <w:r>
        <w:t xml:space="preserve"> </w:t>
      </w:r>
      <w:r>
        <w:t xml:space="preserve">0.31</w:t>
      </w:r>
      <w:r>
        <w:t xml:space="preserve"> </w:t>
      </w:r>
      <w:r>
        <w:t xml:space="preserve">on the biomarker concentration and</w:t>
      </w:r>
      <w:r>
        <w:t xml:space="preserve"> </w:t>
      </w:r>
      <w:r>
        <w:t xml:space="preserve">0.29</w:t>
      </w:r>
      <w:r>
        <w:t xml:space="preserve"> </w:t>
      </w:r>
      <w:r>
        <w:t xml:space="preserve">against</w:t>
      </w:r>
      <w:r>
        <w:t xml:space="preserve"> </w:t>
      </w:r>
      <w:r>
        <w:t xml:space="preserve">0.19</w:t>
      </w:r>
      <w:r>
        <w:t xml:space="preserve"> </w:t>
      </w:r>
      <w:r>
        <w:t xml:space="preserve">on prevalence. A spatial smoother with no covariates at all scores</w:t>
      </w:r>
      <w:r>
        <w:t xml:space="preserve"> </w:t>
      </w:r>
      <w:r>
        <w:t xml:space="preserve">0.39</w:t>
      </w:r>
      <w:r>
        <w:t xml:space="preserve"> </w:t>
      </w:r>
      <w:r>
        <w:t xml:space="preserve">on the concentration, within 0.01 of the full covariate model, and covariates</w:t>
      </w:r>
      <w:r>
        <w:t xml:space="preserve"> </w:t>
      </w:r>
      <w:r>
        <w:t xml:space="preserve">fitted to the smoother’s residuals add a median of zero. Inside a surveyed</w:t>
      </w:r>
      <w:r>
        <w:t xml:space="preserve"> </w:t>
      </w:r>
      <w:r>
        <w:t xml:space="preserve">country, most of what the covariates supply is a smooth surface that</w:t>
      </w:r>
      <w:r>
        <w:t xml:space="preserve"> </w:t>
      </w:r>
      <w:r>
        <w:t xml:space="preserve">neighbouring districts already provide.</w:t>
      </w:r>
    </w:p>
    <w:tbl>
      <w:tblPr>
        <w:tblStyle w:val="Table"/>
        <w:tblW w:type="pct" w:w="5000"/>
        <w:tblLayout w:type="fixed"/>
        <w:tblLook w:firstRow="0" w:lastRow="0" w:firstColumn="0" w:lastColumn="0" w:noHBand="0" w:noVBand="0" w:val="0000"/>
      </w:tblPr>
      <w:tblGrid>
        <w:gridCol w:w="7920"/>
      </w:tblGrid>
      <w:tr>
        <w:tc>
          <w:tcPr/>
          <w:bookmarkStart w:id="30" w:name="tbl-infill"/>
          <w:p>
            <w:pPr>
              <w:jc w:val="center"/>
            </w:pPr>
            <w:pPr>
              <w:jc w:val="start"/>
              <w:spacing w:before="200"/>
              <w:pStyle w:val="ImageCaption"/>
            </w:pPr>
            <w:r>
              <w:t xml:space="preserve">Table 3: In-fill: mean Spearman correlation between predicted and survey-estimated district values over 24 country–outcome cells, 5-fold cross-validation over districts, median of ten fold draws. The regional-mean baseline is jackknifed so the scored district never contributes to it.</w:t>
            </w:r>
          </w:p>
          <w:tbl>
            <w:tblPr>
              <w:tblStyle w:val="Table"/>
              <w:tblW w:type="pct" w:w="5000"/>
              <w:tblLayout w:type="fixed"/>
              <w:tblLook w:firstRow="1" w:lastRow="0" w:firstColumn="0" w:lastColumn="0" w:noHBand="0" w:noVBand="0" w:val="0020"/>
            </w:tblPr>
            <w:tblGrid>
              <w:gridCol w:w="2872"/>
              <w:gridCol w:w="1392"/>
              <w:gridCol w:w="1305"/>
              <w:gridCol w:w="957"/>
              <w:gridCol w:w="1392"/>
            </w:tblGrid>
            <w:tr>
              <w:trPr>
                <w:tblHeader w:val="on"/>
              </w:trPr>
              <w:tc>
                <w:tcPr/>
                <w:p>
                  <w:pPr>
                    <w:pStyle w:val="Compact"/>
                    <w:jc w:val="left"/>
                    <w:jc w:val="center"/>
                  </w:pPr>
                  <w:r>
                    <w:t xml:space="preserve">Model</w:t>
                  </w:r>
                </w:p>
              </w:tc>
              <w:tc>
                <w:tcPr/>
                <w:p>
                  <w:pPr>
                    <w:pStyle w:val="Compact"/>
                    <w:jc w:val="right"/>
                    <w:jc w:val="center"/>
                  </w:pPr>
                  <w:r>
                    <w:t xml:space="preserve">Biomarker level</w:t>
                  </w:r>
                </w:p>
              </w:tc>
              <w:tc>
                <w:tcPr/>
                <w:p>
                  <w:pPr>
                    <w:pStyle w:val="Compact"/>
                    <w:jc w:val="right"/>
                    <w:jc w:val="center"/>
                  </w:pPr>
                  <w:r>
                    <w:t xml:space="preserve">Positive cells</w:t>
                  </w:r>
                </w:p>
              </w:tc>
              <w:tc>
                <w:tcPr/>
                <w:p>
                  <w:pPr>
                    <w:pStyle w:val="Compact"/>
                    <w:jc w:val="right"/>
                    <w:jc w:val="center"/>
                  </w:pPr>
                  <w:r>
                    <w:t xml:space="preserve">Prevalence</w:t>
                  </w:r>
                </w:p>
              </w:tc>
              <w:tc>
                <w:tcPr/>
                <w:p>
                  <w:pPr>
                    <w:pStyle w:val="Compact"/>
                    <w:jc w:val="right"/>
                    <w:jc w:val="center"/>
                  </w:pPr>
                  <w:r>
                    <w:t xml:space="preserve">Positive cells</w:t>
                  </w:r>
                </w:p>
              </w:tc>
            </w:tr>
            <w:tr>
              <w:tc>
                <w:tcPr/>
                <w:p>
                  <w:pPr>
                    <w:pStyle w:val="Compact"/>
                    <w:jc w:val="left"/>
                    <w:jc w:val="center"/>
                  </w:pPr>
                  <w:r>
                    <w:t xml:space="preserve">Spatial smoother + covariates</w:t>
                  </w:r>
                </w:p>
              </w:tc>
              <w:tc>
                <w:tcPr/>
                <w:p>
                  <w:pPr>
                    <w:pStyle w:val="Compact"/>
                    <w:jc w:val="right"/>
                    <w:jc w:val="center"/>
                  </w:pPr>
                  <w:r>
                    <w:t xml:space="preserve">0.40</w:t>
                  </w:r>
                </w:p>
              </w:tc>
              <w:tc>
                <w:tcPr/>
                <w:p>
                  <w:pPr>
                    <w:pStyle w:val="Compact"/>
                    <w:jc w:val="right"/>
                    <w:jc w:val="center"/>
                  </w:pPr>
                  <w:r>
                    <w:t xml:space="preserve">17</w:t>
                  </w:r>
                </w:p>
              </w:tc>
              <w:tc>
                <w:tcPr/>
                <w:p>
                  <w:pPr>
                    <w:pStyle w:val="Compact"/>
                    <w:jc w:val="right"/>
                    <w:jc w:val="center"/>
                  </w:pPr>
                  <w:r>
                    <w:t xml:space="preserve">0.27</w:t>
                  </w:r>
                </w:p>
              </w:tc>
              <w:tc>
                <w:tcPr/>
                <w:p>
                  <w:pPr>
                    <w:pStyle w:val="Compact"/>
                    <w:jc w:val="right"/>
                    <w:jc w:val="center"/>
                  </w:pPr>
                  <w:r>
                    <w:t xml:space="preserve">16</w:t>
                  </w:r>
                </w:p>
              </w:tc>
            </w:tr>
            <w:tr>
              <w:tc>
                <w:tcPr/>
                <w:p>
                  <w:pPr>
                    <w:pStyle w:val="Compact"/>
                    <w:jc w:val="left"/>
                    <w:jc w:val="center"/>
                  </w:pPr>
                  <w:r>
                    <w:t xml:space="preserve">Zero-tuning domain index</w:t>
                  </w:r>
                </w:p>
              </w:tc>
              <w:tc>
                <w:tcPr/>
                <w:p>
                  <w:pPr>
                    <w:pStyle w:val="Compact"/>
                    <w:jc w:val="right"/>
                    <w:jc w:val="center"/>
                  </w:pPr>
                  <w:r>
                    <w:t xml:space="preserve">0.39</w:t>
                  </w:r>
                </w:p>
              </w:tc>
              <w:tc>
                <w:tcPr/>
                <w:p>
                  <w:pPr>
                    <w:pStyle w:val="Compact"/>
                    <w:jc w:val="right"/>
                    <w:jc w:val="center"/>
                  </w:pPr>
                  <w:r>
                    <w:t xml:space="preserve">16</w:t>
                  </w:r>
                </w:p>
              </w:tc>
              <w:tc>
                <w:tcPr/>
                <w:p>
                  <w:pPr>
                    <w:pStyle w:val="Compact"/>
                    <w:jc w:val="right"/>
                    <w:jc w:val="center"/>
                  </w:pPr>
                  <w:r>
                    <w:t xml:space="preserve">0.29</w:t>
                  </w:r>
                </w:p>
              </w:tc>
              <w:tc>
                <w:tcPr/>
                <w:p>
                  <w:pPr>
                    <w:pStyle w:val="Compact"/>
                    <w:jc w:val="right"/>
                    <w:jc w:val="center"/>
                  </w:pPr>
                  <w:r>
                    <w:t xml:space="preserve">15</w:t>
                  </w:r>
                </w:p>
              </w:tc>
            </w:tr>
            <w:tr>
              <w:tc>
                <w:tcPr/>
                <w:p>
                  <w:pPr>
                    <w:pStyle w:val="Compact"/>
                    <w:jc w:val="left"/>
                    <w:jc w:val="center"/>
                  </w:pPr>
                  <w:r>
                    <w:t xml:space="preserve">Spatial smoother only</w:t>
                  </w:r>
                </w:p>
              </w:tc>
              <w:tc>
                <w:tcPr/>
                <w:p>
                  <w:pPr>
                    <w:pStyle w:val="Compact"/>
                    <w:jc w:val="right"/>
                    <w:jc w:val="center"/>
                  </w:pPr>
                  <w:r>
                    <w:t xml:space="preserve">0.39</w:t>
                  </w:r>
                </w:p>
              </w:tc>
              <w:tc>
                <w:tcPr/>
                <w:p>
                  <w:pPr>
                    <w:pStyle w:val="Compact"/>
                    <w:jc w:val="right"/>
                    <w:jc w:val="center"/>
                  </w:pPr>
                  <w:r>
                    <w:t xml:space="preserve">17</w:t>
                  </w:r>
                </w:p>
              </w:tc>
              <w:tc>
                <w:tcPr/>
                <w:p>
                  <w:pPr>
                    <w:pStyle w:val="Compact"/>
                    <w:jc w:val="right"/>
                    <w:jc w:val="center"/>
                  </w:pPr>
                  <w:r>
                    <w:t xml:space="preserve">0.27</w:t>
                  </w:r>
                </w:p>
              </w:tc>
              <w:tc>
                <w:tcPr/>
                <w:p>
                  <w:pPr>
                    <w:pStyle w:val="Compact"/>
                    <w:jc w:val="right"/>
                    <w:jc w:val="center"/>
                  </w:pPr>
                  <w:r>
                    <w:t xml:space="preserve">16</w:t>
                  </w:r>
                </w:p>
              </w:tc>
            </w:tr>
            <w:tr>
              <w:tc>
                <w:tcPr/>
                <w:p>
                  <w:pPr>
                    <w:pStyle w:val="Compact"/>
                    <w:jc w:val="left"/>
                    <w:jc w:val="center"/>
                  </w:pPr>
                  <w:r>
                    <w:t xml:space="preserve">Elastic net on domain PCs</w:t>
                  </w:r>
                </w:p>
              </w:tc>
              <w:tc>
                <w:tcPr/>
                <w:p>
                  <w:pPr>
                    <w:pStyle w:val="Compact"/>
                    <w:jc w:val="right"/>
                    <w:jc w:val="center"/>
                  </w:pPr>
                  <w:r>
                    <w:t xml:space="preserve">0.33</w:t>
                  </w:r>
                </w:p>
              </w:tc>
              <w:tc>
                <w:tcPr/>
                <w:p>
                  <w:pPr>
                    <w:pStyle w:val="Compact"/>
                    <w:jc w:val="right"/>
                    <w:jc w:val="center"/>
                  </w:pPr>
                  <w:r>
                    <w:t xml:space="preserve">16</w:t>
                  </w:r>
                </w:p>
              </w:tc>
              <w:tc>
                <w:tcPr/>
                <w:p>
                  <w:pPr>
                    <w:pStyle w:val="Compact"/>
                    <w:jc w:val="right"/>
                    <w:jc w:val="center"/>
                  </w:pPr>
                  <w:r>
                    <w:t xml:space="preserve">0.15</w:t>
                  </w:r>
                </w:p>
              </w:tc>
              <w:tc>
                <w:tcPr/>
                <w:p>
                  <w:pPr>
                    <w:pStyle w:val="Compact"/>
                    <w:jc w:val="right"/>
                    <w:jc w:val="center"/>
                  </w:pPr>
                  <w:r>
                    <w:t xml:space="preserve">12</w:t>
                  </w:r>
                </w:p>
              </w:tc>
            </w:tr>
            <w:tr>
              <w:tc>
                <w:tcPr/>
                <w:p>
                  <w:pPr>
                    <w:pStyle w:val="Compact"/>
                    <w:jc w:val="left"/>
                    <w:jc w:val="center"/>
                  </w:pPr>
                  <w:r>
                    <w:t xml:space="preserve">Elastic net on all columns</w:t>
                  </w:r>
                </w:p>
              </w:tc>
              <w:tc>
                <w:tcPr/>
                <w:p>
                  <w:pPr>
                    <w:pStyle w:val="Compact"/>
                    <w:jc w:val="right"/>
                    <w:jc w:val="center"/>
                  </w:pPr>
                  <w:r>
                    <w:t xml:space="preserve">0.33</w:t>
                  </w:r>
                </w:p>
              </w:tc>
              <w:tc>
                <w:tcPr/>
                <w:p>
                  <w:pPr>
                    <w:pStyle w:val="Compact"/>
                    <w:jc w:val="right"/>
                    <w:jc w:val="center"/>
                  </w:pPr>
                  <w:r>
                    <w:t xml:space="preserve">15</w:t>
                  </w:r>
                </w:p>
              </w:tc>
              <w:tc>
                <w:tcPr/>
                <w:p>
                  <w:pPr>
                    <w:pStyle w:val="Compact"/>
                    <w:jc w:val="right"/>
                    <w:jc w:val="center"/>
                  </w:pPr>
                  <w:r>
                    <w:t xml:space="preserve">0.12</w:t>
                  </w:r>
                </w:p>
              </w:tc>
              <w:tc>
                <w:tcPr/>
                <w:p>
                  <w:pPr>
                    <w:pStyle w:val="Compact"/>
                    <w:jc w:val="right"/>
                    <w:jc w:val="center"/>
                  </w:pPr>
                  <w:r>
                    <w:t xml:space="preserve">12</w:t>
                  </w:r>
                </w:p>
              </w:tc>
            </w:tr>
            <w:tr>
              <w:tc>
                <w:tcPr/>
                <w:p>
                  <w:pPr>
                    <w:pStyle w:val="Compact"/>
                    <w:jc w:val="left"/>
                    <w:jc w:val="center"/>
                  </w:pPr>
                  <w:r>
                    <w:t xml:space="preserve">Survey: jackknifed regional mean</w:t>
                  </w:r>
                </w:p>
              </w:tc>
              <w:tc>
                <w:tcPr/>
                <w:p>
                  <w:pPr>
                    <w:pStyle w:val="Compact"/>
                    <w:jc w:val="right"/>
                    <w:jc w:val="center"/>
                  </w:pPr>
                  <w:r>
                    <w:t xml:space="preserve">0.31</w:t>
                  </w:r>
                </w:p>
              </w:tc>
              <w:tc>
                <w:tcPr/>
                <w:p>
                  <w:pPr>
                    <w:pStyle w:val="Compact"/>
                    <w:jc w:val="right"/>
                    <w:jc w:val="center"/>
                  </w:pPr>
                  <w:r>
                    <w:t xml:space="preserve">17</w:t>
                  </w:r>
                </w:p>
              </w:tc>
              <w:tc>
                <w:tcPr/>
                <w:p>
                  <w:pPr>
                    <w:pStyle w:val="Compact"/>
                    <w:jc w:val="right"/>
                    <w:jc w:val="center"/>
                  </w:pPr>
                  <w:r>
                    <w:t xml:space="preserve">0.19</w:t>
                  </w:r>
                </w:p>
              </w:tc>
              <w:tc>
                <w:tcPr/>
                <w:p>
                  <w:pPr>
                    <w:pStyle w:val="Compact"/>
                    <w:jc w:val="right"/>
                    <w:jc w:val="center"/>
                  </w:pPr>
                  <w:r>
                    <w:t xml:space="preserve">15</w:t>
                  </w:r>
                </w:p>
              </w:tc>
            </w:tr>
            <w:tr>
              <w:tc>
                <w:tcPr/>
                <w:p>
                  <w:pPr>
                    <w:pStyle w:val="Compact"/>
                    <w:jc w:val="left"/>
                    <w:jc w:val="center"/>
                  </w:pPr>
                  <w:r>
                    <w:t xml:space="preserve">Null: training mean</w:t>
                  </w:r>
                </w:p>
              </w:tc>
              <w:tc>
                <w:tcPr/>
                <w:p>
                  <w:pPr>
                    <w:pStyle w:val="Compact"/>
                    <w:jc w:val="right"/>
                    <w:jc w:val="center"/>
                  </w:pPr>
                  <w:r>
                    <w:t xml:space="preserve">-0.23</w:t>
                  </w:r>
                </w:p>
              </w:tc>
              <w:tc>
                <w:tcPr/>
                <w:p>
                  <w:pPr>
                    <w:pStyle w:val="Compact"/>
                    <w:jc w:val="right"/>
                    <w:jc w:val="center"/>
                  </w:pPr>
                  <w:r>
                    <w:t xml:space="preserve">0</w:t>
                  </w:r>
                </w:p>
              </w:tc>
              <w:tc>
                <w:tcPr/>
                <w:p>
                  <w:pPr>
                    <w:pStyle w:val="Compact"/>
                    <w:jc w:val="right"/>
                    <w:jc w:val="center"/>
                  </w:pPr>
                  <w:r>
                    <w:t xml:space="preserve">-0.22</w:t>
                  </w:r>
                </w:p>
              </w:tc>
              <w:tc>
                <w:tcPr/>
                <w:p>
                  <w:pPr>
                    <w:pStyle w:val="Compact"/>
                    <w:jc w:val="right"/>
                    <w:jc w:val="center"/>
                  </w:pPr>
                  <w:r>
                    <w:t xml:space="preserve">0</w:t>
                  </w:r>
                </w:p>
              </w:tc>
            </w:tr>
          </w:tbl>
          <w:bookmarkEnd w:id="30"/>
          <w:p/>
        </w:tc>
      </w:tr>
    </w:tbl>
    <w:p>
      <w:pPr>
        <w:pStyle w:val="BodyText"/>
      </w:pPr>
      <w:r>
        <w:t xml:space="preserve">Capacity is a liability at these sample sizes. The zero-tuning index over</w:t>
      </w:r>
      <w:r>
        <w:t xml:space="preserve"> </w:t>
      </w:r>
      <w:r>
        <w:t xml:space="preserve">domain components outperforms a penalised regression over every column</w:t>
      </w:r>
      <w:r>
        <w:t xml:space="preserve"> </w:t>
      </w:r>
      <w:r>
        <w:t xml:space="preserve">(0.29</w:t>
      </w:r>
      <w:r>
        <w:t xml:space="preserve"> </w:t>
      </w:r>
      <w:r>
        <w:t xml:space="preserve">against</w:t>
      </w:r>
      <w:r>
        <w:t xml:space="preserve"> </w:t>
      </w:r>
      <w:r>
        <w:t xml:space="preserve">0.12</w:t>
      </w:r>
      <w:r>
        <w:t xml:space="preserve"> </w:t>
      </w:r>
      <w:r>
        <w:t xml:space="preserve">on prevalence), and the penalised fit turns negative under region</w:t>
      </w:r>
      <w:r>
        <w:t xml:space="preserve"> </w:t>
      </w:r>
      <w:r>
        <w:t xml:space="preserve">extrapolation on prevalence (</w:t>
      </w:r>
      <w:hyperlink w:anchor="tbl-region">
        <w:r>
          <w:rPr>
            <w:rStyle w:val="Hyperlink"/>
          </w:rPr>
          <w:t xml:space="preserve">Table 4</w:t>
        </w:r>
      </w:hyperlink>
      <w:r>
        <w:t xml:space="preserve">). With 14–87 units, a regression over</w:t>
      </w:r>
      <w:r>
        <w:t xml:space="preserve"> </w:t>
      </w:r>
      <w:r>
        <w:t xml:space="preserve">hundreds of correlated columns fits the country it was trained in. A</w:t>
      </w:r>
      <w:r>
        <w:t xml:space="preserve"> </w:t>
      </w:r>
      <w:r>
        <w:t xml:space="preserve">SuperLearner ensemble that contains the index among its candidates does not</w:t>
      </w:r>
      <w:r>
        <w:t xml:space="preserve"> </w:t>
      </w:r>
      <w:r>
        <w:t xml:space="preserve">beat it under any of four meta-learner losses (Supplement S1).</w:t>
      </w:r>
    </w:p>
    <w:bookmarkEnd w:id="31"/>
    <w:bookmarkStart w:id="33" w:name="X4bcbe9d2a5fa4cbf7cc47b7d284e1546c2f4cdf"/>
    <w:p>
      <w:pPr>
        <w:pStyle w:val="Heading2"/>
      </w:pPr>
      <w:r>
        <w:t xml:space="preserve">4.2 Extrapolating to a region none of whose districts was seen</w:t>
      </w:r>
    </w:p>
    <w:p>
      <w:pPr>
        <w:pStyle w:val="FirstParagraph"/>
      </w:pPr>
      <w:r>
        <w:t xml:space="preserve">Leaving out a whole region is where a smoother must extrapolate past the edge</w:t>
      </w:r>
      <w:r>
        <w:t xml:space="preserve"> </w:t>
      </w:r>
      <w:r>
        <w:t xml:space="preserve">of its data. The index and the smoother stay close; the survey has nothing to</w:t>
      </w:r>
      <w:r>
        <w:t xml:space="preserve"> </w:t>
      </w:r>
      <w:r>
        <w:t xml:space="preserve">say about a region it has not seen, and the training-mean null collapses</w:t>
      </w:r>
      <w:r>
        <w:t xml:space="preserve"> </w:t>
      </w:r>
      <w:r>
        <w:t xml:space="preserve">(</w:t>
      </w:r>
      <w:hyperlink w:anchor="tbl-region">
        <w:r>
          <w:rPr>
            <w:rStyle w:val="Hyperlink"/>
          </w:rPr>
          <w:t xml:space="preserve">Table 4</w:t>
        </w:r>
      </w:hyperlink>
      <w:r>
        <w:t xml:space="preserve">). Ghana (16 regions) and Malawi (27 districts) are the countries</w:t>
      </w:r>
      <w:r>
        <w:t xml:space="preserve"> </w:t>
      </w:r>
      <w:r>
        <w:t xml:space="preserve">in which this estimand is well determined; The Gambia (6) and Sierra Leone (4)</w:t>
      </w:r>
      <w:r>
        <w:t xml:space="preserve"> </w:t>
      </w:r>
      <w:r>
        <w:t xml:space="preserve">contribute one number per region.</w:t>
      </w:r>
    </w:p>
    <w:tbl>
      <w:tblPr>
        <w:tblStyle w:val="Table"/>
        <w:tblW w:type="pct" w:w="5000"/>
        <w:tblLayout w:type="fixed"/>
        <w:tblLook w:firstRow="0" w:lastRow="0" w:firstColumn="0" w:lastColumn="0" w:noHBand="0" w:noVBand="0" w:val="0000"/>
      </w:tblPr>
      <w:tblGrid>
        <w:gridCol w:w="7920"/>
      </w:tblGrid>
      <w:tr>
        <w:tc>
          <w:tcPr/>
          <w:bookmarkStart w:id="32" w:name="tbl-region"/>
          <w:p>
            <w:pPr>
              <w:jc w:val="center"/>
            </w:pPr>
            <w:pPr>
              <w:jc w:val="start"/>
              <w:spacing w:before="200"/>
              <w:pStyle w:val="ImageCaption"/>
            </w:pPr>
            <w:r>
              <w:t xml:space="preserve">Table 4: Region extrapolation: mean Spearman over 24 cells under exhaustive leave-one-region-out. The jackknifed regional mean is not an arm here because the held-out region has no survey estimate by construction.</w:t>
            </w:r>
          </w:p>
          <w:tbl>
            <w:tblPr>
              <w:tblStyle w:val="Table"/>
              <w:tblW w:type="pct" w:w="5000"/>
              <w:tblLayout w:type="fixed"/>
              <w:tblLook w:firstRow="1" w:lastRow="0" w:firstColumn="0" w:lastColumn="0" w:noHBand="0" w:noVBand="0" w:val="0020"/>
            </w:tblPr>
            <w:tblGrid>
              <w:gridCol w:w="2700"/>
              <w:gridCol w:w="1440"/>
              <w:gridCol w:w="1350"/>
              <w:gridCol w:w="990"/>
              <w:gridCol w:w="1440"/>
            </w:tblGrid>
            <w:tr>
              <w:trPr>
                <w:tblHeader w:val="on"/>
              </w:trPr>
              <w:tc>
                <w:tcPr/>
                <w:p>
                  <w:pPr>
                    <w:pStyle w:val="Compact"/>
                    <w:jc w:val="left"/>
                    <w:jc w:val="center"/>
                  </w:pPr>
                  <w:r>
                    <w:t xml:space="preserve">Model</w:t>
                  </w:r>
                </w:p>
              </w:tc>
              <w:tc>
                <w:tcPr/>
                <w:p>
                  <w:pPr>
                    <w:pStyle w:val="Compact"/>
                    <w:jc w:val="right"/>
                    <w:jc w:val="center"/>
                  </w:pPr>
                  <w:r>
                    <w:t xml:space="preserve">Biomarker level</w:t>
                  </w:r>
                </w:p>
              </w:tc>
              <w:tc>
                <w:tcPr/>
                <w:p>
                  <w:pPr>
                    <w:pStyle w:val="Compact"/>
                    <w:jc w:val="right"/>
                    <w:jc w:val="center"/>
                  </w:pPr>
                  <w:r>
                    <w:t xml:space="preserve">Positive cells</w:t>
                  </w:r>
                </w:p>
              </w:tc>
              <w:tc>
                <w:tcPr/>
                <w:p>
                  <w:pPr>
                    <w:pStyle w:val="Compact"/>
                    <w:jc w:val="right"/>
                    <w:jc w:val="center"/>
                  </w:pPr>
                  <w:r>
                    <w:t xml:space="preserve">Prevalence</w:t>
                  </w:r>
                </w:p>
              </w:tc>
              <w:tc>
                <w:tcPr/>
                <w:p>
                  <w:pPr>
                    <w:pStyle w:val="Compact"/>
                    <w:jc w:val="right"/>
                    <w:jc w:val="center"/>
                  </w:pPr>
                  <w:r>
                    <w:t xml:space="preserve">Positive cells</w:t>
                  </w:r>
                </w:p>
              </w:tc>
            </w:tr>
            <w:tr>
              <w:tc>
                <w:tcPr/>
                <w:p>
                  <w:pPr>
                    <w:pStyle w:val="Compact"/>
                    <w:jc w:val="left"/>
                    <w:jc w:val="center"/>
                  </w:pPr>
                  <w:r>
                    <w:t xml:space="preserve">Spatial smoother + covariates</w:t>
                  </w:r>
                </w:p>
              </w:tc>
              <w:tc>
                <w:tcPr/>
                <w:p>
                  <w:pPr>
                    <w:pStyle w:val="Compact"/>
                    <w:jc w:val="right"/>
                    <w:jc w:val="center"/>
                  </w:pPr>
                  <w:r>
                    <w:t xml:space="preserve">0.40</w:t>
                  </w:r>
                </w:p>
              </w:tc>
              <w:tc>
                <w:tcPr/>
                <w:p>
                  <w:pPr>
                    <w:pStyle w:val="Compact"/>
                    <w:jc w:val="right"/>
                    <w:jc w:val="center"/>
                  </w:pPr>
                  <w:r>
                    <w:t xml:space="preserve">17</w:t>
                  </w:r>
                </w:p>
              </w:tc>
              <w:tc>
                <w:tcPr/>
                <w:p>
                  <w:pPr>
                    <w:pStyle w:val="Compact"/>
                    <w:jc w:val="right"/>
                    <w:jc w:val="center"/>
                  </w:pPr>
                  <w:r>
                    <w:t xml:space="preserve">0.25</w:t>
                  </w:r>
                </w:p>
              </w:tc>
              <w:tc>
                <w:tcPr/>
                <w:p>
                  <w:pPr>
                    <w:pStyle w:val="Compact"/>
                    <w:jc w:val="right"/>
                    <w:jc w:val="center"/>
                  </w:pPr>
                  <w:r>
                    <w:t xml:space="preserve">16</w:t>
                  </w:r>
                </w:p>
              </w:tc>
            </w:tr>
            <w:tr>
              <w:tc>
                <w:tcPr/>
                <w:p>
                  <w:pPr>
                    <w:pStyle w:val="Compact"/>
                    <w:jc w:val="left"/>
                    <w:jc w:val="center"/>
                  </w:pPr>
                  <w:r>
                    <w:t xml:space="preserve">Zero-tuning domain index</w:t>
                  </w:r>
                </w:p>
              </w:tc>
              <w:tc>
                <w:tcPr/>
                <w:p>
                  <w:pPr>
                    <w:pStyle w:val="Compact"/>
                    <w:jc w:val="right"/>
                    <w:jc w:val="center"/>
                  </w:pPr>
                  <w:r>
                    <w:t xml:space="preserve">0.38</w:t>
                  </w:r>
                </w:p>
              </w:tc>
              <w:tc>
                <w:tcPr/>
                <w:p>
                  <w:pPr>
                    <w:pStyle w:val="Compact"/>
                    <w:jc w:val="right"/>
                    <w:jc w:val="center"/>
                  </w:pPr>
                  <w:r>
                    <w:t xml:space="preserve">16</w:t>
                  </w:r>
                </w:p>
              </w:tc>
              <w:tc>
                <w:tcPr/>
                <w:p>
                  <w:pPr>
                    <w:pStyle w:val="Compact"/>
                    <w:jc w:val="right"/>
                    <w:jc w:val="center"/>
                  </w:pPr>
                  <w:r>
                    <w:t xml:space="preserve">0.28</w:t>
                  </w:r>
                </w:p>
              </w:tc>
              <w:tc>
                <w:tcPr/>
                <w:p>
                  <w:pPr>
                    <w:pStyle w:val="Compact"/>
                    <w:jc w:val="right"/>
                    <w:jc w:val="center"/>
                  </w:pPr>
                  <w:r>
                    <w:t xml:space="preserve">15</w:t>
                  </w:r>
                </w:p>
              </w:tc>
            </w:tr>
            <w:tr>
              <w:tc>
                <w:tcPr/>
                <w:p>
                  <w:pPr>
                    <w:pStyle w:val="Compact"/>
                    <w:jc w:val="left"/>
                    <w:jc w:val="center"/>
                  </w:pPr>
                  <w:r>
                    <w:t xml:space="preserve">Spatial smoother only</w:t>
                  </w:r>
                </w:p>
              </w:tc>
              <w:tc>
                <w:tcPr/>
                <w:p>
                  <w:pPr>
                    <w:pStyle w:val="Compact"/>
                    <w:jc w:val="right"/>
                    <w:jc w:val="center"/>
                  </w:pPr>
                  <w:r>
                    <w:t xml:space="preserve">0.38</w:t>
                  </w:r>
                </w:p>
              </w:tc>
              <w:tc>
                <w:tcPr/>
                <w:p>
                  <w:pPr>
                    <w:pStyle w:val="Compact"/>
                    <w:jc w:val="right"/>
                    <w:jc w:val="center"/>
                  </w:pPr>
                  <w:r>
                    <w:t xml:space="preserve">17</w:t>
                  </w:r>
                </w:p>
              </w:tc>
              <w:tc>
                <w:tcPr/>
                <w:p>
                  <w:pPr>
                    <w:pStyle w:val="Compact"/>
                    <w:jc w:val="right"/>
                    <w:jc w:val="center"/>
                  </w:pPr>
                  <w:r>
                    <w:t xml:space="preserve">0.26</w:t>
                  </w:r>
                </w:p>
              </w:tc>
              <w:tc>
                <w:tcPr/>
                <w:p>
                  <w:pPr>
                    <w:pStyle w:val="Compact"/>
                    <w:jc w:val="right"/>
                    <w:jc w:val="center"/>
                  </w:pPr>
                  <w:r>
                    <w:t xml:space="preserve">16</w:t>
                  </w:r>
                </w:p>
              </w:tc>
            </w:tr>
            <w:tr>
              <w:tc>
                <w:tcPr/>
                <w:p>
                  <w:pPr>
                    <w:pStyle w:val="Compact"/>
                    <w:jc w:val="left"/>
                    <w:jc w:val="center"/>
                  </w:pPr>
                  <w:r>
                    <w:t xml:space="preserve">Elastic net on domain PCs</w:t>
                  </w:r>
                </w:p>
              </w:tc>
              <w:tc>
                <w:tcPr/>
                <w:p>
                  <w:pPr>
                    <w:pStyle w:val="Compact"/>
                    <w:jc w:val="right"/>
                    <w:jc w:val="center"/>
                  </w:pPr>
                  <w:r>
                    <w:t xml:space="preserve">0.27</w:t>
                  </w:r>
                </w:p>
              </w:tc>
              <w:tc>
                <w:tcPr/>
                <w:p>
                  <w:pPr>
                    <w:pStyle w:val="Compact"/>
                    <w:jc w:val="right"/>
                    <w:jc w:val="center"/>
                  </w:pPr>
                  <w:r>
                    <w:t xml:space="preserve">16</w:t>
                  </w:r>
                </w:p>
              </w:tc>
              <w:tc>
                <w:tcPr/>
                <w:p>
                  <w:pPr>
                    <w:pStyle w:val="Compact"/>
                    <w:jc w:val="right"/>
                    <w:jc w:val="center"/>
                  </w:pPr>
                  <w:r>
                    <w:t xml:space="preserve">0.06</w:t>
                  </w:r>
                </w:p>
              </w:tc>
              <w:tc>
                <w:tcPr/>
                <w:p>
                  <w:pPr>
                    <w:pStyle w:val="Compact"/>
                    <w:jc w:val="right"/>
                    <w:jc w:val="center"/>
                  </w:pPr>
                  <w:r>
                    <w:t xml:space="preserve">10</w:t>
                  </w:r>
                </w:p>
              </w:tc>
            </w:tr>
            <w:tr>
              <w:tc>
                <w:tcPr/>
                <w:p>
                  <w:pPr>
                    <w:pStyle w:val="Compact"/>
                    <w:jc w:val="left"/>
                    <w:jc w:val="center"/>
                  </w:pPr>
                  <w:r>
                    <w:t xml:space="preserve">Elastic net on all columns</w:t>
                  </w:r>
                </w:p>
              </w:tc>
              <w:tc>
                <w:tcPr/>
                <w:p>
                  <w:pPr>
                    <w:pStyle w:val="Compact"/>
                    <w:jc w:val="right"/>
                    <w:jc w:val="center"/>
                  </w:pPr>
                  <w:r>
                    <w:t xml:space="preserve">0.22</w:t>
                  </w:r>
                </w:p>
              </w:tc>
              <w:tc>
                <w:tcPr/>
                <w:p>
                  <w:pPr>
                    <w:pStyle w:val="Compact"/>
                    <w:jc w:val="right"/>
                    <w:jc w:val="center"/>
                  </w:pPr>
                  <w:r>
                    <w:t xml:space="preserve">15</w:t>
                  </w:r>
                </w:p>
              </w:tc>
              <w:tc>
                <w:tcPr/>
                <w:p>
                  <w:pPr>
                    <w:pStyle w:val="Compact"/>
                    <w:jc w:val="right"/>
                    <w:jc w:val="center"/>
                  </w:pPr>
                  <w:r>
                    <w:t xml:space="preserve">-0.07</w:t>
                  </w:r>
                </w:p>
              </w:tc>
              <w:tc>
                <w:tcPr/>
                <w:p>
                  <w:pPr>
                    <w:pStyle w:val="Compact"/>
                    <w:jc w:val="right"/>
                    <w:jc w:val="center"/>
                  </w:pPr>
                  <w:r>
                    <w:t xml:space="preserve">8</w:t>
                  </w:r>
                </w:p>
              </w:tc>
            </w:tr>
            <w:tr>
              <w:tc>
                <w:tcPr/>
                <w:p>
                  <w:pPr>
                    <w:pStyle w:val="Compact"/>
                    <w:jc w:val="left"/>
                    <w:jc w:val="center"/>
                  </w:pPr>
                  <w:r>
                    <w:t xml:space="preserve">Null: training mean</w:t>
                  </w:r>
                </w:p>
              </w:tc>
              <w:tc>
                <w:tcPr/>
                <w:p>
                  <w:pPr>
                    <w:pStyle w:val="Compact"/>
                    <w:jc w:val="right"/>
                    <w:jc w:val="center"/>
                  </w:pPr>
                  <w:r>
                    <w:t xml:space="preserve">-0.60</w:t>
                  </w:r>
                </w:p>
              </w:tc>
              <w:tc>
                <w:tcPr/>
                <w:p>
                  <w:pPr>
                    <w:pStyle w:val="Compact"/>
                    <w:jc w:val="right"/>
                    <w:jc w:val="center"/>
                  </w:pPr>
                  <w:r>
                    <w:t xml:space="preserve">0</w:t>
                  </w:r>
                </w:p>
              </w:tc>
              <w:tc>
                <w:tcPr/>
                <w:p>
                  <w:pPr>
                    <w:pStyle w:val="Compact"/>
                    <w:jc w:val="right"/>
                    <w:jc w:val="center"/>
                  </w:pPr>
                  <w:r>
                    <w:t xml:space="preserve">-0.55</w:t>
                  </w:r>
                </w:p>
              </w:tc>
              <w:tc>
                <w:tcPr/>
                <w:p>
                  <w:pPr>
                    <w:pStyle w:val="Compact"/>
                    <w:jc w:val="right"/>
                    <w:jc w:val="center"/>
                  </w:pPr>
                  <w:r>
                    <w:t xml:space="preserve">0</w:t>
                  </w:r>
                </w:p>
              </w:tc>
            </w:tr>
          </w:tbl>
          <w:bookmarkEnd w:id="32"/>
          <w:p/>
        </w:tc>
      </w:tr>
    </w:tbl>
    <w:bookmarkEnd w:id="33"/>
    <w:bookmarkStart w:id="36" w:name="X713e7b4fd71eaa3ac67a4dabfce73bc24482b66"/>
    <w:p>
      <w:pPr>
        <w:pStyle w:val="Heading2"/>
      </w:pPr>
      <w:r>
        <w:t xml:space="preserve">4.3 Transporting to a country never used in training</w:t>
      </w:r>
    </w:p>
    <w:p>
      <w:pPr>
        <w:pStyle w:val="FirstParagraph"/>
      </w:pPr>
      <w:r>
        <w:t xml:space="preserve">Rankings transport across borders; levels do not (</w:t>
      </w:r>
      <w:hyperlink w:anchor="tbl-transport">
        <w:r>
          <w:rPr>
            <w:rStyle w:val="Hyperlink"/>
          </w:rPr>
          <w:t xml:space="preserve">Table 5</w:t>
        </w:r>
      </w:hyperlink>
      <w:r>
        <w:t xml:space="preserve">). Under</w:t>
      </w:r>
      <w:r>
        <w:t xml:space="preserve"> </w:t>
      </w:r>
      <w:r>
        <w:t xml:space="preserve">leave-one-country-out the domain index ranks a held-out country’s districts</w:t>
      </w:r>
      <w:r>
        <w:t xml:space="preserve"> </w:t>
      </w:r>
      <w:r>
        <w:t xml:space="preserve">with a mean Spearman of</w:t>
      </w:r>
      <w:r>
        <w:t xml:space="preserve"> </w:t>
      </w:r>
      <w:r>
        <w:t xml:space="preserve">0.27</w:t>
      </w:r>
      <w:r>
        <w:t xml:space="preserve"> </w:t>
      </w:r>
      <w:r>
        <w:t xml:space="preserve">on the biomarker concentration over the 22 evaluable cells, positive in</w:t>
      </w:r>
      <w:r>
        <w:t xml:space="preserve"> </w:t>
      </w:r>
      <w:r>
        <w:t xml:space="preserve">17,</w:t>
      </w:r>
      <w:r>
        <w:t xml:space="preserve"> </w:t>
      </w:r>
      <w:r>
        <w:t xml:space="preserve">and its regions with</w:t>
      </w:r>
      <w:r>
        <w:t xml:space="preserve"> </w:t>
      </w:r>
      <w:r>
        <w:t xml:space="preserve">0.31;</w:t>
      </w:r>
      <w:r>
        <w:t xml:space="preserve"> </w:t>
      </w:r>
      <w:r>
        <w:t xml:space="preserve">the country-block permutation null’s 95th percentiles are</w:t>
      </w:r>
      <w:r>
        <w:t xml:space="preserve"> </w:t>
      </w:r>
      <w:r>
        <w:t xml:space="preserve">0.08 and 0.16.</w:t>
      </w:r>
      <w:r>
        <w:t xml:space="preserve"> </w:t>
      </w:r>
      <w:r>
        <w:t xml:space="preserve">An index built only from the climate and soil domains transports better at</w:t>
      </w:r>
      <w:r>
        <w:t xml:space="preserve"> </w:t>
      </w:r>
      <w:r>
        <w:t xml:space="preserve">both tiers, 0.37 at district level (positive in all 22) and 0.46 at the</w:t>
      </w:r>
      <w:r>
        <w:t xml:space="preserve"> </w:t>
      </w:r>
      <w:r>
        <w:t xml:space="preserve">regional tier (20 of 22). That two-domain index was chosen on the same four</w:t>
      </w:r>
      <w:r>
        <w:t xml:space="preserve"> </w:t>
      </w:r>
      <w:r>
        <w:t xml:space="preserve">countries it is scored on, which is why it enters the next country as a</w:t>
      </w:r>
      <w:r>
        <w:t xml:space="preserve"> </w:t>
      </w:r>
      <w:r>
        <w:t xml:space="preserve">pre-registered prediction rather than a result; honest nested selection of</w:t>
      </w:r>
      <w:r>
        <w:t xml:space="preserve"> </w:t>
      </w:r>
      <w:r>
        <w:t xml:space="preserve">domains inside the training fold recovers about 0.04 of its margin.</w:t>
      </w:r>
    </w:p>
    <w:tbl>
      <w:tblPr>
        <w:tblStyle w:val="Table"/>
        <w:tblW w:type="pct" w:w="5000"/>
        <w:tblLayout w:type="fixed"/>
        <w:tblLook w:firstRow="0" w:lastRow="0" w:firstColumn="0" w:lastColumn="0" w:noHBand="0" w:noVBand="0" w:val="0000"/>
      </w:tblPr>
      <w:tblGrid>
        <w:gridCol w:w="7920"/>
      </w:tblGrid>
      <w:tr>
        <w:tc>
          <w:tcPr/>
          <w:bookmarkStart w:id="34" w:name="tbl-transport"/>
          <w:p>
            <w:pPr>
              <w:jc w:val="center"/>
            </w:pPr>
            <w:pPr>
              <w:jc w:val="start"/>
              <w:spacing w:before="200"/>
              <w:pStyle w:val="ImageCaption"/>
            </w:pPr>
            <w:r>
              <w:t xml:space="preserve">Table 5: Country transport: mean Spearman in a country held entirely out of training, over 22 cells, at the district and at the first sub-national tier, for the full-vocabulary index and the pre-registered climate + soil index, with the 95th percentile of the country-block permutation null.</w:t>
            </w:r>
          </w:p>
          <w:tbl>
            <w:tblPr>
              <w:tblStyle w:val="Table"/>
              <w:tblW w:type="pct" w:w="5000"/>
              <w:tblLayout w:type="fixed"/>
              <w:tblLook w:firstRow="1" w:lastRow="0" w:firstColumn="0" w:lastColumn="0" w:noHBand="0" w:noVBand="0" w:val="0020"/>
            </w:tblPr>
            <w:tblGrid>
              <w:gridCol w:w="1157"/>
              <w:gridCol w:w="1096"/>
              <w:gridCol w:w="1401"/>
              <w:gridCol w:w="1340"/>
              <w:gridCol w:w="1644"/>
              <w:gridCol w:w="1279"/>
            </w:tblGrid>
            <w:tr>
              <w:trPr>
                <w:tblHeader w:val="on"/>
              </w:trPr>
              <w:tc>
                <w:tcPr/>
                <w:p>
                  <w:pPr>
                    <w:pStyle w:val="Compact"/>
                    <w:jc w:val="left"/>
                    <w:jc w:val="center"/>
                  </w:pPr>
                  <w:r>
                    <w:t xml:space="preserve">Tier</w:t>
                  </w:r>
                </w:p>
              </w:tc>
              <w:tc>
                <w:tcPr/>
                <w:p>
                  <w:pPr>
                    <w:pStyle w:val="Compact"/>
                    <w:jc w:val="right"/>
                    <w:jc w:val="center"/>
                  </w:pPr>
                  <w:r>
                    <w:t xml:space="preserve">Full index, level</w:t>
                  </w:r>
                </w:p>
              </w:tc>
              <w:tc>
                <w:tcPr/>
                <w:p>
                  <w:pPr>
                    <w:pStyle w:val="Compact"/>
                    <w:jc w:val="right"/>
                    <w:jc w:val="center"/>
                  </w:pPr>
                  <w:r>
                    <w:t xml:space="preserve">Full index, prevalence</w:t>
                  </w:r>
                </w:p>
              </w:tc>
              <w:tc>
                <w:tcPr/>
                <w:p>
                  <w:pPr>
                    <w:pStyle w:val="Compact"/>
                    <w:jc w:val="right"/>
                    <w:jc w:val="center"/>
                  </w:pPr>
                  <w:r>
                    <w:t xml:space="preserve">Climate + soil, level</w:t>
                  </w:r>
                </w:p>
              </w:tc>
              <w:tc>
                <w:tcPr/>
                <w:p>
                  <w:pPr>
                    <w:pStyle w:val="Compact"/>
                    <w:jc w:val="right"/>
                    <w:jc w:val="center"/>
                  </w:pPr>
                  <w:r>
                    <w:t xml:space="preserve">Climate + soil, prevalence</w:t>
                  </w:r>
                </w:p>
              </w:tc>
              <w:tc>
                <w:tcPr/>
                <w:p>
                  <w:pPr>
                    <w:pStyle w:val="Compact"/>
                    <w:jc w:val="right"/>
                    <w:jc w:val="center"/>
                  </w:pPr>
                  <w:r>
                    <w:t xml:space="preserve">Null 95th percentile</w:t>
                  </w:r>
                </w:p>
              </w:tc>
            </w:tr>
            <w:tr>
              <w:tc>
                <w:tcPr/>
                <w:p>
                  <w:pPr>
                    <w:pStyle w:val="Compact"/>
                    <w:jc w:val="left"/>
                    <w:jc w:val="center"/>
                  </w:pPr>
                  <w:r>
                    <w:t xml:space="preserve">District (Admin-2)</w:t>
                  </w:r>
                </w:p>
              </w:tc>
              <w:tc>
                <w:tcPr/>
                <w:p>
                  <w:pPr>
                    <w:pStyle w:val="Compact"/>
                    <w:jc w:val="right"/>
                    <w:jc w:val="center"/>
                  </w:pPr>
                  <w:r>
                    <w:t xml:space="preserve">0.27</w:t>
                  </w:r>
                </w:p>
              </w:tc>
              <w:tc>
                <w:tcPr/>
                <w:p>
                  <w:pPr>
                    <w:pStyle w:val="Compact"/>
                    <w:jc w:val="right"/>
                    <w:jc w:val="center"/>
                  </w:pPr>
                  <w:r>
                    <w:t xml:space="preserve">0.18</w:t>
                  </w:r>
                </w:p>
              </w:tc>
              <w:tc>
                <w:tcPr/>
                <w:p>
                  <w:pPr>
                    <w:pStyle w:val="Compact"/>
                    <w:jc w:val="right"/>
                    <w:jc w:val="center"/>
                  </w:pPr>
                  <w:r>
                    <w:t xml:space="preserve">0.37</w:t>
                  </w:r>
                </w:p>
              </w:tc>
              <w:tc>
                <w:tcPr/>
                <w:p>
                  <w:pPr>
                    <w:pStyle w:val="Compact"/>
                    <w:jc w:val="right"/>
                    <w:jc w:val="center"/>
                  </w:pPr>
                  <w:r>
                    <w:t xml:space="preserve">0.27</w:t>
                  </w:r>
                </w:p>
              </w:tc>
              <w:tc>
                <w:tcPr/>
                <w:p>
                  <w:pPr>
                    <w:pStyle w:val="Compact"/>
                    <w:jc w:val="right"/>
                    <w:jc w:val="center"/>
                  </w:pPr>
                  <w:r>
                    <w:t xml:space="preserve">0.08</w:t>
                  </w:r>
                </w:p>
              </w:tc>
            </w:tr>
            <w:tr>
              <w:tc>
                <w:tcPr/>
                <w:p>
                  <w:pPr>
                    <w:pStyle w:val="Compact"/>
                    <w:jc w:val="left"/>
                    <w:jc w:val="center"/>
                  </w:pPr>
                  <w:r>
                    <w:t xml:space="preserve">Regional (Admin-1)</w:t>
                  </w:r>
                </w:p>
              </w:tc>
              <w:tc>
                <w:tcPr/>
                <w:p>
                  <w:pPr>
                    <w:pStyle w:val="Compact"/>
                    <w:jc w:val="right"/>
                    <w:jc w:val="center"/>
                  </w:pPr>
                  <w:r>
                    <w:t xml:space="preserve">0.31</w:t>
                  </w:r>
                </w:p>
              </w:tc>
              <w:tc>
                <w:tcPr/>
                <w:p>
                  <w:pPr>
                    <w:pStyle w:val="Compact"/>
                    <w:jc w:val="right"/>
                    <w:jc w:val="center"/>
                  </w:pPr>
                  <w:r>
                    <w:t xml:space="preserve">0.32</w:t>
                  </w:r>
                </w:p>
              </w:tc>
              <w:tc>
                <w:tcPr/>
                <w:p>
                  <w:pPr>
                    <w:pStyle w:val="Compact"/>
                    <w:jc w:val="right"/>
                    <w:jc w:val="center"/>
                  </w:pPr>
                  <w:r>
                    <w:t xml:space="preserve">0.46</w:t>
                  </w:r>
                </w:p>
              </w:tc>
              <w:tc>
                <w:tcPr/>
                <w:p>
                  <w:pPr>
                    <w:pStyle w:val="Compact"/>
                    <w:jc w:val="right"/>
                    <w:jc w:val="center"/>
                  </w:pPr>
                  <w:r>
                    <w:t xml:space="preserve">0.38</w:t>
                  </w:r>
                </w:p>
              </w:tc>
              <w:tc>
                <w:tcPr/>
                <w:p>
                  <w:pPr>
                    <w:pStyle w:val="Compact"/>
                    <w:jc w:val="right"/>
                    <w:jc w:val="center"/>
                  </w:pPr>
                  <w:r>
                    <w:t xml:space="preserve">0.16</w:t>
                  </w:r>
                </w:p>
              </w:tc>
            </w:tr>
          </w:tbl>
          <w:bookmarkEnd w:id="34"/>
          <w:p/>
        </w:tc>
      </w:tr>
    </w:tbl>
    <w:p>
      <w:pPr>
        <w:pStyle w:val="BodyText"/>
      </w:pPr>
      <w:r>
        <w:t xml:space="preserve">Absolute prevalence does not transport: biomarker levels differ between</w:t>
      </w:r>
      <w:r>
        <w:t xml:space="preserve"> </w:t>
      </w:r>
      <w:r>
        <w:t xml:space="preserve">surveys by more than any covariate can explain (raw ferritin differs six-fold</w:t>
      </w:r>
      <w:r>
        <w:t xml:space="preserve"> </w:t>
      </w:r>
      <w:r>
        <w:t xml:space="preserve">across the four), so a transported map is a ranking. Which layers carry the</w:t>
      </w:r>
      <w:r>
        <w:t xml:space="preserve"> </w:t>
      </w:r>
      <w:r>
        <w:t xml:space="preserve">ranking is shown by ablation (</w:t>
      </w:r>
      <w:hyperlink w:anchor="tbl-ablation">
        <w:r>
          <w:rPr>
            <w:rStyle w:val="Hyperlink"/>
          </w:rPr>
          <w:t xml:space="preserve">Table 6</w:t>
        </w:r>
      </w:hyperlink>
      <w:r>
        <w:t xml:space="preserve">): dropping each domain in turn and</w:t>
      </w:r>
      <w:r>
        <w:t xml:space="preserve"> </w:t>
      </w:r>
      <w:r>
        <w:t xml:space="preserve">rebuilding the components, soil, climate, agriculture and livestock density</w:t>
      </w:r>
      <w:r>
        <w:t xml:space="preserve"> </w:t>
      </w:r>
      <w:r>
        <w:t xml:space="preserve">are the only domains whose removal costs transport; removing the 138 survey</w:t>
      </w:r>
      <w:r>
        <w:t xml:space="preserve"> </w:t>
      </w:r>
      <w:r>
        <w:t xml:space="preserve">indicator columns improves it. Adding training countries helps at about 0.05</w:t>
      </w:r>
      <w:r>
        <w:t xml:space="preserve"> </w:t>
      </w:r>
      <w:r>
        <w:t xml:space="preserve">per country on the concentration target, so the panel is not saturated in</w:t>
      </w:r>
      <w:r>
        <w:t xml:space="preserve"> </w:t>
      </w:r>
      <w:r>
        <w:t xml:space="preserve">countries even if it is saturated in layers.</w:t>
      </w:r>
    </w:p>
    <w:tbl>
      <w:tblPr>
        <w:tblStyle w:val="Table"/>
        <w:tblW w:type="pct" w:w="5000"/>
        <w:tblLayout w:type="fixed"/>
        <w:tblLook w:firstRow="0" w:lastRow="0" w:firstColumn="0" w:lastColumn="0" w:noHBand="0" w:noVBand="0" w:val="0000"/>
      </w:tblPr>
      <w:tblGrid>
        <w:gridCol w:w="7920"/>
      </w:tblGrid>
      <w:tr>
        <w:tc>
          <w:tcPr/>
          <w:bookmarkStart w:id="35" w:name="tbl-ablation"/>
          <w:p>
            <w:pPr>
              <w:jc w:val="center"/>
            </w:pPr>
            <w:pPr>
              <w:jc w:val="start"/>
              <w:spacing w:before="200"/>
              <w:pStyle w:val="ImageCaption"/>
            </w:pPr>
            <w:r>
              <w:t xml:space="preserve">Table 6: Which domains carry transport: change in mean district-level Spearman (biomarker level, 22 cells) when each domain is dropped from the vocabulary and the components rebuilt, and the transport of the domain on its own. Positive</w:t>
            </w:r>
            <w:r>
              <w:t xml:space="preserve"> </w:t>
            </w:r>
            <w:r>
              <w:t xml:space="preserve">‘cost of dropping’</w:t>
            </w:r>
            <w:r>
              <w:t xml:space="preserve"> </w:t>
            </w:r>
            <w:r>
              <w:t xml:space="preserve">means the domain is load-bearing.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Domain</w:t>
                  </w:r>
                </w:p>
              </w:tc>
              <w:tc>
                <w:tcPr/>
                <w:p>
                  <w:pPr>
                    <w:pStyle w:val="Compact"/>
                    <w:jc w:val="right"/>
                    <w:jc w:val="center"/>
                  </w:pPr>
                  <w:r>
                    <w:t xml:space="preserve">Cost of dropping</w:t>
                  </w:r>
                </w:p>
              </w:tc>
              <w:tc>
                <w:tcPr/>
                <w:p>
                  <w:pPr>
                    <w:pStyle w:val="Compact"/>
                    <w:jc w:val="right"/>
                    <w:jc w:val="center"/>
                  </w:pPr>
                  <w:r>
                    <w:t xml:space="preserve">Alone</w:t>
                  </w:r>
                </w:p>
              </w:tc>
            </w:tr>
            <w:tr>
              <w:tc>
                <w:tcPr/>
                <w:p>
                  <w:pPr>
                    <w:pStyle w:val="Compact"/>
                    <w:jc w:val="left"/>
                    <w:jc w:val="center"/>
                  </w:pPr>
                  <w:r>
                    <w:t xml:space="preserve">Soil characteristics</w:t>
                  </w:r>
                </w:p>
              </w:tc>
              <w:tc>
                <w:tcPr/>
                <w:p>
                  <w:pPr>
                    <w:pStyle w:val="Compact"/>
                    <w:jc w:val="right"/>
                    <w:jc w:val="center"/>
                  </w:pPr>
                  <w:r>
                    <w:t xml:space="preserve">0.025</w:t>
                  </w:r>
                </w:p>
              </w:tc>
              <w:tc>
                <w:tcPr/>
                <w:p>
                  <w:pPr>
                    <w:pStyle w:val="Compact"/>
                    <w:jc w:val="right"/>
                    <w:jc w:val="center"/>
                  </w:pPr>
                  <w:r>
                    <w:t xml:space="preserve">0.328</w:t>
                  </w:r>
                </w:p>
              </w:tc>
            </w:tr>
            <w:tr>
              <w:tc>
                <w:tcPr/>
                <w:p>
                  <w:pPr>
                    <w:pStyle w:val="Compact"/>
                    <w:jc w:val="left"/>
                    <w:jc w:val="center"/>
                  </w:pPr>
                  <w:r>
                    <w:t xml:space="preserve">Climate and weather</w:t>
                  </w:r>
                </w:p>
              </w:tc>
              <w:tc>
                <w:tcPr/>
                <w:p>
                  <w:pPr>
                    <w:pStyle w:val="Compact"/>
                    <w:jc w:val="right"/>
                    <w:jc w:val="center"/>
                  </w:pPr>
                  <w:r>
                    <w:t xml:space="preserve">0.014</w:t>
                  </w:r>
                </w:p>
              </w:tc>
              <w:tc>
                <w:tcPr/>
                <w:p>
                  <w:pPr>
                    <w:pStyle w:val="Compact"/>
                    <w:jc w:val="right"/>
                    <w:jc w:val="center"/>
                  </w:pPr>
                  <w:r>
                    <w:t xml:space="preserve">0.354</w:t>
                  </w:r>
                </w:p>
              </w:tc>
            </w:tr>
            <w:tr>
              <w:tc>
                <w:tcPr/>
                <w:p>
                  <w:pPr>
                    <w:pStyle w:val="Compact"/>
                    <w:jc w:val="left"/>
                    <w:jc w:val="center"/>
                  </w:pPr>
                  <w:r>
                    <w:t xml:space="preserve">Agricultural production, land use</w:t>
                  </w:r>
                </w:p>
              </w:tc>
              <w:tc>
                <w:tcPr/>
                <w:p>
                  <w:pPr>
                    <w:pStyle w:val="Compact"/>
                    <w:jc w:val="right"/>
                    <w:jc w:val="center"/>
                  </w:pPr>
                  <w:r>
                    <w:t xml:space="preserve">0.012</w:t>
                  </w:r>
                </w:p>
              </w:tc>
              <w:tc>
                <w:tcPr/>
                <w:p>
                  <w:pPr>
                    <w:pStyle w:val="Compact"/>
                    <w:jc w:val="right"/>
                    <w:jc w:val="center"/>
                  </w:pPr>
                  <w:r>
                    <w:t xml:space="preserve">0.291</w:t>
                  </w:r>
                </w:p>
              </w:tc>
            </w:tr>
            <w:tr>
              <w:tc>
                <w:tcPr/>
                <w:p>
                  <w:pPr>
                    <w:pStyle w:val="Compact"/>
                    <w:jc w:val="left"/>
                    <w:jc w:val="center"/>
                  </w:pPr>
                  <w:r>
                    <w:t xml:space="preserve">Livestock density</w:t>
                  </w:r>
                </w:p>
              </w:tc>
              <w:tc>
                <w:tcPr/>
                <w:p>
                  <w:pPr>
                    <w:pStyle w:val="Compact"/>
                    <w:jc w:val="right"/>
                    <w:jc w:val="center"/>
                  </w:pPr>
                  <w:r>
                    <w:t xml:space="preserve">0.009</w:t>
                  </w:r>
                </w:p>
              </w:tc>
              <w:tc>
                <w:tcPr/>
                <w:p>
                  <w:pPr>
                    <w:pStyle w:val="Compact"/>
                    <w:jc w:val="right"/>
                    <w:jc w:val="center"/>
                  </w:pPr>
                  <w:r>
                    <w:t xml:space="preserve">0.238</w:t>
                  </w:r>
                </w:p>
              </w:tc>
            </w:tr>
            <w:tr>
              <w:tc>
                <w:tcPr/>
                <w:p>
                  <w:pPr>
                    <w:pStyle w:val="Compact"/>
                    <w:jc w:val="left"/>
                    <w:jc w:val="center"/>
                  </w:pPr>
                  <w:r>
                    <w:t xml:space="preserve">Malaria incidence and treatment</w:t>
                  </w:r>
                </w:p>
              </w:tc>
              <w:tc>
                <w:tcPr/>
                <w:p>
                  <w:pPr>
                    <w:pStyle w:val="Compact"/>
                    <w:jc w:val="right"/>
                    <w:jc w:val="center"/>
                  </w:pPr>
                  <w:r>
                    <w:t xml:space="preserve">0.007</w:t>
                  </w:r>
                </w:p>
              </w:tc>
              <w:tc>
                <w:tcPr/>
                <w:p>
                  <w:pPr>
                    <w:pStyle w:val="Compact"/>
                    <w:jc w:val="right"/>
                    <w:jc w:val="center"/>
                  </w:pPr>
                  <w:r>
                    <w:t xml:space="preserve">0.139</w:t>
                  </w:r>
                </w:p>
              </w:tc>
            </w:tr>
            <w:tr>
              <w:tc>
                <w:tcPr/>
                <w:p>
                  <w:pPr>
                    <w:pStyle w:val="Compact"/>
                    <w:jc w:val="left"/>
                    <w:jc w:val="center"/>
                  </w:pPr>
                  <w:r>
                    <w:t xml:space="preserve">Helminth burden and control</w:t>
                  </w:r>
                </w:p>
              </w:tc>
              <w:tc>
                <w:tcPr/>
                <w:p>
                  <w:pPr>
                    <w:pStyle w:val="Compact"/>
                    <w:jc w:val="right"/>
                    <w:jc w:val="center"/>
                  </w:pPr>
                  <w:r>
                    <w:t xml:space="preserve">0.005</w:t>
                  </w:r>
                </w:p>
              </w:tc>
              <w:tc>
                <w:tcPr/>
                <w:p>
                  <w:pPr>
                    <w:pStyle w:val="Compact"/>
                    <w:jc w:val="right"/>
                    <w:jc w:val="center"/>
                  </w:pPr>
                  <w:r>
                    <w:t xml:space="preserve">-0.072</w:t>
                  </w:r>
                </w:p>
              </w:tc>
            </w:tr>
            <w:tr>
              <w:tc>
                <w:tcPr/>
                <w:p>
                  <w:pPr>
                    <w:pStyle w:val="Compact"/>
                    <w:jc w:val="left"/>
                    <w:jc w:val="center"/>
                  </w:pPr>
                  <w:r>
                    <w:t xml:space="preserve">Nutrition status (MODELLED SURFACE)</w:t>
                  </w:r>
                </w:p>
              </w:tc>
              <w:tc>
                <w:tcPr/>
                <w:p>
                  <w:pPr>
                    <w:pStyle w:val="Compact"/>
                    <w:jc w:val="right"/>
                    <w:jc w:val="center"/>
                  </w:pPr>
                  <w:r>
                    <w:t xml:space="preserve">0.005</w:t>
                  </w:r>
                </w:p>
              </w:tc>
              <w:tc>
                <w:tcPr/>
                <w:p>
                  <w:pPr>
                    <w:pStyle w:val="Compact"/>
                    <w:jc w:val="right"/>
                    <w:jc w:val="center"/>
                  </w:pPr>
                  <w:r>
                    <w:t xml:space="preserve">0.219</w:t>
                  </w:r>
                </w:p>
              </w:tc>
            </w:tr>
            <w:tr>
              <w:tc>
                <w:tcPr/>
                <w:p>
                  <w:pPr>
                    <w:pStyle w:val="Compact"/>
                    <w:jc w:val="left"/>
                    <w:jc w:val="center"/>
                  </w:pPr>
                  <w:r>
                    <w:t xml:space="preserve">Dietary diversity</w:t>
                  </w:r>
                </w:p>
              </w:tc>
              <w:tc>
                <w:tcPr/>
                <w:p>
                  <w:pPr>
                    <w:pStyle w:val="Compact"/>
                    <w:jc w:val="right"/>
                    <w:jc w:val="center"/>
                  </w:pPr>
                  <w:r>
                    <w:t xml:space="preserve">0.004</w:t>
                  </w:r>
                </w:p>
              </w:tc>
              <w:tc>
                <w:tcPr/>
                <w:p>
                  <w:pPr>
                    <w:pStyle w:val="Compact"/>
                    <w:jc w:val="right"/>
                    <w:jc w:val="center"/>
                  </w:pPr>
                  <w:r>
                    <w:t xml:space="preserve">0.043</w:t>
                  </w:r>
                </w:p>
              </w:tc>
            </w:tr>
            <w:tr>
              <w:tc>
                <w:tcPr/>
                <w:p>
                  <w:pPr>
                    <w:pStyle w:val="Compact"/>
                    <w:jc w:val="left"/>
                    <w:jc w:val="center"/>
                  </w:pPr>
                  <w:r>
                    <w:t xml:space="preserve">Malaria</w:t>
                  </w:r>
                </w:p>
              </w:tc>
              <w:tc>
                <w:tcPr/>
                <w:p>
                  <w:pPr>
                    <w:pStyle w:val="Compact"/>
                    <w:jc w:val="right"/>
                    <w:jc w:val="center"/>
                  </w:pPr>
                  <w:r>
                    <w:t xml:space="preserve">0.002</w:t>
                  </w:r>
                </w:p>
              </w:tc>
              <w:tc>
                <w:tcPr/>
                <w:p>
                  <w:pPr>
                    <w:pStyle w:val="Compact"/>
                    <w:jc w:val="right"/>
                    <w:jc w:val="center"/>
                  </w:pPr>
                  <w:r>
                    <w:t xml:space="preserve">0.014</w:t>
                  </w:r>
                </w:p>
              </w:tc>
            </w:tr>
            <w:tr>
              <w:tc>
                <w:tcPr/>
                <w:p>
                  <w:pPr>
                    <w:pStyle w:val="Compact"/>
                    <w:jc w:val="left"/>
                    <w:jc w:val="center"/>
                  </w:pPr>
                  <w:r>
                    <w:t xml:space="preserve">Education, employment, SES</w:t>
                  </w:r>
                </w:p>
              </w:tc>
              <w:tc>
                <w:tcPr/>
                <w:p>
                  <w:pPr>
                    <w:pStyle w:val="Compact"/>
                    <w:jc w:val="right"/>
                    <w:jc w:val="center"/>
                  </w:pPr>
                  <w:r>
                    <w:t xml:space="preserve">0.000</w:t>
                  </w:r>
                </w:p>
              </w:tc>
              <w:tc>
                <w:tcPr/>
                <w:p>
                  <w:pPr>
                    <w:pStyle w:val="Compact"/>
                    <w:jc w:val="right"/>
                    <w:jc w:val="center"/>
                  </w:pPr>
                  <w:r>
                    <w:t xml:space="preserve">0.180</w:t>
                  </w:r>
                </w:p>
              </w:tc>
            </w:tr>
          </w:tbl>
          <w:bookmarkEnd w:id="35"/>
          <w:p/>
        </w:tc>
      </w:tr>
    </w:tbl>
    <w:p>
      <w:pPr>
        <w:pStyle w:val="BodyText"/>
      </w:pPr>
      <w:r>
        <w:t xml:space="preserve">The transported ranking is not an urban–rural map. Partialling a composite of</w:t>
      </w:r>
      <w:r>
        <w:t xml:space="preserve"> </w:t>
      </w:r>
      <w:r>
        <w:t xml:space="preserve">night lights, population density, built surface and travel time out of the</w:t>
      </w:r>
      <w:r>
        <w:t xml:space="preserve"> </w:t>
      </w:r>
      <w:r>
        <w:t xml:space="preserve">climate-and-soil index moves its transport by less than 0.02, and urbanicity</w:t>
      </w:r>
      <w:r>
        <w:t xml:space="preserve"> </w:t>
      </w:r>
      <w:r>
        <w:t xml:space="preserve">alone does not transport.</w:t>
      </w:r>
    </w:p>
    <w:bookmarkEnd w:id="36"/>
    <w:bookmarkStart w:id="39" w:name="what-the-ranking-buys-a-programme"/>
    <w:p>
      <w:pPr>
        <w:pStyle w:val="Heading2"/>
      </w:pPr>
      <w:r>
        <w:t xml:space="preserve">4.4 What the ranking buys a programme</w:t>
      </w:r>
    </w:p>
    <w:p>
      <w:pPr>
        <w:pStyle w:val="FirstParagraph"/>
      </w:pPr>
      <w:r>
        <w:t xml:space="preserve">Used for targeting, the ranking reaches more deficiency burden than the</w:t>
      </w:r>
      <w:r>
        <w:t xml:space="preserve"> </w:t>
      </w:r>
      <w:r>
        <w:t xml:space="preserve">survey’s own averages (</w:t>
      </w:r>
      <w:hyperlink w:anchor="tbl-burden">
        <w:r>
          <w:rPr>
            <w:rStyle w:val="Hyperlink"/>
          </w:rPr>
          <w:t xml:space="preserve">Table 7</w:t>
        </w:r>
      </w:hyperlink>
      <w:r>
        <w:t xml:space="preserve">). Directing effort to the fifth of</w:t>
      </w:r>
      <w:r>
        <w:t xml:space="preserve"> </w:t>
      </w:r>
      <w:r>
        <w:t xml:space="preserve">districts the model ranks worst reaches</w:t>
      </w:r>
      <w:r>
        <w:t xml:space="preserve"> </w:t>
      </w:r>
      <w:r>
        <w:t xml:space="preserve">24%</w:t>
      </w:r>
      <w:r>
        <w:t xml:space="preserve"> </w:t>
      </w:r>
      <w:r>
        <w:t xml:space="preserve">of national deficiency burden in-fill, against</w:t>
      </w:r>
      <w:r>
        <w:t xml:space="preserve"> </w:t>
      </w:r>
      <w:r>
        <w:t xml:space="preserve">19%</w:t>
      </w:r>
      <w:r>
        <w:t xml:space="preserve"> </w:t>
      </w:r>
      <w:r>
        <w:t xml:space="preserve">for jackknifed regional survey averages, which are themselves no better than</w:t>
      </w:r>
      <w:r>
        <w:t xml:space="preserve"> </w:t>
      </w:r>
      <w:r>
        <w:t xml:space="preserve">random selection, and 47% for an oracle that knows the true worst fifth. The</w:t>
      </w:r>
      <w:r>
        <w:t xml:space="preserve"> </w:t>
      </w:r>
      <w:r>
        <w:t xml:space="preserve">margin is modest per cell and concentrates where regions hold several</w:t>
      </w:r>
      <w:r>
        <w:t xml:space="preserve"> </w:t>
      </w:r>
      <w:r>
        <w:t xml:space="preserve">districts; in Malawi the selected districts carry 43% child iron deficiency</w:t>
      </w:r>
      <w:r>
        <w:t xml:space="preserve"> </w:t>
      </w:r>
      <w:r>
        <w:t xml:space="preserve">against 26% nationally and hold half the national burden. Under transport the</w:t>
      </w:r>
      <w:r>
        <w:t xml:space="preserve"> </w:t>
      </w:r>
      <w:r>
        <w:t xml:space="preserve">burden margin disappears (lift 1.0), so the transport result is about ordering</w:t>
      </w:r>
      <w:r>
        <w:t xml:space="preserve"> </w:t>
      </w:r>
      <w:r>
        <w:t xml:space="preserve">and should not be restated as a targeting gain.</w:t>
      </w:r>
    </w:p>
    <w:tbl>
      <w:tblPr>
        <w:tblStyle w:val="Table"/>
        <w:tblW w:type="pct" w:w="5000"/>
        <w:tblLayout w:type="fixed"/>
        <w:tblLook w:firstRow="0" w:lastRow="0" w:firstColumn="0" w:lastColumn="0" w:noHBand="0" w:noVBand="0" w:val="0000"/>
      </w:tblPr>
      <w:tblGrid>
        <w:gridCol w:w="7920"/>
      </w:tblGrid>
      <w:tr>
        <w:tc>
          <w:tcPr/>
          <w:bookmarkStart w:id="37" w:name="tbl-burden"/>
          <w:p>
            <w:pPr>
              <w:jc w:val="center"/>
            </w:pPr>
            <w:pPr>
              <w:jc w:val="start"/>
              <w:spacing w:before="200"/>
              <w:pStyle w:val="ImageCaption"/>
            </w:pPr>
            <w:r>
              <w:t xml:space="preserve">Table 7: Burden captured by the worst-ranked fifth of districts, in-fill, mean over 24 cells: share of national deficiency burden reached, lift over random selection, and cells with lift above one.</w:t>
            </w:r>
          </w:p>
          <w:tbl>
            <w:tblPr>
              <w:tblStyle w:val="Table"/>
              <w:tblW w:type="pct" w:w="5000"/>
              <w:tblLayout w:type="fixed"/>
              <w:tblLook w:firstRow="1" w:lastRow="0" w:firstColumn="0" w:lastColumn="0" w:noHBand="0" w:noVBand="0" w:val="0020"/>
            </w:tblPr>
            <w:tblGrid>
              <w:gridCol w:w="3148"/>
              <w:gridCol w:w="1431"/>
              <w:gridCol w:w="1431"/>
              <w:gridCol w:w="1908"/>
            </w:tblGrid>
            <w:tr>
              <w:trPr>
                <w:tblHeader w:val="on"/>
              </w:trPr>
              <w:tc>
                <w:tcPr/>
                <w:p>
                  <w:pPr>
                    <w:pStyle w:val="Compact"/>
                    <w:jc w:val="left"/>
                    <w:jc w:val="center"/>
                  </w:pPr>
                  <w:r>
                    <w:t xml:space="preserve">Model</w:t>
                  </w:r>
                </w:p>
              </w:tc>
              <w:tc>
                <w:tcPr/>
                <w:p>
                  <w:pPr>
                    <w:pStyle w:val="Compact"/>
                    <w:jc w:val="right"/>
                    <w:jc w:val="center"/>
                  </w:pPr>
                  <w:r>
                    <w:t xml:space="preserve">Burden reached</w:t>
                  </w:r>
                </w:p>
              </w:tc>
              <w:tc>
                <w:tcPr/>
                <w:p>
                  <w:pPr>
                    <w:pStyle w:val="Compact"/>
                    <w:jc w:val="right"/>
                    <w:jc w:val="center"/>
                  </w:pPr>
                  <w:r>
                    <w:t xml:space="preserve">Lift vs random</w:t>
                  </w:r>
                </w:p>
              </w:tc>
              <w:tc>
                <w:tcPr/>
                <w:p>
                  <w:pPr>
                    <w:pStyle w:val="Compact"/>
                    <w:jc w:val="right"/>
                    <w:jc w:val="center"/>
                  </w:pPr>
                  <w:r>
                    <w:t xml:space="preserve">Cells with lift &gt; 1</w:t>
                  </w:r>
                </w:p>
              </w:tc>
            </w:tr>
            <w:tr>
              <w:tc>
                <w:tcPr/>
                <w:p>
                  <w:pPr>
                    <w:pStyle w:val="Compact"/>
                    <w:jc w:val="left"/>
                    <w:jc w:val="center"/>
                  </w:pPr>
                  <w:r>
                    <w:t xml:space="preserve">Oracle: true worst fifth</w:t>
                  </w:r>
                </w:p>
              </w:tc>
              <w:tc>
                <w:tcPr/>
                <w:p>
                  <w:pPr>
                    <w:pStyle w:val="Compact"/>
                    <w:jc w:val="right"/>
                    <w:jc w:val="center"/>
                  </w:pPr>
                  <w:r>
                    <w:t xml:space="preserve">0.47</w:t>
                  </w:r>
                </w:p>
              </w:tc>
              <w:tc>
                <w:tcPr/>
                <w:p>
                  <w:pPr>
                    <w:pStyle w:val="Compact"/>
                    <w:jc w:val="right"/>
                    <w:jc w:val="center"/>
                  </w:pPr>
                  <w:r>
                    <w:t xml:space="preserve">2.37</w:t>
                  </w:r>
                </w:p>
              </w:tc>
              <w:tc>
                <w:tcPr/>
                <w:p>
                  <w:pPr>
                    <w:pStyle w:val="Compact"/>
                    <w:jc w:val="right"/>
                    <w:jc w:val="center"/>
                  </w:pPr>
                  <w:r>
                    <w:t xml:space="preserve">21</w:t>
                  </w:r>
                </w:p>
              </w:tc>
            </w:tr>
            <w:tr>
              <w:tc>
                <w:tcPr/>
                <w:p>
                  <w:pPr>
                    <w:pStyle w:val="Compact"/>
                    <w:jc w:val="left"/>
                    <w:jc w:val="center"/>
                  </w:pPr>
                  <w:r>
                    <w:t xml:space="preserve">Zero-tuning domain index</w:t>
                  </w:r>
                </w:p>
              </w:tc>
              <w:tc>
                <w:tcPr/>
                <w:p>
                  <w:pPr>
                    <w:pStyle w:val="Compact"/>
                    <w:jc w:val="right"/>
                    <w:jc w:val="center"/>
                  </w:pPr>
                  <w:r>
                    <w:t xml:space="preserve">0.24</w:t>
                  </w:r>
                </w:p>
              </w:tc>
              <w:tc>
                <w:tcPr/>
                <w:p>
                  <w:pPr>
                    <w:pStyle w:val="Compact"/>
                    <w:jc w:val="right"/>
                    <w:jc w:val="center"/>
                  </w:pPr>
                  <w:r>
                    <w:t xml:space="preserve">1.23</w:t>
                  </w:r>
                </w:p>
              </w:tc>
              <w:tc>
                <w:tcPr/>
                <w:p>
                  <w:pPr>
                    <w:pStyle w:val="Compact"/>
                    <w:jc w:val="right"/>
                    <w:jc w:val="center"/>
                  </w:pPr>
                  <w:r>
                    <w:t xml:space="preserve">12</w:t>
                  </w:r>
                </w:p>
              </w:tc>
            </w:tr>
            <w:tr>
              <w:tc>
                <w:tcPr/>
                <w:p>
                  <w:pPr>
                    <w:pStyle w:val="Compact"/>
                    <w:jc w:val="left"/>
                    <w:jc w:val="center"/>
                  </w:pPr>
                  <w:r>
                    <w:t xml:space="preserve">Spatial smoother only</w:t>
                  </w:r>
                </w:p>
              </w:tc>
              <w:tc>
                <w:tcPr/>
                <w:p>
                  <w:pPr>
                    <w:pStyle w:val="Compact"/>
                    <w:jc w:val="right"/>
                    <w:jc w:val="center"/>
                  </w:pPr>
                  <w:r>
                    <w:t xml:space="preserve">0.23</w:t>
                  </w:r>
                </w:p>
              </w:tc>
              <w:tc>
                <w:tcPr/>
                <w:p>
                  <w:pPr>
                    <w:pStyle w:val="Compact"/>
                    <w:jc w:val="right"/>
                    <w:jc w:val="center"/>
                  </w:pPr>
                  <w:r>
                    <w:t xml:space="preserve">1.15</w:t>
                  </w:r>
                </w:p>
              </w:tc>
              <w:tc>
                <w:tcPr/>
                <w:p>
                  <w:pPr>
                    <w:pStyle w:val="Compact"/>
                    <w:jc w:val="right"/>
                    <w:jc w:val="center"/>
                  </w:pPr>
                  <w:r>
                    <w:t xml:space="preserve">10</w:t>
                  </w:r>
                </w:p>
              </w:tc>
            </w:tr>
            <w:tr>
              <w:tc>
                <w:tcPr/>
                <w:p>
                  <w:pPr>
                    <w:pStyle w:val="Compact"/>
                    <w:jc w:val="left"/>
                    <w:jc w:val="center"/>
                  </w:pPr>
                  <w:r>
                    <w:t xml:space="preserve">Spatial smoother + covariates</w:t>
                  </w:r>
                </w:p>
              </w:tc>
              <w:tc>
                <w:tcPr/>
                <w:p>
                  <w:pPr>
                    <w:pStyle w:val="Compact"/>
                    <w:jc w:val="right"/>
                    <w:jc w:val="center"/>
                  </w:pPr>
                  <w:r>
                    <w:t xml:space="preserve">0.22</w:t>
                  </w:r>
                </w:p>
              </w:tc>
              <w:tc>
                <w:tcPr/>
                <w:p>
                  <w:pPr>
                    <w:pStyle w:val="Compact"/>
                    <w:jc w:val="right"/>
                    <w:jc w:val="center"/>
                  </w:pPr>
                  <w:r>
                    <w:t xml:space="preserve">1.12</w:t>
                  </w:r>
                </w:p>
              </w:tc>
              <w:tc>
                <w:tcPr/>
                <w:p>
                  <w:pPr>
                    <w:pStyle w:val="Compact"/>
                    <w:jc w:val="right"/>
                    <w:jc w:val="center"/>
                  </w:pPr>
                  <w:r>
                    <w:t xml:space="preserve">9</w:t>
                  </w:r>
                </w:p>
              </w:tc>
            </w:tr>
            <w:tr>
              <w:tc>
                <w:tcPr/>
                <w:p>
                  <w:pPr>
                    <w:pStyle w:val="Compact"/>
                    <w:jc w:val="left"/>
                    <w:jc w:val="center"/>
                  </w:pPr>
                  <w:r>
                    <w:t xml:space="preserve">Survey: jackknifed regional mean</w:t>
                  </w:r>
                </w:p>
              </w:tc>
              <w:tc>
                <w:tcPr/>
                <w:p>
                  <w:pPr>
                    <w:pStyle w:val="Compact"/>
                    <w:jc w:val="right"/>
                    <w:jc w:val="center"/>
                  </w:pPr>
                  <w:r>
                    <w:t xml:space="preserve">0.19</w:t>
                  </w:r>
                </w:p>
              </w:tc>
              <w:tc>
                <w:tcPr/>
                <w:p>
                  <w:pPr>
                    <w:pStyle w:val="Compact"/>
                    <w:jc w:val="right"/>
                    <w:jc w:val="center"/>
                  </w:pPr>
                  <w:r>
                    <w:t xml:space="preserve">0.95</w:t>
                  </w:r>
                </w:p>
              </w:tc>
              <w:tc>
                <w:tcPr/>
                <w:p>
                  <w:pPr>
                    <w:pStyle w:val="Compact"/>
                    <w:jc w:val="right"/>
                    <w:jc w:val="center"/>
                  </w:pPr>
                  <w:r>
                    <w:t xml:space="preserve">7</w:t>
                  </w:r>
                </w:p>
              </w:tc>
            </w:tr>
            <w:tr>
              <w:tc>
                <w:tcPr/>
                <w:p>
                  <w:pPr>
                    <w:pStyle w:val="Compact"/>
                    <w:jc w:val="left"/>
                    <w:jc w:val="center"/>
                  </w:pPr>
                  <w:r>
                    <w:t xml:space="preserve">Null: training mean</w:t>
                  </w:r>
                </w:p>
              </w:tc>
              <w:tc>
                <w:tcPr/>
                <w:p>
                  <w:pPr>
                    <w:pStyle w:val="Compact"/>
                    <w:jc w:val="right"/>
                    <w:jc w:val="center"/>
                  </w:pPr>
                  <w:r>
                    <w:t xml:space="preserve">0.15</w:t>
                  </w:r>
                </w:p>
              </w:tc>
              <w:tc>
                <w:tcPr/>
                <w:p>
                  <w:pPr>
                    <w:pStyle w:val="Compact"/>
                    <w:jc w:val="right"/>
                    <w:jc w:val="center"/>
                  </w:pPr>
                  <w:r>
                    <w:t xml:space="preserve">0.74</w:t>
                  </w:r>
                </w:p>
              </w:tc>
              <w:tc>
                <w:tcPr/>
                <w:p>
                  <w:pPr>
                    <w:pStyle w:val="Compact"/>
                    <w:jc w:val="right"/>
                    <w:jc w:val="center"/>
                  </w:pPr>
                  <w:r>
                    <w:t xml:space="preserve">1</w:t>
                  </w:r>
                </w:p>
              </w:tc>
            </w:tr>
          </w:tbl>
          <w:bookmarkEnd w:id="37"/>
          <w:p/>
        </w:tc>
      </w:tr>
    </w:tbl>
    <w:p>
      <w:pPr>
        <w:pStyle w:val="BodyText"/>
      </w:pPr>
      <w:r>
        <w:t xml:space="preserve">Classified into the WHO public-health bands for vitamin A (none, mild,</w:t>
      </w:r>
      <w:r>
        <w:t xml:space="preserve"> </w:t>
      </w:r>
      <w:r>
        <w:t xml:space="preserve">moderate, severe), the in-fill predictions place a district in the correct</w:t>
      </w:r>
      <w:r>
        <w:t xml:space="preserve"> </w:t>
      </w:r>
      <w:r>
        <w:t xml:space="preserve">band 52% of the time and within one band 90% of the time; a transported</w:t>
      </w:r>
      <w:r>
        <w:t xml:space="preserve"> </w:t>
      </w:r>
      <w:r>
        <w:t xml:space="preserve">ranking anchored to the country’s national prevalence does as well (50% and</w:t>
      </w:r>
      <w:r>
        <w:t xml:space="preserve"> </w:t>
      </w:r>
      <w:r>
        <w:t xml:space="preserve">87%).</w:t>
      </w:r>
    </w:p>
    <w:p>
      <w:pPr>
        <w:pStyle w:val="BodyText"/>
      </w:pPr>
      <w:r>
        <w:t xml:space="preserve">A national estimate is enough to put levels on the ranking (</w:t>
      </w:r>
      <w:hyperlink w:anchor="tbl-anchor">
        <w:r>
          <w:rPr>
            <w:rStyle w:val="Hyperlink"/>
          </w:rPr>
          <w:t xml:space="preserve">Table 8</w:t>
        </w:r>
      </w:hyperlink>
      <w:r>
        <w:t xml:space="preserve">).</w:t>
      </w:r>
      <w:r>
        <w:t xml:space="preserve"> </w:t>
      </w:r>
      <w:r>
        <w:t xml:space="preserve">A survey design that measures only a national prevalence from five percent of</w:t>
      </w:r>
      <w:r>
        <w:t xml:space="preserve"> </w:t>
      </w:r>
      <w:r>
        <w:t xml:space="preserve">a full survey’s sample (fifty to seventy respondents) and lets the transported</w:t>
      </w:r>
      <w:r>
        <w:t xml:space="preserve"> </w:t>
      </w:r>
      <w:r>
        <w:t xml:space="preserve">covariates order the districts gives a district-level error of about 10</w:t>
      </w:r>
      <w:r>
        <w:t xml:space="preserve"> </w:t>
      </w:r>
      <w:r>
        <w:t xml:space="preserve">percentage points, against 20 for a district survey of the same size and 12</w:t>
      </w:r>
      <w:r>
        <w:t xml:space="preserve"> </w:t>
      </w:r>
      <w:r>
        <w:t xml:space="preserve">for a regional one; the district survey needs about 40% of the full sample,</w:t>
      </w:r>
      <w:r>
        <w:t xml:space="preserve"> </w:t>
      </w:r>
      <w:r>
        <w:t xml:space="preserve">roughly 400 respondents, before it does better on level error. It loses on</w:t>
      </w:r>
      <w:r>
        <w:t xml:space="preserve"> </w:t>
      </w:r>
      <w:r>
        <w:t xml:space="preserve">burden captured at every sample size, because burden concentrates in populous</w:t>
      </w:r>
      <w:r>
        <w:t xml:space="preserve"> </w:t>
      </w:r>
      <w:r>
        <w:t xml:space="preserve">districts that a survey measures precisely, so the design is a level</w:t>
      </w:r>
      <w:r>
        <w:t xml:space="preserve"> </w:t>
      </w:r>
      <w:r>
        <w:t xml:space="preserve">calibration for a ranking, not a substitute for a survey.</w:t>
      </w:r>
    </w:p>
    <w:tbl>
      <w:tblPr>
        <w:tblStyle w:val="Table"/>
        <w:tblW w:type="pct" w:w="5000"/>
        <w:tblLayout w:type="fixed"/>
        <w:tblLook w:firstRow="0" w:lastRow="0" w:firstColumn="0" w:lastColumn="0" w:noHBand="0" w:noVBand="0" w:val="0000"/>
      </w:tblPr>
      <w:tblGrid>
        <w:gridCol w:w="7920"/>
      </w:tblGrid>
      <w:tr>
        <w:tc>
          <w:tcPr/>
          <w:bookmarkStart w:id="38" w:name="tbl-anchor"/>
          <w:p>
            <w:pPr>
              <w:jc w:val="center"/>
            </w:pPr>
            <w:pPr>
              <w:jc w:val="start"/>
              <w:spacing w:before="200"/>
              <w:pStyle w:val="ImageCaption"/>
            </w:pPr>
            <w:r>
              <w:t xml:space="preserve">Table 8: Survey design: median district error in percentage points over 22 cells, by share of the full survey sample. National anchor + ranking measures only a national prevalence and orders districts by the transported climate + soil index; the district and regional surveys spend the same sample on direct estimates.</w:t>
            </w:r>
          </w:p>
          <w:tbl>
            <w:tblPr>
              <w:tblStyle w:val="Table"/>
              <w:tblW w:type="pct" w:w="5000"/>
              <w:tblLayout w:type="fixed"/>
              <w:tblLook w:firstRow="1" w:lastRow="0" w:firstColumn="0" w:lastColumn="0" w:noHBand="0" w:noVBand="0" w:val="0020"/>
            </w:tblPr>
            <w:tblGrid>
              <w:gridCol w:w="1569"/>
              <w:gridCol w:w="1942"/>
              <w:gridCol w:w="2017"/>
              <w:gridCol w:w="1195"/>
              <w:gridCol w:w="1195"/>
            </w:tblGrid>
            <w:tr>
              <w:trPr>
                <w:tblHeader w:val="on"/>
              </w:trPr>
              <w:tc>
                <w:tcPr/>
                <w:p>
                  <w:pPr>
                    <w:pStyle w:val="Compact"/>
                    <w:jc w:val="left"/>
                    <w:jc w:val="center"/>
                  </w:pPr>
                  <w:r>
                    <w:t xml:space="preserve">Share of full sample</w:t>
                  </w:r>
                </w:p>
              </w:tc>
              <w:tc>
                <w:tcPr/>
                <w:p>
                  <w:pPr>
                    <w:pStyle w:val="Compact"/>
                    <w:jc w:val="right"/>
                    <w:jc w:val="center"/>
                  </w:pPr>
                  <w:r>
                    <w:t xml:space="preserve">National anchor + ranking</w:t>
                  </w:r>
                </w:p>
              </w:tc>
              <w:tc>
                <w:tcPr/>
                <w:p>
                  <w:pPr>
                    <w:pStyle w:val="Compact"/>
                    <w:jc w:val="right"/>
                    <w:jc w:val="center"/>
                  </w:pPr>
                  <w:r>
                    <w:t xml:space="preserve">Regional anchors + ranking</w:t>
                  </w:r>
                </w:p>
              </w:tc>
              <w:tc>
                <w:tcPr/>
                <w:p>
                  <w:pPr>
                    <w:pStyle w:val="Compact"/>
                    <w:jc w:val="right"/>
                    <w:jc w:val="center"/>
                  </w:pPr>
                  <w:r>
                    <w:t xml:space="preserve">District survey</w:t>
                  </w:r>
                </w:p>
              </w:tc>
              <w:tc>
                <w:tcPr/>
                <w:p>
                  <w:pPr>
                    <w:pStyle w:val="Compact"/>
                    <w:jc w:val="right"/>
                    <w:jc w:val="center"/>
                  </w:pPr>
                  <w:r>
                    <w:t xml:space="preserve">Regional survey</w:t>
                  </w:r>
                </w:p>
              </w:tc>
            </w:tr>
            <w:tr>
              <w:tc>
                <w:tcPr/>
                <w:p>
                  <w:pPr>
                    <w:pStyle w:val="Compact"/>
                    <w:jc w:val="left"/>
                    <w:jc w:val="center"/>
                  </w:pPr>
                  <w:r>
                    <w:t xml:space="preserve">5%</w:t>
                  </w:r>
                </w:p>
              </w:tc>
              <w:tc>
                <w:tcPr/>
                <w:p>
                  <w:pPr>
                    <w:pStyle w:val="Compact"/>
                    <w:jc w:val="right"/>
                    <w:jc w:val="center"/>
                  </w:pPr>
                  <w:r>
                    <w:t xml:space="preserve">10.5</w:t>
                  </w:r>
                </w:p>
              </w:tc>
              <w:tc>
                <w:tcPr/>
                <w:p>
                  <w:pPr>
                    <w:pStyle w:val="Compact"/>
                    <w:jc w:val="right"/>
                    <w:jc w:val="center"/>
                  </w:pPr>
                  <w:r>
                    <w:t xml:space="preserve">12.1</w:t>
                  </w:r>
                </w:p>
              </w:tc>
              <w:tc>
                <w:tcPr/>
                <w:p>
                  <w:pPr>
                    <w:pStyle w:val="Compact"/>
                    <w:jc w:val="right"/>
                    <w:jc w:val="center"/>
                  </w:pPr>
                  <w:r>
                    <w:t xml:space="preserve">18.8</w:t>
                  </w:r>
                </w:p>
              </w:tc>
              <w:tc>
                <w:tcPr/>
                <w:p>
                  <w:pPr>
                    <w:pStyle w:val="Compact"/>
                    <w:jc w:val="right"/>
                    <w:jc w:val="center"/>
                  </w:pPr>
                  <w:r>
                    <w:t xml:space="preserve">11.8</w:t>
                  </w:r>
                </w:p>
              </w:tc>
            </w:tr>
            <w:tr>
              <w:tc>
                <w:tcPr/>
                <w:p>
                  <w:pPr>
                    <w:pStyle w:val="Compact"/>
                    <w:jc w:val="left"/>
                    <w:jc w:val="center"/>
                  </w:pPr>
                  <w:r>
                    <w:t xml:space="preserve">15%</w:t>
                  </w:r>
                </w:p>
              </w:tc>
              <w:tc>
                <w:tcPr/>
                <w:p>
                  <w:pPr>
                    <w:pStyle w:val="Compact"/>
                    <w:jc w:val="right"/>
                    <w:jc w:val="center"/>
                  </w:pPr>
                  <w:r>
                    <w:t xml:space="preserve">9.3</w:t>
                  </w:r>
                </w:p>
              </w:tc>
              <w:tc>
                <w:tcPr/>
                <w:p>
                  <w:pPr>
                    <w:pStyle w:val="Compact"/>
                    <w:jc w:val="right"/>
                    <w:jc w:val="center"/>
                  </w:pPr>
                  <w:r>
                    <w:t xml:space="preserve">9.4</w:t>
                  </w:r>
                </w:p>
              </w:tc>
              <w:tc>
                <w:tcPr/>
                <w:p>
                  <w:pPr>
                    <w:pStyle w:val="Compact"/>
                    <w:jc w:val="right"/>
                    <w:jc w:val="center"/>
                  </w:pPr>
                  <w:r>
                    <w:t xml:space="preserve">13.0</w:t>
                  </w:r>
                </w:p>
              </w:tc>
              <w:tc>
                <w:tcPr/>
                <w:p>
                  <w:pPr>
                    <w:pStyle w:val="Compact"/>
                    <w:jc w:val="right"/>
                    <w:jc w:val="center"/>
                  </w:pPr>
                  <w:r>
                    <w:t xml:space="preserve">9.2</w:t>
                  </w:r>
                </w:p>
              </w:tc>
            </w:tr>
            <w:tr>
              <w:tc>
                <w:tcPr/>
                <w:p>
                  <w:pPr>
                    <w:pStyle w:val="Compact"/>
                    <w:jc w:val="left"/>
                    <w:jc w:val="center"/>
                  </w:pPr>
                  <w:r>
                    <w:t xml:space="preserve">25%</w:t>
                  </w:r>
                </w:p>
              </w:tc>
              <w:tc>
                <w:tcPr/>
                <w:p>
                  <w:pPr>
                    <w:pStyle w:val="Compact"/>
                    <w:jc w:val="right"/>
                    <w:jc w:val="center"/>
                  </w:pPr>
                  <w:r>
                    <w:t xml:space="preserve">9.2</w:t>
                  </w:r>
                </w:p>
              </w:tc>
              <w:tc>
                <w:tcPr/>
                <w:p>
                  <w:pPr>
                    <w:pStyle w:val="Compact"/>
                    <w:jc w:val="right"/>
                    <w:jc w:val="center"/>
                  </w:pPr>
                  <w:r>
                    <w:t xml:space="preserve">8.4</w:t>
                  </w:r>
                </w:p>
              </w:tc>
              <w:tc>
                <w:tcPr/>
                <w:p>
                  <w:pPr>
                    <w:pStyle w:val="Compact"/>
                    <w:jc w:val="right"/>
                    <w:jc w:val="center"/>
                  </w:pPr>
                  <w:r>
                    <w:t xml:space="preserve">10.1</w:t>
                  </w:r>
                </w:p>
              </w:tc>
              <w:tc>
                <w:tcPr/>
                <w:p>
                  <w:pPr>
                    <w:pStyle w:val="Compact"/>
                    <w:jc w:val="right"/>
                    <w:jc w:val="center"/>
                  </w:pPr>
                  <w:r>
                    <w:t xml:space="preserve">7.8</w:t>
                  </w:r>
                </w:p>
              </w:tc>
            </w:tr>
            <w:tr>
              <w:tc>
                <w:tcPr/>
                <w:p>
                  <w:pPr>
                    <w:pStyle w:val="Compact"/>
                    <w:jc w:val="left"/>
                    <w:jc w:val="center"/>
                  </w:pPr>
                  <w:r>
                    <w:t xml:space="preserve">40%</w:t>
                  </w:r>
                </w:p>
              </w:tc>
              <w:tc>
                <w:tcPr/>
                <w:p>
                  <w:pPr>
                    <w:pStyle w:val="Compact"/>
                    <w:jc w:val="right"/>
                    <w:jc w:val="center"/>
                  </w:pPr>
                  <w:r>
                    <w:t xml:space="preserve">8.7</w:t>
                  </w:r>
                </w:p>
              </w:tc>
              <w:tc>
                <w:tcPr/>
                <w:p>
                  <w:pPr>
                    <w:pStyle w:val="Compact"/>
                    <w:jc w:val="right"/>
                    <w:jc w:val="center"/>
                  </w:pPr>
                  <w:r>
                    <w:t xml:space="preserve">7.6</w:t>
                  </w:r>
                </w:p>
              </w:tc>
              <w:tc>
                <w:tcPr/>
                <w:p>
                  <w:pPr>
                    <w:pStyle w:val="Compact"/>
                    <w:jc w:val="right"/>
                    <w:jc w:val="center"/>
                  </w:pPr>
                  <w:r>
                    <w:t xml:space="preserve">7.6</w:t>
                  </w:r>
                </w:p>
              </w:tc>
              <w:tc>
                <w:tcPr/>
                <w:p>
                  <w:pPr>
                    <w:pStyle w:val="Compact"/>
                    <w:jc w:val="right"/>
                    <w:jc w:val="center"/>
                  </w:pPr>
                  <w:r>
                    <w:t xml:space="preserve">7.1</w:t>
                  </w:r>
                </w:p>
              </w:tc>
            </w:tr>
            <w:tr>
              <w:tc>
                <w:tcPr/>
                <w:p>
                  <w:pPr>
                    <w:pStyle w:val="Compact"/>
                    <w:jc w:val="left"/>
                    <w:jc w:val="center"/>
                  </w:pPr>
                  <w:r>
                    <w:t xml:space="preserve">60%</w:t>
                  </w:r>
                </w:p>
              </w:tc>
              <w:tc>
                <w:tcPr/>
                <w:p>
                  <w:pPr>
                    <w:pStyle w:val="Compact"/>
                    <w:jc w:val="right"/>
                    <w:jc w:val="center"/>
                  </w:pPr>
                  <w:r>
                    <w:t xml:space="preserve">8.6</w:t>
                  </w:r>
                </w:p>
              </w:tc>
              <w:tc>
                <w:tcPr/>
                <w:p>
                  <w:pPr>
                    <w:pStyle w:val="Compact"/>
                    <w:jc w:val="right"/>
                    <w:jc w:val="center"/>
                  </w:pPr>
                  <w:r>
                    <w:t xml:space="preserve">7.2</w:t>
                  </w:r>
                </w:p>
              </w:tc>
              <w:tc>
                <w:tcPr/>
                <w:p>
                  <w:pPr>
                    <w:pStyle w:val="Compact"/>
                    <w:jc w:val="right"/>
                    <w:jc w:val="center"/>
                  </w:pPr>
                  <w:r>
                    <w:t xml:space="preserve">5.2</w:t>
                  </w:r>
                </w:p>
              </w:tc>
              <w:tc>
                <w:tcPr/>
                <w:p>
                  <w:pPr>
                    <w:pStyle w:val="Compact"/>
                    <w:jc w:val="right"/>
                    <w:jc w:val="center"/>
                  </w:pPr>
                  <w:r>
                    <w:t xml:space="preserve">6.4</w:t>
                  </w:r>
                </w:p>
              </w:tc>
            </w:tr>
          </w:tbl>
          <w:bookmarkEnd w:id="38"/>
          <w:p/>
        </w:tc>
      </w:tr>
    </w:tbl>
    <w:bookmarkEnd w:id="39"/>
    <w:bookmarkStart w:id="41" w:name="sec-ceiling"/>
    <w:p>
      <w:pPr>
        <w:pStyle w:val="Heading2"/>
      </w:pPr>
      <w:r>
        <w:t xml:space="preserve">4.5 How much is attainable: the reliability ceiling</w:t>
      </w:r>
    </w:p>
    <w:p>
      <w:pPr>
        <w:pStyle w:val="FirstParagraph"/>
      </w:pPr>
      <w:r>
        <w:t xml:space="preserve">A district estimate built from a dozen respondents is noisy, and no model can</w:t>
      </w:r>
      <w:r>
        <w:t xml:space="preserve"> </w:t>
      </w:r>
      <w:r>
        <w:t xml:space="preserve">correlate with the true district value better than the survey estimate does.</w:t>
      </w:r>
      <w:r>
        <w:t xml:space="preserve"> </w:t>
      </w:r>
      <w:r>
        <w:t xml:space="preserve">A split-half ceiling, which correlates two random halves of each district’s</w:t>
      </w:r>
      <w:r>
        <w:t xml:space="preserve"> </w:t>
      </w:r>
      <w:r>
        <w:t xml:space="preserve">respondents, counts the survey cluster as geography: respondents in one</w:t>
      </w:r>
      <w:r>
        <w:t xml:space="preserve"> </w:t>
      </w:r>
      <w:r>
        <w:t xml:space="preserve">cluster resemble each other whether or not their district differs from the</w:t>
      </w:r>
      <w:r>
        <w:t xml:space="preserve"> </w:t>
      </w:r>
      <w:r>
        <w:t xml:space="preserve">next. A respondent-in-cluster-in-district-in-region variance model reproduces</w:t>
      </w:r>
      <w:r>
        <w:t xml:space="preserve"> </w:t>
      </w:r>
      <w:r>
        <w:t xml:space="preserve">the split-half ceiling when the cluster is included and removes it when it is</w:t>
      </w:r>
      <w:r>
        <w:t xml:space="preserve"> </w:t>
      </w:r>
      <w:r>
        <w:t xml:space="preserve">not (</w:t>
      </w:r>
      <w:hyperlink w:anchor="tbl-ceiling">
        <w:r>
          <w:rPr>
            <w:rStyle w:val="Hyperlink"/>
          </w:rPr>
          <w:t xml:space="preserve">Table 9</w:t>
        </w:r>
      </w:hyperlink>
      <w:r>
        <w:t xml:space="preserve">). One fifth of the split-half ceiling is cluster effect; the</w:t>
      </w:r>
      <w:r>
        <w:t xml:space="preserve"> </w:t>
      </w:r>
      <w:r>
        <w:t xml:space="preserve">honest ceiling averages 0.44 on prevalence, six of 24 cells have a ceiling</w:t>
      </w:r>
      <w:r>
        <w:t xml:space="preserve"> </w:t>
      </w:r>
      <w:r>
        <w:t xml:space="preserve">below 0.30, and the model already reaches the ceiling in three cells. Child</w:t>
      </w:r>
      <w:r>
        <w:t xml:space="preserve"> </w:t>
      </w:r>
      <w:r>
        <w:t xml:space="preserve">zinc has no district geography at all: its between-district variance is zero,</w:t>
      </w:r>
      <w:r>
        <w:t xml:space="preserve"> </w:t>
      </w:r>
      <w:r>
        <w:t xml:space="preserve">and what a split-half estimator called geography was the cluster. The earlier</w:t>
      </w:r>
      <w:r>
        <w:t xml:space="preserve"> </w:t>
      </w:r>
      <w:r>
        <w:t xml:space="preserve">analytic ceiling, which assumed a design effect of 1.5, was biased low by</w:t>
      </w:r>
      <w:r>
        <w:t xml:space="preserve"> </w:t>
      </w:r>
      <w:r>
        <w:t xml:space="preserve">about 4.7 and is withdrawn (Section 5).</w:t>
      </w:r>
    </w:p>
    <w:tbl>
      <w:tblPr>
        <w:tblStyle w:val="Table"/>
        <w:tblW w:type="pct" w:w="5000"/>
        <w:tblLayout w:type="fixed"/>
        <w:tblLook w:firstRow="0" w:lastRow="0" w:firstColumn="0" w:lastColumn="0" w:noHBand="0" w:noVBand="0" w:val="0000"/>
      </w:tblPr>
      <w:tblGrid>
        <w:gridCol w:w="7920"/>
      </w:tblGrid>
      <w:tr>
        <w:tc>
          <w:tcPr/>
          <w:bookmarkStart w:id="40" w:name="tbl-ceiling"/>
          <w:p>
            <w:pPr>
              <w:jc w:val="center"/>
            </w:pPr>
            <w:pPr>
              <w:jc w:val="start"/>
              <w:spacing w:before="200"/>
              <w:pStyle w:val="ImageCaption"/>
            </w:pPr>
            <w:r>
              <w:t xml:space="preserve">Table 9: Reliability ceiling on prevalence by country, district tier: share of districts with a single survey cluster, the split-half ceiling, the variance-components ceiling with the cluster effect removed, and the in-fill correlation achieved by the domain index.</w:t>
            </w:r>
          </w:p>
          <w:tbl>
            <w:tblPr>
              <w:tblStyle w:val="Table"/>
              <w:tblW w:type="pct" w:w="5000"/>
              <w:tblLayout w:type="fixed"/>
              <w:tblLook w:firstRow="1" w:lastRow="0" w:firstColumn="0" w:lastColumn="0" w:noHBand="0" w:noVBand="0" w:val="0020"/>
            </w:tblPr>
            <w:tblGrid>
              <w:gridCol w:w="979"/>
              <w:gridCol w:w="2041"/>
              <w:gridCol w:w="1551"/>
              <w:gridCol w:w="1224"/>
              <w:gridCol w:w="2122"/>
            </w:tblGrid>
            <w:tr>
              <w:trPr>
                <w:tblHeader w:val="on"/>
              </w:trPr>
              <w:tc>
                <w:tcPr/>
                <w:p>
                  <w:pPr>
                    <w:pStyle w:val="Compact"/>
                    <w:jc w:val="left"/>
                    <w:jc w:val="center"/>
                  </w:pPr>
                  <w:r>
                    <w:t xml:space="preserve">Country</w:t>
                  </w:r>
                </w:p>
              </w:tc>
              <w:tc>
                <w:tcPr/>
                <w:p>
                  <w:pPr>
                    <w:pStyle w:val="Compact"/>
                    <w:jc w:val="left"/>
                    <w:jc w:val="center"/>
                  </w:pPr>
                  <w:r>
                    <w:t xml:space="preserve">Single-cluster districts</w:t>
                  </w:r>
                </w:p>
              </w:tc>
              <w:tc>
                <w:tcPr/>
                <w:p>
                  <w:pPr>
                    <w:pStyle w:val="Compact"/>
                    <w:jc w:val="right"/>
                    <w:jc w:val="center"/>
                  </w:pPr>
                  <w:r>
                    <w:t xml:space="preserve">Split-half ceiling</w:t>
                  </w:r>
                </w:p>
              </w:tc>
              <w:tc>
                <w:tcPr/>
                <w:p>
                  <w:pPr>
                    <w:pStyle w:val="Compact"/>
                    <w:jc w:val="right"/>
                    <w:jc w:val="center"/>
                  </w:pPr>
                  <w:r>
                    <w:t xml:space="preserve">Honest ceiling</w:t>
                  </w:r>
                </w:p>
              </w:tc>
              <w:tc>
                <w:tcPr/>
                <w:p>
                  <w:pPr>
                    <w:pStyle w:val="Compact"/>
                    <w:jc w:val="left"/>
                    <w:jc w:val="center"/>
                  </w:pPr>
                  <w:r>
                    <w:t xml:space="preserve">Achieved, in-fill</w:t>
                  </w:r>
                </w:p>
              </w:tc>
            </w:tr>
            <w:tr>
              <w:tc>
                <w:tcPr/>
                <w:p>
                  <w:pPr>
                    <w:pStyle w:val="Compact"/>
                    <w:jc w:val="left"/>
                    <w:jc w:val="center"/>
                  </w:pPr>
                  <w:r>
                    <w:t xml:space="preserve">Gambia</w:t>
                  </w:r>
                </w:p>
              </w:tc>
              <w:tc>
                <w:tcPr/>
                <w:p>
                  <w:pPr>
                    <w:pStyle w:val="Compact"/>
                    <w:jc w:val="left"/>
                    <w:jc w:val="center"/>
                  </w:pPr>
                  <w:r>
                    <w:t xml:space="preserve">57%</w:t>
                  </w:r>
                </w:p>
              </w:tc>
              <w:tc>
                <w:tcPr/>
                <w:p>
                  <w:pPr>
                    <w:pStyle w:val="Compact"/>
                    <w:jc w:val="right"/>
                    <w:jc w:val="center"/>
                  </w:pPr>
                  <w:r>
                    <w:t xml:space="preserve">0.76</w:t>
                  </w:r>
                </w:p>
              </w:tc>
              <w:tc>
                <w:tcPr/>
                <w:p>
                  <w:pPr>
                    <w:pStyle w:val="Compact"/>
                    <w:jc w:val="right"/>
                    <w:jc w:val="center"/>
                  </w:pPr>
                  <w:r>
                    <w:t xml:space="preserve">0.70</w:t>
                  </w:r>
                </w:p>
              </w:tc>
              <w:tc>
                <w:tcPr/>
                <w:p>
                  <w:pPr>
                    <w:pStyle w:val="Compact"/>
                    <w:jc w:val="left"/>
                    <w:jc w:val="center"/>
                  </w:pPr>
                  <w:r>
                    <w:t xml:space="preserve">0.58</w:t>
                  </w:r>
                </w:p>
              </w:tc>
            </w:tr>
            <w:tr>
              <w:tc>
                <w:tcPr/>
                <w:p>
                  <w:pPr>
                    <w:pStyle w:val="Compact"/>
                    <w:jc w:val="left"/>
                    <w:jc w:val="center"/>
                  </w:pPr>
                  <w:r>
                    <w:t xml:space="preserve">Ghana</w:t>
                  </w:r>
                </w:p>
              </w:tc>
              <w:tc>
                <w:tcPr/>
                <w:p>
                  <w:pPr>
                    <w:pStyle w:val="Compact"/>
                    <w:jc w:val="left"/>
                    <w:jc w:val="center"/>
                  </w:pPr>
                  <w:r>
                    <w:t xml:space="preserve">83%</w:t>
                  </w:r>
                </w:p>
              </w:tc>
              <w:tc>
                <w:tcPr/>
                <w:p>
                  <w:pPr>
                    <w:pStyle w:val="Compact"/>
                    <w:jc w:val="right"/>
                    <w:jc w:val="center"/>
                  </w:pPr>
                  <w:r>
                    <w:t xml:space="preserve">0.58</w:t>
                  </w:r>
                </w:p>
              </w:tc>
              <w:tc>
                <w:tcPr/>
                <w:p>
                  <w:pPr>
                    <w:pStyle w:val="Compact"/>
                    <w:jc w:val="right"/>
                    <w:jc w:val="center"/>
                  </w:pPr>
                  <w:r>
                    <w:t xml:space="preserve">0.54</w:t>
                  </w:r>
                </w:p>
              </w:tc>
              <w:tc>
                <w:tcPr/>
                <w:p>
                  <w:pPr>
                    <w:pStyle w:val="Compact"/>
                    <w:jc w:val="left"/>
                    <w:jc w:val="center"/>
                  </w:pPr>
                  <w:r>
                    <w:t xml:space="preserve">0.31</w:t>
                  </w:r>
                </w:p>
              </w:tc>
            </w:tr>
            <w:tr>
              <w:tc>
                <w:tcPr/>
                <w:p>
                  <w:pPr>
                    <w:pStyle w:val="Compact"/>
                    <w:jc w:val="left"/>
                    <w:jc w:val="center"/>
                  </w:pPr>
                  <w:r>
                    <w:t xml:space="preserve">Malawi</w:t>
                  </w:r>
                </w:p>
              </w:tc>
              <w:tc>
                <w:tcPr/>
                <w:p>
                  <w:pPr>
                    <w:pStyle w:val="Compact"/>
                    <w:jc w:val="left"/>
                    <w:jc w:val="center"/>
                  </w:pPr>
                  <w:r>
                    <w:t xml:space="preserve">85%</w:t>
                  </w:r>
                </w:p>
              </w:tc>
              <w:tc>
                <w:tcPr/>
                <w:p>
                  <w:pPr>
                    <w:pStyle w:val="Compact"/>
                    <w:jc w:val="right"/>
                    <w:jc w:val="center"/>
                  </w:pPr>
                  <w:r>
                    <w:t xml:space="preserve">0.54</w:t>
                  </w:r>
                </w:p>
              </w:tc>
              <w:tc>
                <w:tcPr/>
                <w:p>
                  <w:pPr>
                    <w:pStyle w:val="Compact"/>
                    <w:jc w:val="right"/>
                    <w:jc w:val="center"/>
                  </w:pPr>
                  <w:r>
                    <w:t xml:space="preserve">0.40</w:t>
                  </w:r>
                </w:p>
              </w:tc>
              <w:tc>
                <w:tcPr/>
                <w:p>
                  <w:pPr>
                    <w:pStyle w:val="Compact"/>
                    <w:jc w:val="left"/>
                    <w:jc w:val="center"/>
                  </w:pPr>
                  <w:r>
                    <w:t xml:space="preserve">0.14</w:t>
                  </w:r>
                </w:p>
              </w:tc>
            </w:tr>
            <w:tr>
              <w:tc>
                <w:tcPr/>
                <w:p>
                  <w:pPr>
                    <w:pStyle w:val="Compact"/>
                    <w:jc w:val="left"/>
                    <w:jc w:val="center"/>
                  </w:pPr>
                  <w:r>
                    <w:t xml:space="preserve">SierraLeone</w:t>
                  </w:r>
                </w:p>
              </w:tc>
              <w:tc>
                <w:tcPr/>
                <w:p>
                  <w:pPr>
                    <w:pStyle w:val="Compact"/>
                    <w:jc w:val="left"/>
                    <w:jc w:val="center"/>
                  </w:pPr>
                  <w:r>
                    <w:t xml:space="preserve">0%</w:t>
                  </w:r>
                </w:p>
              </w:tc>
              <w:tc>
                <w:tcPr/>
                <w:p>
                  <w:pPr>
                    <w:pStyle w:val="Compact"/>
                    <w:jc w:val="right"/>
                    <w:jc w:val="center"/>
                  </w:pPr>
                  <w:r>
                    <w:t xml:space="preserve">0.38</w:t>
                  </w:r>
                </w:p>
              </w:tc>
              <w:tc>
                <w:tcPr/>
                <w:p>
                  <w:pPr>
                    <w:pStyle w:val="Compact"/>
                    <w:jc w:val="right"/>
                    <w:jc w:val="center"/>
                  </w:pPr>
                  <w:r>
                    <w:t xml:space="preserve">0.21</w:t>
                  </w:r>
                </w:p>
              </w:tc>
              <w:tc>
                <w:tcPr/>
                <w:p>
                  <w:pPr>
                    <w:pStyle w:val="Compact"/>
                    <w:jc w:val="left"/>
                    <w:jc w:val="center"/>
                  </w:pPr>
                  <w:r>
                    <w:t xml:space="preserve">not folded (14 districts)</w:t>
                  </w:r>
                </w:p>
              </w:tc>
            </w:tr>
          </w:tbl>
          <w:bookmarkEnd w:id="40"/>
          <w:p/>
        </w:tc>
      </w:tr>
    </w:tbl>
    <w:bookmarkEnd w:id="41"/>
    <w:bookmarkStart w:id="43" w:name="X0535282cc1bf08abe954f3db3577a57f7cc5b4b"/>
    <w:p>
      <w:pPr>
        <w:pStyle w:val="Heading2"/>
      </w:pPr>
      <w:r>
        <w:t xml:space="preserve">4.6 What does not help, which is itself a result</w:t>
      </w:r>
    </w:p>
    <w:p>
      <w:pPr>
        <w:pStyle w:val="FirstParagraph"/>
      </w:pPr>
      <w:r>
        <w:t xml:space="preserve">Nothing added to the vocabulary in this revision moves the index. Food prices</w:t>
      </w:r>
      <w:r>
        <w:t xml:space="preserve"> </w:t>
      </w:r>
      <w:r>
        <w:t xml:space="preserve">and night-time temperature matched to each cluster’s fieldwork month, the</w:t>
      </w:r>
      <w:r>
        <w:t xml:space="preserve"> </w:t>
      </w:r>
      <w:r>
        <w:t xml:space="preserve">satellite embedding as a domain of its own, and four blocks added for this</w:t>
      </w:r>
      <w:r>
        <w:t xml:space="preserve"> </w:t>
      </w:r>
      <w:r>
        <w:t xml:space="preserve">version, livestock density, distance to surface water and to the coast,</w:t>
      </w:r>
      <w:r>
        <w:t xml:space="preserve"> </w:t>
      </w:r>
      <w:r>
        <w:t xml:space="preserve">helminth burden and control, and the IHME surfaces re-extracted as zonal</w:t>
      </w:r>
      <w:r>
        <w:t xml:space="preserve"> </w:t>
      </w:r>
      <w:r>
        <w:t xml:space="preserve">means, each change in-fill and transport by less than 0.01 when added to the</w:t>
      </w:r>
      <w:r>
        <w:t xml:space="preserve"> </w:t>
      </w:r>
      <w:r>
        <w:t xml:space="preserve">base vocabulary (</w:t>
      </w:r>
      <w:hyperlink w:anchor="tbl-addons">
        <w:r>
          <w:rPr>
            <w:rStyle w:val="Hyperlink"/>
          </w:rPr>
          <w:t xml:space="preserve">Table 10</w:t>
        </w:r>
      </w:hyperlink>
      <w:r>
        <w:t xml:space="preserve">). The fieldwork-month temperature columns are</w:t>
      </w:r>
      <w:r>
        <w:t xml:space="preserve"> </w:t>
      </w:r>
      <w:r>
        <w:t xml:space="preserve">among the most consistently associated with deficiency in the marginal scan</w:t>
      </w:r>
      <w:r>
        <w:t xml:space="preserve"> </w:t>
      </w:r>
      <w:r>
        <w:t xml:space="preserve">(four of four countries for child vitamin A) yet improve no fold, because a</w:t>
      </w:r>
      <w:r>
        <w:t xml:space="preserve"> </w:t>
      </w:r>
      <w:r>
        <w:t xml:space="preserve">covariate defined by when the survey happened cannot rank districts that have</w:t>
      </w:r>
      <w:r>
        <w:t xml:space="preserve"> </w:t>
      </w:r>
      <w:r>
        <w:t xml:space="preserve">not been surveyed. Livestock density alone matches the full vocabulary at</w:t>
      </w:r>
      <w:r>
        <w:t xml:space="preserve"> </w:t>
      </w:r>
      <w:r>
        <w:t xml:space="preserve">district transport on the concentration target, and enters the ablation as</w:t>
      </w:r>
      <w:r>
        <w:t xml:space="preserve"> </w:t>
      </w:r>
      <w:r>
        <w:t xml:space="preserve">the second load-bearing domain; the vocabulary is saturated, and the two</w:t>
      </w:r>
      <w:r>
        <w:t xml:space="preserve"> </w:t>
      </w:r>
      <w:r>
        <w:t xml:space="preserve">remotely sensed domains carry it.</w:t>
      </w:r>
    </w:p>
    <w:tbl>
      <w:tblPr>
        <w:tblStyle w:val="Table"/>
        <w:tblW w:type="pct" w:w="5000"/>
        <w:tblLayout w:type="fixed"/>
        <w:tblLook w:firstRow="0" w:lastRow="0" w:firstColumn="0" w:lastColumn="0" w:noHBand="0" w:noVBand="0" w:val="0000"/>
      </w:tblPr>
      <w:tblGrid>
        <w:gridCol w:w="7920"/>
      </w:tblGrid>
      <w:tr>
        <w:tc>
          <w:tcPr/>
          <w:bookmarkStart w:id="42" w:name="tbl-addons"/>
          <w:p>
            <w:pPr>
              <w:jc w:val="center"/>
            </w:pPr>
            <w:pPr>
              <w:jc w:val="start"/>
              <w:spacing w:before="200"/>
              <w:pStyle w:val="ImageCaption"/>
            </w:pPr>
            <w:r>
              <w:t xml:space="preserve">Table 10: Add-on blocks scored under one harness: median change in Spearman when the block is added to the base vocabulary (in-fill, 18 cells; district transport, 22 cells) and the transport of the block alone.</w:t>
            </w:r>
          </w:p>
          <w:tbl>
            <w:tblPr>
              <w:tblStyle w:val="Table"/>
              <w:tblW w:type="pct" w:w="5000"/>
              <w:tblLayout w:type="fixed"/>
              <w:tblLook w:firstRow="1" w:lastRow="0" w:firstColumn="0" w:lastColumn="0" w:noHBand="0" w:noVBand="0" w:val="0020"/>
            </w:tblPr>
            <w:tblGrid>
              <w:gridCol w:w="4000"/>
              <w:gridCol w:w="1200"/>
              <w:gridCol w:w="1360"/>
              <w:gridCol w:w="1360"/>
            </w:tblGrid>
            <w:tr>
              <w:trPr>
                <w:tblHeader w:val="on"/>
              </w:trPr>
              <w:tc>
                <w:tcPr/>
                <w:p>
                  <w:pPr>
                    <w:pStyle w:val="Compact"/>
                    <w:jc w:val="left"/>
                    <w:jc w:val="center"/>
                  </w:pPr>
                  <w:r>
                    <w:t xml:space="preserve">Block</w:t>
                  </w:r>
                </w:p>
              </w:tc>
              <w:tc>
                <w:tcPr/>
                <w:p>
                  <w:pPr>
                    <w:pStyle w:val="Compact"/>
                    <w:jc w:val="right"/>
                    <w:jc w:val="center"/>
                  </w:pPr>
                  <w:r>
                    <w:t xml:space="preserve">In-fill, level</w:t>
                  </w:r>
                </w:p>
              </w:tc>
              <w:tc>
                <w:tcPr/>
                <w:p>
                  <w:pPr>
                    <w:pStyle w:val="Compact"/>
                    <w:jc w:val="right"/>
                    <w:jc w:val="center"/>
                  </w:pPr>
                  <w:r>
                    <w:t xml:space="preserve">Transport, level</w:t>
                  </w:r>
                </w:p>
              </w:tc>
              <w:tc>
                <w:tcPr/>
                <w:p>
                  <w:pPr>
                    <w:pStyle w:val="Compact"/>
                    <w:jc w:val="right"/>
                    <w:jc w:val="center"/>
                  </w:pPr>
                  <w:r>
                    <w:t xml:space="preserve">Alone, transport</w:t>
                  </w:r>
                </w:p>
              </w:tc>
            </w:tr>
            <w:tr>
              <w:tc>
                <w:tcPr/>
                <w:p>
                  <w:pPr>
                    <w:pStyle w:val="Compact"/>
                    <w:jc w:val="left"/>
                    <w:jc w:val="center"/>
                  </w:pPr>
                  <w:r>
                    <w:t xml:space="preserve">Food prices, fieldwork-matched</w:t>
                  </w:r>
                </w:p>
              </w:tc>
              <w:tc>
                <w:tcPr/>
                <w:p>
                  <w:pPr>
                    <w:pStyle w:val="Compact"/>
                    <w:jc w:val="right"/>
                    <w:jc w:val="center"/>
                  </w:pPr>
                  <w:r>
                    <w:t xml:space="preserve">0.004</w:t>
                  </w:r>
                </w:p>
              </w:tc>
              <w:tc>
                <w:tcPr/>
                <w:p>
                  <w:pPr>
                    <w:pStyle w:val="Compact"/>
                    <w:jc w:val="right"/>
                    <w:jc w:val="center"/>
                  </w:pPr>
                  <w:r>
                    <w:t xml:space="preserve">-0.001</w:t>
                  </w:r>
                </w:p>
              </w:tc>
              <w:tc>
                <w:tcPr/>
                <w:p>
                  <w:pPr>
                    <w:pStyle w:val="Compact"/>
                    <w:jc w:val="right"/>
                    <w:jc w:val="center"/>
                  </w:pPr>
                  <w:r>
                    <w:t xml:space="preserve">-0.344</w:t>
                  </w:r>
                </w:p>
              </w:tc>
            </w:tr>
            <w:tr>
              <w:tc>
                <w:tcPr/>
                <w:p>
                  <w:pPr>
                    <w:pStyle w:val="Compact"/>
                    <w:jc w:val="left"/>
                    <w:jc w:val="center"/>
                  </w:pPr>
                  <w:r>
                    <w:t xml:space="preserve">Night temperature and rainfall, fieldwork-matched</w:t>
                  </w:r>
                </w:p>
              </w:tc>
              <w:tc>
                <w:tcPr/>
                <w:p>
                  <w:pPr>
                    <w:pStyle w:val="Compact"/>
                    <w:jc w:val="right"/>
                    <w:jc w:val="center"/>
                  </w:pPr>
                  <w:r>
                    <w:t xml:space="preserve">0.002</w:t>
                  </w:r>
                </w:p>
              </w:tc>
              <w:tc>
                <w:tcPr/>
                <w:p>
                  <w:pPr>
                    <w:pStyle w:val="Compact"/>
                    <w:jc w:val="right"/>
                    <w:jc w:val="center"/>
                  </w:pPr>
                  <w:r>
                    <w:t xml:space="preserve">-0.004</w:t>
                  </w:r>
                </w:p>
              </w:tc>
              <w:tc>
                <w:tcPr/>
                <w:p>
                  <w:pPr>
                    <w:pStyle w:val="Compact"/>
                    <w:jc w:val="right"/>
                    <w:jc w:val="center"/>
                  </w:pPr>
                  <w:r>
                    <w:t xml:space="preserve">-0.144</w:t>
                  </w:r>
                </w:p>
              </w:tc>
            </w:tr>
            <w:tr>
              <w:tc>
                <w:tcPr/>
                <w:p>
                  <w:pPr>
                    <w:pStyle w:val="Compact"/>
                    <w:jc w:val="left"/>
                    <w:jc w:val="center"/>
                  </w:pPr>
                  <w:r>
                    <w:t xml:space="preserve">Satellite embedding as own domain</w:t>
                  </w:r>
                </w:p>
              </w:tc>
              <w:tc>
                <w:tcPr/>
                <w:p>
                  <w:pPr>
                    <w:pStyle w:val="Compact"/>
                    <w:jc w:val="right"/>
                    <w:jc w:val="center"/>
                  </w:pPr>
                  <w:r>
                    <w:t xml:space="preserve">0.000</w:t>
                  </w:r>
                </w:p>
              </w:tc>
              <w:tc>
                <w:tcPr/>
                <w:p>
                  <w:pPr>
                    <w:pStyle w:val="Compact"/>
                    <w:jc w:val="right"/>
                    <w:jc w:val="center"/>
                  </w:pPr>
                  <w:r>
                    <w:t xml:space="preserve">0.002</w:t>
                  </w:r>
                </w:p>
              </w:tc>
              <w:tc>
                <w:tcPr/>
                <w:p>
                  <w:pPr>
                    <w:pStyle w:val="Compact"/>
                    <w:jc w:val="right"/>
                    <w:jc w:val="center"/>
                  </w:pPr>
                  <w:r>
                    <w:t xml:space="preserve">-0.029</w:t>
                  </w:r>
                </w:p>
              </w:tc>
            </w:tr>
            <w:tr>
              <w:tc>
                <w:tcPr/>
                <w:p>
                  <w:pPr>
                    <w:pStyle w:val="Compact"/>
                    <w:jc w:val="left"/>
                    <w:jc w:val="center"/>
                  </w:pPr>
                  <w:r>
                    <w:t xml:space="preserve">Livestock density (GLW4)</w:t>
                  </w:r>
                </w:p>
              </w:tc>
              <w:tc>
                <w:tcPr/>
                <w:p>
                  <w:pPr>
                    <w:pStyle w:val="Compact"/>
                    <w:jc w:val="right"/>
                    <w:jc w:val="center"/>
                  </w:pPr>
                  <w:r>
                    <w:t xml:space="preserve">0.001</w:t>
                  </w:r>
                </w:p>
              </w:tc>
              <w:tc>
                <w:tcPr/>
                <w:p>
                  <w:pPr>
                    <w:pStyle w:val="Compact"/>
                    <w:jc w:val="right"/>
                    <w:jc w:val="center"/>
                  </w:pPr>
                  <w:r>
                    <w:t xml:space="preserve">0.002</w:t>
                  </w:r>
                </w:p>
              </w:tc>
              <w:tc>
                <w:tcPr/>
                <w:p>
                  <w:pPr>
                    <w:pStyle w:val="Compact"/>
                    <w:jc w:val="right"/>
                    <w:jc w:val="center"/>
                  </w:pPr>
                  <w:r>
                    <w:t xml:space="preserve">0.025</w:t>
                  </w:r>
                </w:p>
              </w:tc>
            </w:tr>
            <w:tr>
              <w:tc>
                <w:tcPr/>
                <w:p>
                  <w:pPr>
                    <w:pStyle w:val="Compact"/>
                    <w:jc w:val="left"/>
                    <w:jc w:val="center"/>
                  </w:pPr>
                  <w:r>
                    <w:t xml:space="preserve">Distance to water and coast</w:t>
                  </w:r>
                </w:p>
              </w:tc>
              <w:tc>
                <w:tcPr/>
                <w:p>
                  <w:pPr>
                    <w:pStyle w:val="Compact"/>
                    <w:jc w:val="right"/>
                    <w:jc w:val="center"/>
                  </w:pPr>
                  <w:r>
                    <w:t xml:space="preserve">0.000</w:t>
                  </w:r>
                </w:p>
              </w:tc>
              <w:tc>
                <w:tcPr/>
                <w:p>
                  <w:pPr>
                    <w:pStyle w:val="Compact"/>
                    <w:jc w:val="right"/>
                    <w:jc w:val="center"/>
                  </w:pPr>
                  <w:r>
                    <w:t xml:space="preserve">0.002</w:t>
                  </w:r>
                </w:p>
              </w:tc>
              <w:tc>
                <w:tcPr/>
                <w:p>
                  <w:pPr>
                    <w:pStyle w:val="Compact"/>
                    <w:jc w:val="right"/>
                    <w:jc w:val="center"/>
                  </w:pPr>
                  <w:r>
                    <w:t xml:space="preserve">-0.159</w:t>
                  </w:r>
                </w:p>
              </w:tc>
            </w:tr>
            <w:tr>
              <w:tc>
                <w:tcPr/>
                <w:p>
                  <w:pPr>
                    <w:pStyle w:val="Compact"/>
                    <w:jc w:val="left"/>
                    <w:jc w:val="center"/>
                  </w:pPr>
                  <w:r>
                    <w:t xml:space="preserve">Helminth burden and control (ESPEN)</w:t>
                  </w:r>
                </w:p>
              </w:tc>
              <w:tc>
                <w:tcPr/>
                <w:p>
                  <w:pPr>
                    <w:pStyle w:val="Compact"/>
                    <w:jc w:val="right"/>
                    <w:jc w:val="center"/>
                  </w:pPr>
                  <w:r>
                    <w:t xml:space="preserve">-0.001</w:t>
                  </w:r>
                </w:p>
              </w:tc>
              <w:tc>
                <w:tcPr/>
                <w:p>
                  <w:pPr>
                    <w:pStyle w:val="Compact"/>
                    <w:jc w:val="right"/>
                    <w:jc w:val="center"/>
                  </w:pPr>
                  <w:r>
                    <w:t xml:space="preserve">0.000</w:t>
                  </w:r>
                </w:p>
              </w:tc>
              <w:tc>
                <w:tcPr/>
                <w:p>
                  <w:pPr>
                    <w:pStyle w:val="Compact"/>
                    <w:jc w:val="right"/>
                    <w:jc w:val="center"/>
                  </w:pPr>
                  <w:r>
                    <w:t xml:space="preserve">-0.309</w:t>
                  </w:r>
                </w:p>
              </w:tc>
            </w:tr>
            <w:tr>
              <w:tc>
                <w:tcPr/>
                <w:p>
                  <w:pPr>
                    <w:pStyle w:val="Compact"/>
                    <w:jc w:val="left"/>
                    <w:jc w:val="center"/>
                  </w:pPr>
                  <w:r>
                    <w:t xml:space="preserve">IHME surfaces as zonal means</w:t>
                  </w:r>
                </w:p>
              </w:tc>
              <w:tc>
                <w:tcPr/>
                <w:p>
                  <w:pPr>
                    <w:pStyle w:val="Compact"/>
                    <w:jc w:val="right"/>
                    <w:jc w:val="center"/>
                  </w:pPr>
                  <w:r>
                    <w:t xml:space="preserve">0.000</w:t>
                  </w:r>
                </w:p>
              </w:tc>
              <w:tc>
                <w:tcPr/>
                <w:p>
                  <w:pPr>
                    <w:pStyle w:val="Compact"/>
                    <w:jc w:val="right"/>
                    <w:jc w:val="center"/>
                  </w:pPr>
                  <w:r>
                    <w:t xml:space="preserve">0.000</w:t>
                  </w:r>
                </w:p>
              </w:tc>
              <w:tc>
                <w:tcPr/>
                <w:p>
                  <w:pPr>
                    <w:pStyle w:val="Compact"/>
                    <w:jc w:val="right"/>
                    <w:jc w:val="center"/>
                  </w:pPr>
                  <w:r>
                    <w:t xml:space="preserve">0.003</w:t>
                  </w:r>
                </w:p>
              </w:tc>
            </w:tr>
          </w:tbl>
          <w:bookmarkEnd w:id="42"/>
          <w:p/>
        </w:tc>
      </w:tr>
    </w:tbl>
    <w:p>
      <w:pPr>
        <w:pStyle w:val="BodyText"/>
      </w:pPr>
      <w:r>
        <w:t xml:space="preserve">Two further sensitivity analyses are reported in the supplement. Fitting the</w:t>
      </w:r>
      <w:r>
        <w:t xml:space="preserve"> </w:t>
      </w:r>
      <w:r>
        <w:t xml:space="preserve">same arms at the survey cluster instead of the district (323 clusters with</w:t>
      </w:r>
      <w:r>
        <w:t xml:space="preserve"> </w:t>
      </w:r>
      <w:r>
        <w:t xml:space="preserve">undisplaced GPS, covariates as 2 km and 5 km buffer means) does not beat the</w:t>
      </w:r>
      <w:r>
        <w:t xml:space="preserve"> </w:t>
      </w:r>
      <w:r>
        <w:t xml:space="preserve">district fit on any estimand and is worse for transport; a matched-vocabulary</w:t>
      </w:r>
      <w:r>
        <w:t xml:space="preserve"> </w:t>
      </w:r>
      <w:r>
        <w:t xml:space="preserve">comparison isolates the fitting unit from the layers. And a person-level</w:t>
      </w:r>
      <w:r>
        <w:t xml:space="preserve"> </w:t>
      </w:r>
      <w:r>
        <w:t xml:space="preserve">SuperLearner on the survey questionnaire, the district proxies, or both, has</w:t>
      </w:r>
      <w:r>
        <w:t xml:space="preserve"> </w:t>
      </w:r>
      <w:r>
        <w:t xml:space="preserve">discriminative skill only for iron (Brier skill 0.06–0.14) and none for the</w:t>
      </w:r>
      <w:r>
        <w:t xml:space="preserve"> </w:t>
      </w:r>
      <w:r>
        <w:t xml:space="preserve">vitamins; the questionnaire and the proxies carry the same weak signal at the</w:t>
      </w:r>
      <w:r>
        <w:t xml:space="preserve"> </w:t>
      </w:r>
      <w:r>
        <w:t xml:space="preserve">individual level (Supplement S1).</w:t>
      </w:r>
    </w:p>
    <w:bookmarkEnd w:id="43"/>
    <w:bookmarkEnd w:id="44"/>
    <w:bookmarkStart w:id="46" w:name="sec-changes"/>
    <w:p>
      <w:pPr>
        <w:pStyle w:val="Heading1"/>
      </w:pPr>
      <w:r>
        <w:t xml:space="preserve">5. What the protocol changes</w:t>
      </w:r>
    </w:p>
    <w:p>
      <w:pPr>
        <w:pStyle w:val="FirstParagraph"/>
      </w:pPr>
      <w:r>
        <w:t xml:space="preserve">Evaluation design moved the results of this study more than any modelling</w:t>
      </w:r>
      <w:r>
        <w:t xml:space="preserve"> </w:t>
      </w:r>
      <w:r>
        <w:t xml:space="preserve">choice did, and the same errors are available to any group doing this work.</w:t>
      </w:r>
      <w:r>
        <w:t xml:space="preserve"> </w:t>
      </w:r>
      <w:hyperlink w:anchor="tbl-changes">
        <w:r>
          <w:rPr>
            <w:rStyle w:val="Hyperlink"/>
          </w:rPr>
          <w:t xml:space="preserve">Table 11</w:t>
        </w:r>
      </w:hyperlink>
      <w:r>
        <w:t xml:space="preserve"> </w:t>
      </w:r>
      <w:r>
        <w:t xml:space="preserve">sets each headline under the earlier evaluation next to its value</w:t>
      </w:r>
      <w:r>
        <w:t xml:space="preserve"> </w:t>
      </w:r>
      <w:r>
        <w:t xml:space="preserve">under the protocol. Three corrections favoured the covariates, three ran</w:t>
      </w:r>
      <w:r>
        <w:t xml:space="preserve"> </w:t>
      </w:r>
      <w:r>
        <w:t xml:space="preserve">against them, and two were data-handling defects found only because the</w:t>
      </w:r>
      <w:r>
        <w:t xml:space="preserve"> </w:t>
      </w:r>
      <w:r>
        <w:t xml:space="preserve">protocol made a dropped country or a mis-filed domain visible.</w:t>
      </w:r>
    </w:p>
    <w:tbl>
      <w:tblPr>
        <w:tblStyle w:val="Table"/>
        <w:tblW w:type="pct" w:w="5000"/>
        <w:tblLayout w:type="fixed"/>
        <w:tblLook w:firstRow="0" w:lastRow="0" w:firstColumn="0" w:lastColumn="0" w:noHBand="0" w:noVBand="0" w:val="0000"/>
      </w:tblPr>
      <w:tblGrid>
        <w:gridCol w:w="7920"/>
      </w:tblGrid>
      <w:tr>
        <w:tc>
          <w:tcPr/>
          <w:bookmarkStart w:id="45" w:name="tbl-changes"/>
          <w:p>
            <w:pPr>
              <w:jc w:val="center"/>
            </w:pPr>
            <w:pPr>
              <w:jc w:val="start"/>
              <w:spacing w:before="200"/>
              <w:pStyle w:val="ImageCaption"/>
            </w:pPr>
            <w:r>
              <w:t xml:space="preserve">Table 11: Each headline result under the earlier evaluation and under the protocol, with the change that moved it.</w:t>
            </w:r>
          </w:p>
          <w:tbl>
            <w:tblPr>
              <w:tblStyle w:val="Table"/>
              <w:tblW w:type="pct" w:w="5000"/>
              <w:tblLayout w:type="fixed"/>
              <w:tblLook w:firstRow="1" w:lastRow="0" w:firstColumn="0" w:lastColumn="0" w:noHBand="0" w:noVBand="0" w:val="0020"/>
            </w:tblPr>
            <w:tblGrid>
              <w:gridCol w:w="1349"/>
              <w:gridCol w:w="1917"/>
              <w:gridCol w:w="3125"/>
              <w:gridCol w:w="1527"/>
            </w:tblGrid>
            <w:tr>
              <w:trPr>
                <w:tblHeader w:val="on"/>
              </w:trPr>
              <w:tc>
                <w:tcPr/>
                <w:p>
                  <w:pPr>
                    <w:pStyle w:val="Compact"/>
                    <w:jc w:val="left"/>
                    <w:jc w:val="center"/>
                  </w:pPr>
                  <w:r>
                    <w:t xml:space="preserve">Result</w:t>
                  </w:r>
                </w:p>
              </w:tc>
              <w:tc>
                <w:tcPr/>
                <w:p>
                  <w:pPr>
                    <w:pStyle w:val="Compact"/>
                    <w:jc w:val="left"/>
                    <w:jc w:val="center"/>
                  </w:pPr>
                  <w:r>
                    <w:t xml:space="preserve">Earlier evaluation</w:t>
                  </w:r>
                </w:p>
              </w:tc>
              <w:tc>
                <w:tcPr/>
                <w:p>
                  <w:pPr>
                    <w:pStyle w:val="Compact"/>
                    <w:jc w:val="left"/>
                    <w:jc w:val="center"/>
                  </w:pPr>
                  <w:r>
                    <w:t xml:space="preserve">Under the protocol</w:t>
                  </w:r>
                </w:p>
              </w:tc>
              <w:tc>
                <w:tcPr/>
                <w:p>
                  <w:pPr>
                    <w:pStyle w:val="Compact"/>
                    <w:jc w:val="left"/>
                    <w:jc w:val="center"/>
                  </w:pPr>
                  <w:r>
                    <w:t xml:space="preserve">What moved it</w:t>
                  </w:r>
                </w:p>
              </w:tc>
            </w:tr>
            <w:tr>
              <w:tc>
                <w:tcPr/>
                <w:p>
                  <w:pPr>
                    <w:pStyle w:val="Compact"/>
                    <w:jc w:val="left"/>
                    <w:jc w:val="center"/>
                  </w:pPr>
                  <w:r>
                    <w:t xml:space="preserve">Within-country rank correlation</w:t>
                  </w:r>
                </w:p>
              </w:tc>
              <w:tc>
                <w:tcPr/>
                <w:p>
                  <w:pPr>
                    <w:pStyle w:val="Compact"/>
                    <w:jc w:val="left"/>
                    <w:jc w:val="center"/>
                  </w:pPr>
                  <w:r>
                    <w:t xml:space="preserve">0.058 (one fold draw)</w:t>
                  </w:r>
                </w:p>
              </w:tc>
              <w:tc>
                <w:tcPr/>
                <w:p>
                  <w:pPr>
                    <w:pStyle w:val="Compact"/>
                    <w:jc w:val="left"/>
                    <w:jc w:val="center"/>
                  </w:pPr>
                  <w:r>
                    <w:t xml:space="preserve">0.22 replicated; 0.39 (level) and 0.29 (prevalence) for the index</w:t>
                  </w:r>
                </w:p>
              </w:tc>
              <w:tc>
                <w:tcPr/>
                <w:p>
                  <w:pPr>
                    <w:pStyle w:val="Compact"/>
                    <w:jc w:val="left"/>
                    <w:jc w:val="center"/>
                  </w:pPr>
                  <w:r>
                    <w:t xml:space="preserve">Replicated folds</w:t>
                  </w:r>
                </w:p>
              </w:tc>
            </w:tr>
            <w:tr>
              <w:tc>
                <w:tcPr/>
                <w:p>
                  <w:pPr>
                    <w:pStyle w:val="Compact"/>
                    <w:jc w:val="left"/>
                    <w:jc w:val="center"/>
                  </w:pPr>
                  <w:r>
                    <w:t xml:space="preserve">Covariate-free survey baseline</w:t>
                  </w:r>
                </w:p>
              </w:tc>
              <w:tc>
                <w:tcPr/>
                <w:p>
                  <w:pPr>
                    <w:pStyle w:val="Compact"/>
                    <w:jc w:val="left"/>
                    <w:jc w:val="center"/>
                  </w:pPr>
                  <w:r>
                    <w:t xml:space="preserve">r 0.516, beat every covariate arm</w:t>
                  </w:r>
                </w:p>
              </w:tc>
              <w:tc>
                <w:tcPr/>
                <w:p>
                  <w:pPr>
                    <w:pStyle w:val="Compact"/>
                    <w:jc w:val="left"/>
                    <w:jc w:val="center"/>
                  </w:pPr>
                  <w:r>
                    <w:t xml:space="preserve">0.076 jackknifed; loses to the index</w:t>
                  </w:r>
                </w:p>
              </w:tc>
              <w:tc>
                <w:tcPr/>
                <w:p>
                  <w:pPr>
                    <w:pStyle w:val="Compact"/>
                    <w:jc w:val="left"/>
                    <w:jc w:val="center"/>
                  </w:pPr>
                  <w:r>
                    <w:t xml:space="preserve">Jackknife</w:t>
                  </w:r>
                </w:p>
              </w:tc>
            </w:tr>
            <w:tr>
              <w:tc>
                <w:tcPr/>
                <w:p>
                  <w:pPr>
                    <w:pStyle w:val="Compact"/>
                    <w:jc w:val="left"/>
                    <w:jc w:val="center"/>
                  </w:pPr>
                  <w:r>
                    <w:t xml:space="preserve">Reliability ceiling (prevalence)</w:t>
                  </w:r>
                </w:p>
              </w:tc>
              <w:tc>
                <w:tcPr/>
                <w:p>
                  <w:pPr>
                    <w:pStyle w:val="Compact"/>
                    <w:jc w:val="left"/>
                    <w:jc w:val="center"/>
                  </w:pPr>
                  <w:r>
                    <w:t xml:space="preserve">0.098 analytic, then 0.47–0.61 split-half</w:t>
                  </w:r>
                </w:p>
              </w:tc>
              <w:tc>
                <w:tcPr/>
                <w:p>
                  <w:pPr>
                    <w:pStyle w:val="Compact"/>
                    <w:jc w:val="left"/>
                    <w:jc w:val="center"/>
                  </w:pPr>
                  <w:r>
                    <w:t xml:space="preserve">0.44 variance-components; 21% of the split-half ceiling was cluster effect</w:t>
                  </w:r>
                </w:p>
              </w:tc>
              <w:tc>
                <w:tcPr/>
                <w:p>
                  <w:pPr>
                    <w:pStyle w:val="Compact"/>
                    <w:jc w:val="left"/>
                    <w:jc w:val="center"/>
                  </w:pPr>
                  <w:r>
                    <w:t xml:space="preserve">Variance model with cluster term</w:t>
                  </w:r>
                </w:p>
              </w:tc>
            </w:tr>
            <w:tr>
              <w:tc>
                <w:tcPr/>
                <w:p>
                  <w:pPr>
                    <w:pStyle w:val="Compact"/>
                    <w:jc w:val="left"/>
                    <w:jc w:val="center"/>
                  </w:pPr>
                  <w:r>
                    <w:t xml:space="preserve">Regional transport</w:t>
                  </w:r>
                </w:p>
              </w:tc>
              <w:tc>
                <w:tcPr/>
                <w:p>
                  <w:pPr>
                    <w:pStyle w:val="Compact"/>
                    <w:jc w:val="left"/>
                    <w:jc w:val="center"/>
                  </w:pPr>
                  <w:r>
                    <w:t xml:space="preserve">0.50–0.56, 12 of 12</w:t>
                  </w:r>
                </w:p>
              </w:tc>
              <w:tc>
                <w:tcPr/>
                <w:p>
                  <w:pPr>
                    <w:pStyle w:val="Compact"/>
                    <w:jc w:val="left"/>
                    <w:jc w:val="center"/>
                  </w:pPr>
                  <w:r>
                    <w:t xml:space="preserve">0.31 over 22 cells, 17 positive; three countries only before</w:t>
                  </w:r>
                </w:p>
              </w:tc>
              <w:tc>
                <w:tcPr/>
                <w:p>
                  <w:pPr>
                    <w:pStyle w:val="Compact"/>
                    <w:jc w:val="left"/>
                    <w:jc w:val="center"/>
                  </w:pPr>
                  <w:r>
                    <w:t xml:space="preserve">BUG-01 found by the per-country cell count</w:t>
                  </w:r>
                </w:p>
              </w:tc>
            </w:tr>
            <w:tr>
              <w:tc>
                <w:tcPr/>
                <w:p>
                  <w:pPr>
                    <w:pStyle w:val="Compact"/>
                    <w:jc w:val="left"/>
                    <w:jc w:val="center"/>
                  </w:pPr>
                  <w:r>
                    <w:t xml:space="preserve">District transport</w:t>
                  </w:r>
                </w:p>
              </w:tc>
              <w:tc>
                <w:tcPr/>
                <w:p>
                  <w:pPr>
                    <w:pStyle w:val="Compact"/>
                    <w:jc w:val="left"/>
                    <w:jc w:val="center"/>
                  </w:pPr>
                  <w:r>
                    <w:t xml:space="preserve">0.28 penalised fit, 21 of 22</w:t>
                  </w:r>
                </w:p>
              </w:tc>
              <w:tc>
                <w:tcPr/>
                <w:p>
                  <w:pPr>
                    <w:pStyle w:val="Compact"/>
                    <w:jc w:val="left"/>
                    <w:jc w:val="center"/>
                  </w:pPr>
                  <w:r>
                    <w:t xml:space="preserve">0.27 zero-tuning index, 17 of 22; 0.29 penalised, 20 of 22</w:t>
                  </w:r>
                </w:p>
              </w:tc>
              <w:tc>
                <w:tcPr/>
                <w:p>
                  <w:pPr>
                    <w:pStyle w:val="Compact"/>
                    <w:jc w:val="left"/>
                    <w:jc w:val="center"/>
                  </w:pPr>
                  <w:r>
                    <w:t xml:space="preserve">Estimator of record stated</w:t>
                  </w:r>
                </w:p>
              </w:tc>
            </w:tr>
            <w:tr>
              <w:tc>
                <w:tcPr/>
                <w:p>
                  <w:pPr>
                    <w:pStyle w:val="Compact"/>
                    <w:jc w:val="left"/>
                    <w:jc w:val="center"/>
                  </w:pPr>
                  <w:r>
                    <w:t xml:space="preserve">Regional anchoring gain</w:t>
                  </w:r>
                </w:p>
              </w:tc>
              <w:tc>
                <w:tcPr/>
                <w:p>
                  <w:pPr>
                    <w:pStyle w:val="Compact"/>
                    <w:jc w:val="left"/>
                    <w:jc w:val="center"/>
                  </w:pPr>
                  <w:r>
                    <w:t xml:space="preserve">0.164 to 0.413, better in 20 of 24</w:t>
                  </w:r>
                </w:p>
              </w:tc>
              <w:tc>
                <w:tcPr/>
                <w:p>
                  <w:pPr>
                    <w:pStyle w:val="Compact"/>
                    <w:jc w:val="left"/>
                    <w:jc w:val="center"/>
                  </w:pPr>
                  <w:r>
                    <w:t xml:space="preserve">0.147 vs 0.156 unanchored; withdrawn</w:t>
                  </w:r>
                </w:p>
              </w:tc>
              <w:tc>
                <w:tcPr/>
                <w:p>
                  <w:pPr>
                    <w:pStyle w:val="Compact"/>
                    <w:jc w:val="left"/>
                    <w:jc w:val="center"/>
                  </w:pPr>
                  <w:r>
                    <w:t xml:space="preserve">Jackknifed control arm</w:t>
                  </w:r>
                </w:p>
              </w:tc>
            </w:tr>
            <w:tr>
              <w:tc>
                <w:tcPr/>
                <w:p>
                  <w:pPr>
                    <w:pStyle w:val="Compact"/>
                    <w:jc w:val="left"/>
                    <w:jc w:val="center"/>
                  </w:pPr>
                  <w:r>
                    <w:t xml:space="preserve">Predictor significance screen</w:t>
                  </w:r>
                </w:p>
              </w:tc>
              <w:tc>
                <w:tcPr/>
                <w:p>
                  <w:pPr>
                    <w:pStyle w:val="Compact"/>
                    <w:jc w:val="left"/>
                    <w:jc w:val="center"/>
                  </w:pPr>
                  <w:r>
                    <w:t xml:space="preserve">0 of 294 survive FDR</w:t>
                  </w:r>
                </w:p>
              </w:tc>
              <w:tc>
                <w:tcPr/>
                <w:p>
                  <w:pPr>
                    <w:pStyle w:val="Compact"/>
                    <w:jc w:val="left"/>
                    <w:jc w:val="center"/>
                  </w:pPr>
                  <w:r>
                    <w:t xml:space="preserve">Screen had power 0.005; sign replication reported instead</w:t>
                  </w:r>
                </w:p>
              </w:tc>
              <w:tc>
                <w:tcPr/>
                <w:p>
                  <w:pPr>
                    <w:pStyle w:val="Compact"/>
                    <w:jc w:val="left"/>
                    <w:jc w:val="center"/>
                  </w:pPr>
                  <w:r>
                    <w:t xml:space="preserve">Attained power reported</w:t>
                  </w:r>
                </w:p>
              </w:tc>
            </w:tr>
            <w:tr>
              <w:tc>
                <w:tcPr/>
                <w:p>
                  <w:pPr>
                    <w:pStyle w:val="Compact"/>
                    <w:jc w:val="left"/>
                    <w:jc w:val="center"/>
                  </w:pPr>
                  <w:r>
                    <w:t xml:space="preserve">Covariates vs geography, cells won</w:t>
                  </w:r>
                </w:p>
              </w:tc>
              <w:tc>
                <w:tcPr/>
                <w:p>
                  <w:pPr>
                    <w:pStyle w:val="Compact"/>
                    <w:jc w:val="left"/>
                    <w:jc w:val="center"/>
                  </w:pPr>
                  <w:r>
                    <w:t xml:space="preserve">6 of 24</w:t>
                  </w:r>
                </w:p>
              </w:tc>
              <w:tc>
                <w:tcPr/>
                <w:p>
                  <w:pPr>
                    <w:pStyle w:val="Compact"/>
                    <w:jc w:val="left"/>
                    <w:jc w:val="center"/>
                  </w:pPr>
                  <w:r>
                    <w:t xml:space="preserve">10 of 24 (miscount); tied on matched folds</w:t>
                  </w:r>
                </w:p>
              </w:tc>
              <w:tc>
                <w:tcPr/>
                <w:p>
                  <w:pPr>
                    <w:pStyle w:val="Compact"/>
                    <w:jc w:val="left"/>
                    <w:jc w:val="center"/>
                  </w:pPr>
                  <w:r>
                    <w:t xml:space="preserve">Recount; matched folds</w:t>
                  </w:r>
                </w:p>
              </w:tc>
            </w:tr>
            <w:tr>
              <w:tc>
                <w:tcPr/>
                <w:p>
                  <w:pPr>
                    <w:pStyle w:val="Compact"/>
                    <w:jc w:val="left"/>
                    <w:jc w:val="center"/>
                  </w:pPr>
                  <w:r>
                    <w:t xml:space="preserve">Individual-level arm</w:t>
                  </w:r>
                </w:p>
              </w:tc>
              <w:tc>
                <w:tcPr/>
                <w:p>
                  <w:pPr>
                    <w:pStyle w:val="Compact"/>
                    <w:jc w:val="left"/>
                    <w:jc w:val="center"/>
                  </w:pPr>
                  <w:r>
                    <w:t xml:space="preserve">0.516, headline</w:t>
                  </w:r>
                </w:p>
              </w:tc>
              <w:tc>
                <w:tcPr/>
                <w:p>
                  <w:pPr>
                    <w:pStyle w:val="Compact"/>
                    <w:jc w:val="left"/>
                    <w:jc w:val="center"/>
                  </w:pPr>
                  <w:r>
                    <w:t xml:space="preserve">Trained on the scored district’s respondents; supplement only</w:t>
                  </w:r>
                </w:p>
              </w:tc>
              <w:tc>
                <w:tcPr/>
                <w:p>
                  <w:pPr>
                    <w:pStyle w:val="Compact"/>
                    <w:jc w:val="left"/>
                    <w:jc w:val="center"/>
                  </w:pPr>
                  <w:r>
                    <w:t xml:space="preserve">Estimand named</w:t>
                  </w:r>
                </w:p>
              </w:tc>
            </w:tr>
            <w:tr>
              <w:tc>
                <w:tcPr/>
                <w:p>
                  <w:pPr>
                    <w:pStyle w:val="Compact"/>
                    <w:jc w:val="left"/>
                    <w:jc w:val="center"/>
                  </w:pPr>
                  <w:r>
                    <w:t xml:space="preserve">Satellite embedding</w:t>
                  </w:r>
                </w:p>
              </w:tc>
              <w:tc>
                <w:tcPr/>
                <w:p>
                  <w:pPr>
                    <w:pStyle w:val="Compact"/>
                    <w:jc w:val="left"/>
                    <w:jc w:val="center"/>
                  </w:pPr>
                  <w:r>
                    <w:t xml:space="preserve">64 columns filed under agriculture</w:t>
                  </w:r>
                </w:p>
              </w:tc>
              <w:tc>
                <w:tcPr/>
                <w:p>
                  <w:pPr>
                    <w:pStyle w:val="Compact"/>
                    <w:jc w:val="left"/>
                    <w:jc w:val="center"/>
                  </w:pPr>
                  <w:r>
                    <w:t xml:space="preserve">Own domain; +0.01 on transport</w:t>
                  </w:r>
                </w:p>
              </w:tc>
              <w:tc>
                <w:tcPr/>
                <w:p>
                  <w:pPr>
                    <w:pStyle w:val="Compact"/>
                    <w:jc w:val="left"/>
                    <w:jc w:val="center"/>
                  </w:pPr>
                  <w:r>
                    <w:t xml:space="preserve">Metadata audit</w:t>
                  </w:r>
                </w:p>
              </w:tc>
            </w:tr>
            <w:tr>
              <w:tc>
                <w:tcPr/>
                <w:p>
                  <w:pPr>
                    <w:pStyle w:val="Compact"/>
                    <w:jc w:val="left"/>
                    <w:jc w:val="center"/>
                  </w:pPr>
                  <w:r>
                    <w:t xml:space="preserve">IHME block for The Gambia</w:t>
                  </w:r>
                </w:p>
              </w:tc>
              <w:tc>
                <w:tcPr/>
                <w:p>
                  <w:pPr>
                    <w:pStyle w:val="Compact"/>
                    <w:jc w:val="left"/>
                    <w:jc w:val="center"/>
                  </w:pPr>
                  <w:r>
                    <w:t xml:space="preserve">25 of 34 columns empty</w:t>
                  </w:r>
                </w:p>
              </w:tc>
              <w:tc>
                <w:tcPr/>
                <w:p>
                  <w:pPr>
                    <w:pStyle w:val="Compact"/>
                    <w:jc w:val="left"/>
                    <w:jc w:val="center"/>
                  </w:pPr>
                  <w:r>
                    <w:t xml:space="preserve">One year per country dropped every series ending earlier; fixed per indicator</w:t>
                  </w:r>
                </w:p>
              </w:tc>
              <w:tc>
                <w:tcPr/>
                <w:p>
                  <w:pPr>
                    <w:pStyle w:val="Compact"/>
                    <w:jc w:val="left"/>
                    <w:jc w:val="center"/>
                  </w:pPr>
                  <w:r>
                    <w:t xml:space="preserve">Per-country coverage audit</w:t>
                  </w:r>
                </w:p>
              </w:tc>
            </w:tr>
            <w:tr>
              <w:tc>
                <w:tcPr/>
                <w:p>
                  <w:pPr>
                    <w:pStyle w:val="Compact"/>
                    <w:jc w:val="left"/>
                    <w:jc w:val="center"/>
                  </w:pPr>
                  <w:r>
                    <w:t xml:space="preserve">Population join</w:t>
                  </w:r>
                </w:p>
              </w:tc>
              <w:tc>
                <w:tcPr/>
                <w:p>
                  <w:pPr>
                    <w:pStyle w:val="Compact"/>
                    <w:jc w:val="left"/>
                    <w:jc w:val="center"/>
                  </w:pPr>
                  <w:r>
                    <w:t xml:space="preserve">Sierra Leone dropped from every population-joined run</w:t>
                  </w:r>
                </w:p>
              </w:tc>
              <w:tc>
                <w:tcPr/>
                <w:p>
                  <w:pPr>
                    <w:pStyle w:val="Compact"/>
                    <w:jc w:val="left"/>
                    <w:jc w:val="center"/>
                  </w:pPr>
                  <w:r>
                    <w:t xml:space="preserve">Spelling normalised; all 22 cells restored</w:t>
                  </w:r>
                </w:p>
              </w:tc>
              <w:tc>
                <w:tcPr/>
                <w:p>
                  <w:pPr>
                    <w:pStyle w:val="Compact"/>
                    <w:jc w:val="left"/>
                    <w:jc w:val="center"/>
                  </w:pPr>
                  <w:r>
                    <w:t xml:space="preserve">Per-country cell count</w:t>
                  </w:r>
                </w:p>
              </w:tc>
            </w:tr>
            <w:tr>
              <w:tc>
                <w:tcPr/>
                <w:p>
                  <w:pPr>
                    <w:pStyle w:val="Compact"/>
                    <w:jc w:val="left"/>
                    <w:jc w:val="center"/>
                  </w:pPr>
                  <w:r>
                    <w:t xml:space="preserve">DHS anaemia prevalence as a predictor</w:t>
                  </w:r>
                </w:p>
              </w:tc>
              <w:tc>
                <w:tcPr/>
                <w:p>
                  <w:pPr>
                    <w:pStyle w:val="Compact"/>
                    <w:jc w:val="left"/>
                    <w:jc w:val="center"/>
                  </w:pPr>
                  <w:r>
                    <w:t xml:space="preserve">In the vocabulary, all four countries</w:t>
                  </w:r>
                </w:p>
              </w:tc>
              <w:tc>
                <w:tcPr/>
                <w:p>
                  <w:pPr>
                    <w:pStyle w:val="Compact"/>
                    <w:jc w:val="left"/>
                    <w:jc w:val="center"/>
                  </w:pPr>
                  <w:r>
                    <w:t xml:space="preserve">Removed; iron transport moved by at most 0.04 in one cell, the index by 0.00</w:t>
                  </w:r>
                </w:p>
              </w:tc>
              <w:tc>
                <w:tcPr/>
                <w:p>
                  <w:pPr>
                    <w:pStyle w:val="Compact"/>
                    <w:jc w:val="left"/>
                    <w:jc w:val="center"/>
                  </w:pPr>
                  <w:r>
                    <w:t xml:space="preserve">Per-column leakage audit (AU-01)</w:t>
                  </w:r>
                </w:p>
              </w:tc>
            </w:tr>
            <w:tr>
              <w:tc>
                <w:tcPr/>
                <w:p>
                  <w:pPr>
                    <w:pStyle w:val="Compact"/>
                    <w:jc w:val="left"/>
                    <w:jc w:val="center"/>
                  </w:pPr>
                  <w:r>
                    <w:t xml:space="preserve">Vitamin A level target</w:t>
                  </w:r>
                </w:p>
              </w:tc>
              <w:tc>
                <w:tcPr/>
                <w:p>
                  <w:pPr>
                    <w:pStyle w:val="Compact"/>
                    <w:jc w:val="left"/>
                    <w:jc w:val="center"/>
                  </w:pPr>
                  <w:r>
                    <w:t xml:space="preserve">Each survey’s own adjusted RBP (raw in Malawi)</w:t>
                  </w:r>
                </w:p>
              </w:tc>
              <w:tc>
                <w:tcPr/>
                <w:p>
                  <w:pPr>
                    <w:pStyle w:val="Compact"/>
                    <w:jc w:val="left"/>
                    <w:jc w:val="center"/>
                  </w:pPr>
                  <w:r>
                    <w:t xml:space="preserve">Same BRINDA-adjusted RBP as the prevalence; Malawi child vitamin A level +0.05 to +0.07</w:t>
                  </w:r>
                </w:p>
              </w:tc>
              <w:tc>
                <w:tcPr/>
                <w:p>
                  <w:pPr>
                    <w:pStyle w:val="Compact"/>
                    <w:jc w:val="left"/>
                    <w:jc w:val="center"/>
                  </w:pPr>
                  <w:r>
                    <w:t xml:space="preserve">Audit of target construction (AU-01)</w:t>
                  </w:r>
                </w:p>
              </w:tc>
            </w:tr>
          </w:tbl>
          <w:bookmarkEnd w:id="45"/>
          <w:p/>
        </w:tc>
      </w:tr>
    </w:tbl>
    <w:p>
      <w:pPr>
        <w:pStyle w:val="BodyText"/>
      </w:pPr>
      <w:r>
        <w:t xml:space="preserve">Two lessons generalise. First, a baseline or benchmark computed from data that</w:t>
      </w:r>
      <w:r>
        <w:t xml:space="preserve"> </w:t>
      </w:r>
      <w:r>
        <w:t xml:space="preserve">includes the unit being scored reports a gain that is partly the unit’s own</w:t>
      </w:r>
      <w:r>
        <w:t xml:space="preserve"> </w:t>
      </w:r>
      <w:r>
        <w:t xml:space="preserve">answer; the jackknifed arm cost one additional run and reversed a finding.</w:t>
      </w:r>
      <w:r>
        <w:t xml:space="preserve"> </w:t>
      </w:r>
      <w:r>
        <w:t xml:space="preserve">Second, a dropped country, a mis-filed domain or a blanked block does not</w:t>
      </w:r>
      <w:r>
        <w:t xml:space="preserve"> </w:t>
      </w:r>
      <w:r>
        <w:t xml:space="preserve">announce itself in a column count: the vocabulary had 451 columns before and</w:t>
      </w:r>
      <w:r>
        <w:t xml:space="preserve"> </w:t>
      </w:r>
      <w:r>
        <w:t xml:space="preserve">after the IHME defect, and the regional headline had 12 cells before and after</w:t>
      </w:r>
      <w:r>
        <w:t xml:space="preserve"> </w:t>
      </w:r>
      <w:r>
        <w:t xml:space="preserve">Sierra Leone vanished. Per-country coverage and per-country cell counts, not</w:t>
      </w:r>
      <w:r>
        <w:t xml:space="preserve"> </w:t>
      </w:r>
      <w:r>
        <w:t xml:space="preserve">totals, are the checks that found them.</w:t>
      </w:r>
    </w:p>
    <w:bookmarkEnd w:id="46"/>
    <w:bookmarkStart w:id="47" w:name="limitations"/>
    <w:p>
      <w:pPr>
        <w:pStyle w:val="Heading1"/>
      </w:pPr>
      <w:r>
        <w:t xml:space="preserve">6. Limitations</w:t>
      </w:r>
    </w:p>
    <w:p>
      <w:pPr>
        <w:pStyle w:val="FirstParagraph"/>
      </w:pPr>
      <w:r>
        <w:t xml:space="preserve">Four countries, three of them West African, bound the transport result; the</w:t>
      </w:r>
      <w:r>
        <w:t xml:space="preserve"> </w:t>
      </w:r>
      <w:r>
        <w:t xml:space="preserve">pre-registration for the next countries is the test that can move it. The</w:t>
      </w:r>
      <w:r>
        <w:t xml:space="preserve"> </w:t>
      </w:r>
      <w:r>
        <w:t xml:space="preserve">deliverable is a ranking, not a level: absolute prevalence differs between</w:t>
      </w:r>
      <w:r>
        <w:t xml:space="preserve"> </w:t>
      </w:r>
      <w:r>
        <w:t xml:space="preserve">surveys by more than covariates explain, and the level must come from a</w:t>
      </w:r>
      <w:r>
        <w:t xml:space="preserve"> </w:t>
      </w:r>
      <w:r>
        <w:t xml:space="preserve">national measurement. Within a surveyed country geography supplies most of the</w:t>
      </w:r>
      <w:r>
        <w:t xml:space="preserve"> </w:t>
      </w:r>
      <w:r>
        <w:t xml:space="preserve">attainable accuracy, so the covariates earn their place mainly where no survey</w:t>
      </w:r>
      <w:r>
        <w:t xml:space="preserve"> </w:t>
      </w:r>
      <w:r>
        <w:t xml:space="preserve">exists to smooth from. Sierra Leone’s 14 districts cannot be folded for</w:t>
      </w:r>
      <w:r>
        <w:t xml:space="preserve"> </w:t>
      </w:r>
      <w:r>
        <w:t xml:space="preserve">in-fill and contribute one number per region. Several targets are degenerate at</w:t>
      </w:r>
      <w:r>
        <w:t xml:space="preserve"> </w:t>
      </w:r>
      <w:r>
        <w:t xml:space="preserve">district resolution, most clearly child zinc, whose between-district variance</w:t>
      </w:r>
      <w:r>
        <w:t xml:space="preserve"> </w:t>
      </w:r>
      <w:r>
        <w:t xml:space="preserve">is zero, and the rare outcomes (women’s vitamin A below 3% in every survey)</w:t>
      </w:r>
      <w:r>
        <w:t xml:space="preserve"> </w:t>
      </w:r>
      <w:r>
        <w:t xml:space="preserve">have ceilings below 0.30. The two-domain index was selected on the countries</w:t>
      </w:r>
      <w:r>
        <w:t xml:space="preserve"> </w:t>
      </w:r>
      <w:r>
        <w:t xml:space="preserve">it is scored on. Iron is inflammation-adjusted by each survey’s native method,</w:t>
      </w:r>
      <w:r>
        <w:t xml:space="preserve"> </w:t>
      </w:r>
      <w:r>
        <w:t xml:space="preserve">vitamin A uniformly; soluble transferrin receptor, available in all four</w:t>
      </w:r>
      <w:r>
        <w:t xml:space="preserve"> </w:t>
      </w:r>
      <w:r>
        <w:t xml:space="preserve">surveys and less inflammation-sensitive than ferritin, is unused. Iodine, with</w:t>
      </w:r>
      <w:r>
        <w:t xml:space="preserve"> </w:t>
      </w:r>
      <w:r>
        <w:t xml:space="preserve">urinary iodine in two surveys, cannot be validated across borders and is</w:t>
      </w:r>
      <w:r>
        <w:t xml:space="preserve"> </w:t>
      </w:r>
      <w:r>
        <w:t xml:space="preserve">reported within country only (0.35–0.48 in The Gambia).</w:t>
      </w:r>
    </w:p>
    <w:bookmarkEnd w:id="47"/>
    <w:bookmarkStart w:id="48" w:name="recommendations-for-the-field"/>
    <w:p>
      <w:pPr>
        <w:pStyle w:val="Heading1"/>
      </w:pPr>
      <w:r>
        <w:t xml:space="preserve">7. Recommendations for the field</w:t>
      </w:r>
    </w:p>
    <w:p>
      <w:pPr>
        <w:pStyle w:val="FirstParagraph"/>
      </w:pPr>
      <w:r>
        <w:t xml:space="preserve">The transferable result is procedural. Studies that predict sub-national</w:t>
      </w:r>
      <w:r>
        <w:t xml:space="preserve"> </w:t>
      </w:r>
      <w:r>
        <w:t xml:space="preserve">prevalence from covariates should:</w:t>
      </w:r>
    </w:p>
    <w:p>
      <w:pPr>
        <w:pStyle w:val="Compact"/>
        <w:numPr>
          <w:ilvl w:val="0"/>
          <w:numId w:val="1001"/>
        </w:numPr>
      </w:pPr>
      <w:r>
        <w:rPr>
          <w:b/>
          <w:bCs/>
        </w:rPr>
        <w:t xml:space="preserve">Name the estimand.</w:t>
      </w:r>
      <w:r>
        <w:t xml:space="preserve"> </w:t>
      </w:r>
      <w:r>
        <w:t xml:space="preserve">In-fill, region extrapolation and country transport</w:t>
      </w:r>
      <w:r>
        <w:t xml:space="preserve"> </w:t>
      </w:r>
      <w:r>
        <w:t xml:space="preserve">have materially different answers and are routinely reported</w:t>
      </w:r>
      <w:r>
        <w:t xml:space="preserve"> </w:t>
      </w:r>
      <w:r>
        <w:t xml:space="preserve">interchangeably.</w:t>
      </w:r>
    </w:p>
    <w:p>
      <w:pPr>
        <w:pStyle w:val="Compact"/>
        <w:numPr>
          <w:ilvl w:val="0"/>
          <w:numId w:val="1001"/>
        </w:numPr>
      </w:pPr>
      <w:r>
        <w:rPr>
          <w:b/>
          <w:bCs/>
        </w:rPr>
        <w:t xml:space="preserve">State what the baseline saw</w:t>
      </w:r>
      <w:r>
        <w:t xml:space="preserve">, and jackknife any baseline derived from the</w:t>
      </w:r>
      <w:r>
        <w:t xml:space="preserve"> </w:t>
      </w:r>
      <w:r>
        <w:t xml:space="preserve">same survey so the scored unit never contributes to it.</w:t>
      </w:r>
    </w:p>
    <w:p>
      <w:pPr>
        <w:pStyle w:val="Compact"/>
        <w:numPr>
          <w:ilvl w:val="0"/>
          <w:numId w:val="1001"/>
        </w:numPr>
      </w:pPr>
      <w:r>
        <w:rPr>
          <w:b/>
          <w:bCs/>
        </w:rPr>
        <w:t xml:space="preserve">Replicate every random division</w:t>
      </w:r>
      <w:r>
        <w:t xml:space="preserve"> </w:t>
      </w:r>
      <w:r>
        <w:t xml:space="preserve">of the data and report the spread; a</w:t>
      </w:r>
      <w:r>
        <w:t xml:space="preserve"> </w:t>
      </w:r>
      <w:r>
        <w:t xml:space="preserve">single draw of 14–87 districts is good to about ±0.09 and can be off by</w:t>
      </w:r>
      <w:r>
        <w:t xml:space="preserve"> </w:t>
      </w:r>
      <w:r>
        <w:t xml:space="preserve">±0.35.</w:t>
      </w:r>
    </w:p>
    <w:p>
      <w:pPr>
        <w:pStyle w:val="Compact"/>
        <w:numPr>
          <w:ilvl w:val="0"/>
          <w:numId w:val="1001"/>
        </w:numPr>
      </w:pPr>
      <w:r>
        <w:rPr>
          <w:b/>
          <w:bCs/>
        </w:rPr>
        <w:t xml:space="preserve">Report the reliability of the validation target</w:t>
      </w:r>
      <w:r>
        <w:t xml:space="preserve"> </w:t>
      </w:r>
      <w:r>
        <w:t xml:space="preserve">from a variance model</w:t>
      </w:r>
      <w:r>
        <w:t xml:space="preserve"> </w:t>
      </w:r>
      <w:r>
        <w:t xml:space="preserve">that separates the survey cluster from geography, and read every</w:t>
      </w:r>
      <w:r>
        <w:t xml:space="preserve"> </w:t>
      </w:r>
      <w:r>
        <w:t xml:space="preserve">correlation against it.</w:t>
      </w:r>
    </w:p>
    <w:p>
      <w:pPr>
        <w:pStyle w:val="Compact"/>
        <w:numPr>
          <w:ilvl w:val="0"/>
          <w:numId w:val="1001"/>
        </w:numPr>
      </w:pPr>
      <w:r>
        <w:rPr>
          <w:b/>
          <w:bCs/>
        </w:rPr>
        <w:t xml:space="preserve">Show that each significance screen could have detected an effect</w:t>
      </w:r>
      <w:r>
        <w:t xml:space="preserve"> </w:t>
      </w:r>
      <w:r>
        <w:t xml:space="preserve">at</w:t>
      </w:r>
      <w:r>
        <w:t xml:space="preserve"> </w:t>
      </w:r>
      <w:r>
        <w:t xml:space="preserve">the permutation resolution used; where it cannot, replace it with an</w:t>
      </w:r>
      <w:r>
        <w:t xml:space="preserve"> </w:t>
      </w:r>
      <w:r>
        <w:t xml:space="preserve">evidence standard that has power, such as replication of sign across</w:t>
      </w:r>
      <w:r>
        <w:t xml:space="preserve"> </w:t>
      </w:r>
      <w:r>
        <w:t xml:space="preserve">surveys.</w:t>
      </w:r>
    </w:p>
    <w:p>
      <w:pPr>
        <w:pStyle w:val="Compact"/>
        <w:numPr>
          <w:ilvl w:val="0"/>
          <w:numId w:val="1001"/>
        </w:numPr>
      </w:pPr>
      <w:r>
        <w:rPr>
          <w:b/>
          <w:bCs/>
        </w:rPr>
        <w:t xml:space="preserve">Audit coverage per country, not in total</w:t>
      </w:r>
      <w:r>
        <w:t xml:space="preserve">, because the defects that</w:t>
      </w:r>
      <w:r>
        <w:t xml:space="preserve"> </w:t>
      </w:r>
      <w:r>
        <w:t xml:space="preserve">moved this paper’s headlines were invisible in column and cell counts.</w:t>
      </w:r>
    </w:p>
    <w:p>
      <w:pPr>
        <w:pStyle w:val="FirstParagraph"/>
      </w:pPr>
      <w:r>
        <w:t xml:space="preserve">Applied to our own work, these conditions reversed conclusions in both</w:t>
      </w:r>
      <w:r>
        <w:t xml:space="preserve"> </w:t>
      </w:r>
      <w:r>
        <w:t xml:space="preserve">directions, and we would not have identified any of them from the modelling</w:t>
      </w:r>
      <w:r>
        <w:t xml:space="preserve"> </w:t>
      </w:r>
      <w:r>
        <w:t xml:space="preserve">results alone.</w:t>
      </w:r>
    </w:p>
    <w:bookmarkEnd w:id="48"/>
    <w:bookmarkStart w:id="49" w:name="conclusions"/>
    <w:p>
      <w:pPr>
        <w:pStyle w:val="Heading1"/>
      </w:pPr>
      <w:r>
        <w:t xml:space="preserve">8. Conclusions</w:t>
      </w:r>
    </w:p>
    <w:p>
      <w:pPr>
        <w:pStyle w:val="FirstParagraph"/>
      </w:pPr>
      <w:r>
        <w:t xml:space="preserve">Proxy indicators carry replicated, nutrient-specific signal for sub-national</w:t>
      </w:r>
      <w:r>
        <w:t xml:space="preserve"> </w:t>
      </w:r>
      <w:r>
        <w:t xml:space="preserve">micronutrient deficiency, and the honest product is a ranked district</w:t>
      </w:r>
      <w:r>
        <w:t xml:space="preserve"> </w:t>
      </w:r>
      <w:r>
        <w:t xml:space="preserve">priority list: mean rank correlation about 0.3 at either tier for a country</w:t>
      </w:r>
      <w:r>
        <w:t xml:space="preserve"> </w:t>
      </w:r>
      <w:r>
        <w:t xml:space="preserve">with no survey, higher for an index built from remotely sensed climate and</w:t>
      </w:r>
      <w:r>
        <w:t xml:space="preserve"> </w:t>
      </w:r>
      <w:r>
        <w:t xml:space="preserve">soil alone, plus a level calibration that needs one national estimate. Within</w:t>
      </w:r>
      <w:r>
        <w:t xml:space="preserve"> </w:t>
      </w:r>
      <w:r>
        <w:t xml:space="preserve">a surveyed country a spatial smoother delivers most of what the covariates do.</w:t>
      </w:r>
      <w:r>
        <w:t xml:space="preserve"> </w:t>
      </w:r>
      <w:r>
        <w:t xml:space="preserve">The vocabulary is saturated, the headroom against the honest ceiling is small,</w:t>
      </w:r>
      <w:r>
        <w:t xml:space="preserve"> </w:t>
      </w:r>
      <w:r>
        <w:t xml:space="preserve">and claims about levels, burden or survey savings should be read as upper</w:t>
      </w:r>
      <w:r>
        <w:t xml:space="preserve"> </w:t>
      </w:r>
      <w:r>
        <w:t xml:space="preserve">bounds. The protocol that produced these statements, and the side-by-side</w:t>
      </w:r>
      <w:r>
        <w:t xml:space="preserve"> </w:t>
      </w:r>
      <w:r>
        <w:t xml:space="preserve">record of what it changed, are the parts of this work most worth carrying to</w:t>
      </w:r>
      <w:r>
        <w:t xml:space="preserve"> </w:t>
      </w:r>
      <w:r>
        <w:t xml:space="preserve">the next survey.</w:t>
      </w:r>
    </w:p>
    <w:bookmarkEnd w:id="49"/>
    <w:bookmarkStart w:id="50" w:name="acknowledgements"/>
    <w:p>
      <w:pPr>
        <w:pStyle w:val="Heading1"/>
      </w:pPr>
      <w:r>
        <w:t xml:space="preserve">Acknowledgements</w:t>
      </w:r>
    </w:p>
    <w:p>
      <w:pPr>
        <w:pStyle w:val="FirstParagraph"/>
      </w:pPr>
      <w:r>
        <w:t xml:space="preserve">Funded by the Bill &amp; Melinda Gates Foundation (grant number INV-XXXXXX). The</w:t>
      </w:r>
      <w:r>
        <w:t xml:space="preserve"> </w:t>
      </w:r>
      <w:r>
        <w:t xml:space="preserve">funder had no role in study design, analysis, decision to publish, or</w:t>
      </w:r>
      <w:r>
        <w:t xml:space="preserve"> </w:t>
      </w:r>
      <w:r>
        <w:t xml:space="preserve">manuscript preparation.</w:t>
      </w:r>
    </w:p>
    <w:bookmarkEnd w:id="50"/>
    <w:bookmarkStart w:id="51" w:name="author-contributions"/>
    <w:p>
      <w:pPr>
        <w:pStyle w:val="Heading1"/>
      </w:pPr>
      <w:r>
        <w:t xml:space="preserve">Author contributions</w:t>
      </w:r>
    </w:p>
    <w:p>
      <w:pPr>
        <w:pStyle w:val="FirstParagraph"/>
      </w:pPr>
      <w:r>
        <w:t xml:space="preserve">ANM conceived the study, conducted the analysis, and drafted the manuscript.</w:t>
      </w:r>
      <w:r>
        <w:t xml:space="preserve"> </w:t>
      </w:r>
      <w:r>
        <w:t xml:space="preserve">Co-authors to be added on revision.</w:t>
      </w:r>
    </w:p>
    <w:bookmarkEnd w:id="51"/>
    <w:bookmarkStart w:id="52" w:name="data-availability"/>
    <w:p>
      <w:pPr>
        <w:pStyle w:val="Heading1"/>
      </w:pPr>
      <w:r>
        <w:t xml:space="preserve">Data availability</w:t>
      </w:r>
    </w:p>
    <w:p>
      <w:pPr>
        <w:pStyle w:val="FirstParagraph"/>
      </w:pPr>
      <w:r>
        <w:t xml:space="preserve">Survey biomarker data are available from the originating survey programmes</w:t>
      </w:r>
      <w:r>
        <w:t xml:space="preserve"> </w:t>
      </w:r>
      <w:r>
        <w:t xml:space="preserve">following registration. Pipeline code, the protocol scripts</w:t>
      </w:r>
      <w:r>
        <w:t xml:space="preserve"> </w:t>
      </w:r>
      <w:r>
        <w:t xml:space="preserve">(</w:t>
      </w:r>
      <w:r>
        <w:rPr>
          <w:rStyle w:val="VerbatimChar"/>
        </w:rPr>
        <w:t xml:space="preserve">scripts/protocol_v2/</w:t>
      </w:r>
      <w:r>
        <w:t xml:space="preserve">), the pre-registration and the findings notes are in</w:t>
      </w:r>
      <w:r>
        <w:t xml:space="preserve"> </w:t>
      </w:r>
      <w:r>
        <w:t xml:space="preserve">the project repository.</w:t>
      </w:r>
    </w:p>
    <w:bookmarkEnd w:id="52"/>
    <w:bookmarkStart w:id="62" w:name="X51b9ff3781d570926623186686158135280e2f5"/>
    <w:p>
      <w:pPr>
        <w:pStyle w:val="Heading1"/>
      </w:pPr>
      <w:r>
        <w:t xml:space="preserve">Supplement S1: the individual-level SuperLearner and the corrected-methods analyses</w:t>
      </w:r>
    </w:p>
    <w:p>
      <w:pPr>
        <w:pStyle w:val="FirstParagraph"/>
      </w:pPr>
      <w:r>
        <w:t xml:space="preserve">The analyses in this supplement were the main results of the first version of</w:t>
      </w:r>
      <w:r>
        <w:t xml:space="preserve"> </w:t>
      </w:r>
      <w:r>
        <w:t xml:space="preserve">this manuscript. They are retained because they document the estimators the</w:t>
      </w:r>
      <w:r>
        <w:t xml:space="preserve"> </w:t>
      </w:r>
      <w:r>
        <w:t xml:space="preserve">protocol was compared against and because two of their findings stand; they</w:t>
      </w:r>
      <w:r>
        <w:t xml:space="preserve"> </w:t>
      </w:r>
      <w:r>
        <w:t xml:space="preserve">are not the analysis of record, for the reasons stated in Section 5.</w:t>
      </w:r>
    </w:p>
    <w:bookmarkStart w:id="57" w:name="X8da6f3cf9ec988bab21302fa236aefee6d7c2a2"/>
    <w:p>
      <w:pPr>
        <w:pStyle w:val="Heading2"/>
      </w:pPr>
      <w:r>
        <w:t xml:space="preserve">S1.1 Individual-level SuperLearner aggregated to districts</w:t>
      </w:r>
    </w:p>
    <w:p>
      <w:pPr>
        <w:pStyle w:val="FirstParagraph"/>
      </w:pPr>
      <w:r>
        <w:t xml:space="preserve">The first version fitted a person-level ensemble (twelve learners: penalised</w:t>
      </w:r>
      <w:r>
        <w:t xml:space="preserve"> </w:t>
      </w:r>
      <w:r>
        <w:t xml:space="preserve">regression, random forests, gradient boosting and BART; a Gaussian process was</w:t>
      </w:r>
      <w:r>
        <w:t xml:space="preserve"> </w:t>
      </w:r>
      <w:r>
        <w:t xml:space="preserve">dropped after receiving zero ensemble weight while dominating runtime) on the</w:t>
      </w:r>
      <w:r>
        <w:t xml:space="preserve"> </w:t>
      </w:r>
      <w:r>
        <w:t xml:space="preserve">harmonised survey items and averaged its out-of-fold predictions to the</w:t>
      </w:r>
      <w:r>
        <w:t xml:space="preserve"> </w:t>
      </w:r>
      <w:r>
        <w:t xml:space="preserve">district. It reported the highest raw within-country score of any arm (median</w:t>
      </w:r>
      <w:r>
        <w:t xml:space="preserve"> </w:t>
      </w:r>
      <w:r>
        <w:t xml:space="preserve">Pearson r 0.516 over 24 cells; median absolute error 8.55 percentage points).</w:t>
      </w:r>
      <w:r>
        <w:t xml:space="preserve"> </w:t>
      </w:r>
      <w:r>
        <w:t xml:space="preserve">The folds split respondents rather than districts, so a district’s own</w:t>
      </w:r>
      <w:r>
        <w:t xml:space="preserve"> </w:t>
      </w:r>
      <w:r>
        <w:t xml:space="preserve">respondents appeared in training; the number is not an out-of-district</w:t>
      </w:r>
      <w:r>
        <w:t xml:space="preserve"> </w:t>
      </w:r>
      <w:r>
        <w:t xml:space="preserve">comparison and was withdrawn as a headline. The aggregated predictions also</w:t>
      </w:r>
      <w:r>
        <w:t xml:space="preserve"> </w:t>
      </w:r>
      <w:r>
        <w:t xml:space="preserve">showed the compression the small-area literature predicts</w:t>
      </w:r>
      <w:r>
        <w:t xml:space="preserve"> </w:t>
      </w:r>
      <w:r>
        <w:t xml:space="preserve">(Mercer et al. 2015; Wakefield, Okonek, and Pedersen 2020; Niculescu-Mizil and Caruana 2005)</w:t>
      </w:r>
      <w:r>
        <w:t xml:space="preserve">: a probabilistic classifier</w:t>
      </w:r>
      <w:r>
        <w:t xml:space="preserve"> </w:t>
      </w:r>
      <w:r>
        <w:t xml:space="preserve">under uncertainty shrinks toward the marginal class probability, and naive</w:t>
      </w:r>
      <w:r>
        <w:t xml:space="preserve"> </w:t>
      </w:r>
      <w:r>
        <w:t xml:space="preserve">aggregation pulls every district mean toward the national prevalence, giving</w:t>
      </w:r>
      <w:r>
        <w:t xml:space="preserve"> </w:t>
      </w:r>
      <w:r>
        <w:t xml:space="preserve">large negative biases for high-prevalence outcomes. Fitting at the unit of</w:t>
      </w:r>
      <w:r>
        <w:t xml:space="preserve"> </w:t>
      </w:r>
      <w:r>
        <w:t xml:space="preserve">deliverable is the standing recommendation.</w:t>
      </w:r>
    </w:p>
    <w:p>
      <w:pPr>
        <w:pStyle w:val="BodyText"/>
      </w:pPr>
      <w:r>
        <w:t xml:space="preserve">Under the protocol the person-level model was re-fitted with survey weights,</w:t>
      </w:r>
      <w:r>
        <w:t xml:space="preserve"> </w:t>
      </w:r>
      <w:r>
        <w:t xml:space="preserve">outer folds cut by district so no district’s respondents are split across</w:t>
      </w:r>
      <w:r>
        <w:t xml:space="preserve"> </w:t>
      </w:r>
      <w:r>
        <w:t xml:space="preserve">training and test, and three predictor sets: the survey questionnaire alone,</w:t>
      </w:r>
      <w:r>
        <w:t xml:space="preserve"> </w:t>
      </w:r>
      <w:r>
        <w:t xml:space="preserve">the district proxies alone, and both (</w:t>
      </w:r>
      <w:hyperlink w:anchor="fig-individual">
        <w:r>
          <w:rPr>
            <w:rStyle w:val="Hyperlink"/>
          </w:rPr>
          <w:t xml:space="preserve">Figure 1</w:t>
        </w:r>
      </w:hyperlink>
      <w:r>
        <w:t xml:space="preserve">). Discrimination is</w:t>
      </w:r>
      <w:r>
        <w:t xml:space="preserve"> </w:t>
      </w:r>
      <w:r>
        <w:t xml:space="preserve">near chance for the vitamins and folate in every set and present only for</w:t>
      </w:r>
      <w:r>
        <w:t xml:space="preserve"> </w:t>
      </w:r>
      <w:r>
        <w:t xml:space="preserve">iron (AUC 0.75–0.78, Brier skill 0.06–0.14 in Ghana and Malawi); the</w:t>
      </w:r>
      <w:r>
        <w:t xml:space="preserve"> </w:t>
      </w:r>
      <w:r>
        <w:t xml:space="preserve">questionnaire and the proxies carry the same weak signal at the individual</w:t>
      </w:r>
      <w:r>
        <w:t xml:space="preserve"> </w:t>
      </w:r>
      <w:r>
        <w:t xml:space="preserve">level, and adding the proxies to the questionnaire changes the Brier skill by</w:t>
      </w:r>
      <w:r>
        <w:t xml:space="preserve"> </w:t>
      </w:r>
      <w:r>
        <w:t xml:space="preserve">less than 0.01 in most cells.</w:t>
      </w:r>
    </w:p>
    <w:tbl>
      <w:tblPr>
        <w:tblStyle w:val="Table"/>
        <w:tblW w:type="pct" w:w="5000"/>
        <w:tblLayout w:type="fixed"/>
        <w:tblLook w:firstRow="0" w:lastRow="0" w:firstColumn="0" w:lastColumn="0" w:noHBand="0" w:noVBand="0" w:val="0000"/>
      </w:tblPr>
      <w:tblGrid>
        <w:gridCol w:w="7920"/>
      </w:tblGrid>
      <w:tr>
        <w:tc>
          <w:tcPr/>
          <w:bookmarkStart w:id="56" w:name="fig-individual"/>
          <w:p>
            <w:pPr>
              <w:pStyle w:val="Compact"/>
              <w:jc w:val="center"/>
            </w:pPr>
            <w:r>
              <w:drawing>
                <wp:inline>
                  <wp:extent cx="5334000" cy="2800349"/>
                  <wp:effectExtent b="0" l="0" r="0" t="0"/>
                  <wp:docPr descr="" title="" id="54" name="Picture"/>
                  <a:graphic>
                    <a:graphicData uri="http://schemas.openxmlformats.org/drawingml/2006/picture">
                      <pic:pic>
                        <pic:nvPicPr>
                          <pic:cNvPr descr="manuscript_mcn_v2_files/figure-docx/fig-individual-1.png" id="55" name="Picture"/>
                          <pic:cNvPicPr>
                            <a:picLocks noChangeArrowheads="1" noChangeAspect="1"/>
                          </pic:cNvPicPr>
                        </pic:nvPicPr>
                        <pic:blipFill>
                          <a:blip r:embed="rId53"/>
                          <a:stretch>
                            <a:fillRect/>
                          </a:stretch>
                        </pic:blipFill>
                        <pic:spPr bwMode="auto">
                          <a:xfrm>
                            <a:off x="0" y="0"/>
                            <a:ext cx="5334000" cy="280034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Person-level SuperLearner, outer 5-fold cross-validation by district: Brier skill over the national prevalence for the survey questionnaire alone, the district proxies alone, and both, by country and outcome.</w:t>
            </w:r>
          </w:p>
          <w:bookmarkEnd w:id="56"/>
        </w:tc>
      </w:tr>
    </w:tbl>
    <w:bookmarkEnd w:id="57"/>
    <w:bookmarkStart w:id="60" w:name="s1.2-the-corrected-methods-p1p8-layer"/>
    <w:p>
      <w:pPr>
        <w:pStyle w:val="Heading2"/>
      </w:pPr>
      <w:r>
        <w:t xml:space="preserve">S1.2 The corrected-methods (P1–P8) layer</w:t>
      </w:r>
    </w:p>
    <w:p>
      <w:pPr>
        <w:pStyle w:val="FirstParagraph"/>
      </w:pPr>
      <w:r>
        <w:t xml:space="preserve">Before the protocol, a set of corrected methods was built to remove the</w:t>
      </w:r>
      <w:r>
        <w:t xml:space="preserve"> </w:t>
      </w:r>
      <w:r>
        <w:t xml:space="preserve">leakages found in the production pipeline: preprocessing inside each fold and</w:t>
      </w:r>
      <w:r>
        <w:t xml:space="preserve"> </w:t>
      </w:r>
      <w:r>
        <w:t xml:space="preserve">folds blocked by survey cluster and by region (P1); out-of-fold recalibration</w:t>
      </w:r>
      <w:r>
        <w:t xml:space="preserve"> </w:t>
      </w:r>
      <w:r>
        <w:t xml:space="preserve">of binary predictions (P2); decomposition of district error into a survey</w:t>
      </w:r>
      <w:r>
        <w:t xml:space="preserve"> </w:t>
      </w:r>
      <w:r>
        <w:t xml:space="preserve">sampling component and a model component (P3); split-conformal and</w:t>
      </w:r>
      <w:r>
        <w:t xml:space="preserve"> </w:t>
      </w:r>
      <w:r>
        <w:t xml:space="preserve">design-based intervals per district (P4); a decision-value score for ranking</w:t>
      </w:r>
      <w:r>
        <w:t xml:space="preserve"> </w:t>
      </w:r>
      <w:r>
        <w:t xml:space="preserve">the highest-burden districts (P5); out-of-support flags for districts whose</w:t>
      </w:r>
      <w:r>
        <w:t xml:space="preserve"> </w:t>
      </w:r>
      <w:r>
        <w:t xml:space="preserve">covariates fall outside the surveyed range (P6); empirical-Bayes partial</w:t>
      </w:r>
      <w:r>
        <w:t xml:space="preserve"> </w:t>
      </w:r>
      <w:r>
        <w:t xml:space="preserve">pooling (P7); and per-district trust labels (P8). Their outputs are in</w:t>
      </w:r>
      <w:r>
        <w:t xml:space="preserve"> </w:t>
      </w:r>
      <w:r>
        <w:rPr>
          <w:rStyle w:val="VerbatimChar"/>
        </w:rPr>
        <w:t xml:space="preserve">results/tables/corrected/</w:t>
      </w:r>
      <w:r>
        <w:t xml:space="preserve">. Two of their findings stand and are absorbed by</w:t>
      </w:r>
      <w:r>
        <w:t xml:space="preserve"> </w:t>
      </w:r>
      <w:r>
        <w:t xml:space="preserve">the protocol: honest cluster-blocked folds lower within-country discrimination</w:t>
      </w:r>
      <w:r>
        <w:t xml:space="preserve"> </w:t>
      </w:r>
      <w:r>
        <w:t xml:space="preserve">by a few points of AUC relative to random folds, and a substantial part of the</w:t>
      </w:r>
      <w:r>
        <w:t xml:space="preserve"> </w:t>
      </w:r>
      <w:r>
        <w:t xml:space="preserve">apparent district error is survey sampling noise. The protocol supersedes the</w:t>
      </w:r>
      <w:r>
        <w:t xml:space="preserve"> </w:t>
      </w:r>
      <w:r>
        <w:t xml:space="preserve">layer by naming the estimand, matching baselines, replicating folds and</w:t>
      </w:r>
      <w:r>
        <w:t xml:space="preserve"> </w:t>
      </w:r>
      <w:r>
        <w:t xml:space="preserve">weighting by measured effective sample size, none of which the P1–P8 layer</w:t>
      </w:r>
      <w:r>
        <w:t xml:space="preserve"> </w:t>
      </w:r>
      <w:r>
        <w:t xml:space="preserve">did.</w:t>
      </w:r>
    </w:p>
    <w:tbl>
      <w:tblPr>
        <w:tblStyle w:val="Table"/>
        <w:tblW w:type="pct" w:w="5000"/>
        <w:tblLayout w:type="fixed"/>
        <w:tblLook w:firstRow="0" w:lastRow="0" w:firstColumn="0" w:lastColumn="0" w:noHBand="0" w:noVBand="0" w:val="0000"/>
      </w:tblPr>
      <w:tblGrid>
        <w:gridCol w:w="7920"/>
      </w:tblGrid>
      <w:tr>
        <w:tc>
          <w:tcPr/>
          <w:bookmarkStart w:id="58" w:name="tbl-s1-honesty"/>
          <w:p>
            <w:pPr>
              <w:jc w:val="center"/>
            </w:pPr>
            <w:pPr>
              <w:jc w:val="start"/>
              <w:spacing w:before="200"/>
              <w:pStyle w:val="ImageCaption"/>
            </w:pPr>
            <w:r>
              <w:t xml:space="preserve">Table 12: Corrected methods, P1: within-country AUC under random cross-validation with full-data preprocessing against cluster-blocked and region-blocked folds with in-fold preprocessing.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country</w:t>
                  </w:r>
                </w:p>
              </w:tc>
              <w:tc>
                <w:tcPr/>
                <w:p>
                  <w:pPr>
                    <w:pStyle w:val="Compact"/>
                    <w:jc w:val="left"/>
                    <w:jc w:val="center"/>
                  </w:pPr>
                  <w:r>
                    <w:t xml:space="preserve">outcome</w:t>
                  </w:r>
                </w:p>
              </w:tc>
              <w:tc>
                <w:tcPr/>
                <w:p>
                  <w:pPr>
                    <w:pStyle w:val="Compact"/>
                    <w:jc w:val="right"/>
                    <w:jc w:val="center"/>
                  </w:pPr>
                  <w:r>
                    <w:t xml:space="preserve">Optimistic</w:t>
                  </w:r>
                </w:p>
              </w:tc>
              <w:tc>
                <w:tcPr/>
                <w:p>
                  <w:pPr>
                    <w:pStyle w:val="Compact"/>
                    <w:jc w:val="right"/>
                    <w:jc w:val="center"/>
                  </w:pPr>
                  <w:r>
                    <w:t xml:space="preserve">Region-block</w:t>
                  </w:r>
                </w:p>
              </w:tc>
              <w:tc>
                <w:tcPr/>
                <w:p>
                  <w:pPr>
                    <w:pStyle w:val="Compact"/>
                    <w:jc w:val="right"/>
                    <w:jc w:val="center"/>
                  </w:pPr>
                  <w:r>
                    <w:t xml:space="preserve">Cluster-block</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right"/>
                    <w:jc w:val="center"/>
                  </w:pPr>
                  <w:r>
                    <w:t xml:space="preserve">0.57</w:t>
                  </w:r>
                </w:p>
              </w:tc>
              <w:tc>
                <w:tcPr/>
                <w:p>
                  <w:pPr>
                    <w:pStyle w:val="Compact"/>
                    <w:jc w:val="right"/>
                    <w:jc w:val="center"/>
                  </w:pPr>
                  <w:r>
                    <w:t xml:space="preserve">0.57</w:t>
                  </w:r>
                </w:p>
              </w:tc>
              <w:tc>
                <w:tcPr/>
                <w:p>
                  <w:pPr>
                    <w:pStyle w:val="Compact"/>
                    <w:jc w:val="right"/>
                    <w:jc w:val="center"/>
                  </w:pPr>
                  <w:r>
                    <w:t xml:space="preserve">0.55</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right"/>
                    <w:jc w:val="center"/>
                  </w:pPr>
                  <w:r>
                    <w:t xml:space="preserve">0.64</w:t>
                  </w:r>
                </w:p>
              </w:tc>
              <w:tc>
                <w:tcPr/>
                <w:p>
                  <w:pPr>
                    <w:pStyle w:val="Compact"/>
                    <w:jc w:val="right"/>
                    <w:jc w:val="center"/>
                  </w:pPr>
                  <w:r>
                    <w:t xml:space="preserve">0.64</w:t>
                  </w:r>
                </w:p>
              </w:tc>
              <w:tc>
                <w:tcPr/>
                <w:p>
                  <w:pPr>
                    <w:pStyle w:val="Compact"/>
                    <w:jc w:val="right"/>
                    <w:jc w:val="center"/>
                  </w:pPr>
                  <w:r>
                    <w:t xml:space="preserve">0.59</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right"/>
                    <w:jc w:val="center"/>
                  </w:pPr>
                  <w:r>
                    <w:t xml:space="preserve">0.62</w:t>
                  </w:r>
                </w:p>
              </w:tc>
              <w:tc>
                <w:tcPr/>
                <w:p>
                  <w:pPr>
                    <w:pStyle w:val="Compact"/>
                    <w:jc w:val="right"/>
                    <w:jc w:val="center"/>
                  </w:pPr>
                  <w:r>
                    <w:t xml:space="preserve">0.61</w:t>
                  </w:r>
                </w:p>
              </w:tc>
              <w:tc>
                <w:tcPr/>
                <w:p>
                  <w:pPr>
                    <w:pStyle w:val="Compact"/>
                    <w:jc w:val="right"/>
                    <w:jc w:val="center"/>
                  </w:pPr>
                  <w:r>
                    <w:t xml:space="preserve">0.61</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right"/>
                    <w:jc w:val="center"/>
                  </w:pPr>
                  <w:r>
                    <w:t xml:space="preserve">0.76</w:t>
                  </w:r>
                </w:p>
              </w:tc>
              <w:tc>
                <w:tcPr/>
                <w:p>
                  <w:pPr>
                    <w:pStyle w:val="Compact"/>
                    <w:jc w:val="right"/>
                    <w:jc w:val="center"/>
                  </w:pPr>
                  <w:r>
                    <w:t xml:space="preserve">0.74</w:t>
                  </w:r>
                </w:p>
              </w:tc>
              <w:tc>
                <w:tcPr/>
                <w:p>
                  <w:pPr>
                    <w:pStyle w:val="Compact"/>
                    <w:jc w:val="right"/>
                    <w:jc w:val="center"/>
                  </w:pPr>
                  <w:r>
                    <w:t xml:space="preserve">0.67</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right"/>
                    <w:jc w:val="center"/>
                  </w:pPr>
                  <w:r>
                    <w:t xml:space="preserve">0.67</w:t>
                  </w:r>
                </w:p>
              </w:tc>
              <w:tc>
                <w:tcPr/>
                <w:p>
                  <w:pPr>
                    <w:pStyle w:val="Compact"/>
                    <w:jc w:val="right"/>
                    <w:jc w:val="center"/>
                  </w:pPr>
                  <w:r>
                    <w:t xml:space="preserve">0.54</w:t>
                  </w:r>
                </w:p>
              </w:tc>
              <w:tc>
                <w:tcPr/>
                <w:p>
                  <w:pPr>
                    <w:pStyle w:val="Compact"/>
                    <w:jc w:val="right"/>
                    <w:jc w:val="center"/>
                  </w:pPr>
                  <w:r>
                    <w:t xml:space="preserve">0.66</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right"/>
                    <w:jc w:val="center"/>
                  </w:pPr>
                  <w:r>
                    <w:t xml:space="preserve">0.55</w:t>
                  </w:r>
                </w:p>
              </w:tc>
              <w:tc>
                <w:tcPr/>
                <w:p>
                  <w:pPr>
                    <w:pStyle w:val="Compact"/>
                    <w:jc w:val="right"/>
                    <w:jc w:val="center"/>
                  </w:pPr>
                  <w:r>
                    <w:t xml:space="preserve">0.53</w:t>
                  </w:r>
                </w:p>
              </w:tc>
              <w:tc>
                <w:tcPr/>
                <w:p>
                  <w:pPr>
                    <w:pStyle w:val="Compact"/>
                    <w:jc w:val="right"/>
                    <w:jc w:val="center"/>
                  </w:pPr>
                  <w:r>
                    <w:t xml:space="preserve">0.58</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right"/>
                    <w:jc w:val="center"/>
                  </w:pPr>
                  <w:r>
                    <w:t xml:space="preserve">0.67</w:t>
                  </w:r>
                </w:p>
              </w:tc>
              <w:tc>
                <w:tcPr/>
                <w:p>
                  <w:pPr>
                    <w:pStyle w:val="Compact"/>
                    <w:jc w:val="right"/>
                    <w:jc w:val="center"/>
                  </w:pPr>
                  <w:r>
                    <w:t xml:space="preserve">0.64</w:t>
                  </w:r>
                </w:p>
              </w:tc>
              <w:tc>
                <w:tcPr/>
                <w:p>
                  <w:pPr>
                    <w:pStyle w:val="Compact"/>
                    <w:jc w:val="right"/>
                    <w:jc w:val="center"/>
                  </w:pPr>
                  <w:r>
                    <w:t xml:space="preserve">0.62</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right"/>
                    <w:jc w:val="center"/>
                  </w:pPr>
                  <w:r>
                    <w:t xml:space="preserve">0.58</w:t>
                  </w:r>
                </w:p>
              </w:tc>
              <w:tc>
                <w:tcPr/>
                <w:p>
                  <w:pPr>
                    <w:pStyle w:val="Compact"/>
                    <w:jc w:val="right"/>
                    <w:jc w:val="center"/>
                  </w:pPr>
                  <w:r>
                    <w:t xml:space="preserve">0.56</w:t>
                  </w:r>
                </w:p>
              </w:tc>
              <w:tc>
                <w:tcPr/>
                <w:p>
                  <w:pPr>
                    <w:pStyle w:val="Compact"/>
                    <w:jc w:val="right"/>
                    <w:jc w:val="center"/>
                  </w:pPr>
                  <w:r>
                    <w:t xml:space="preserve">0.57</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right"/>
                    <w:jc w:val="center"/>
                  </w:pPr>
                  <w:r>
                    <w:t xml:space="preserve">0.57</w:t>
                  </w:r>
                </w:p>
              </w:tc>
              <w:tc>
                <w:tcPr/>
                <w:p>
                  <w:pPr>
                    <w:pStyle w:val="Compact"/>
                    <w:jc w:val="right"/>
                    <w:jc w:val="center"/>
                  </w:pPr>
                  <w:r>
                    <w:t xml:space="preserve">0.57</w:t>
                  </w:r>
                </w:p>
              </w:tc>
              <w:tc>
                <w:tcPr/>
                <w:p>
                  <w:pPr>
                    <w:pStyle w:val="Compact"/>
                    <w:jc w:val="right"/>
                    <w:jc w:val="center"/>
                  </w:pPr>
                  <w:r>
                    <w:t xml:space="preserve">0.58</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right"/>
                    <w:jc w:val="center"/>
                  </w:pPr>
                  <w:r>
                    <w:t xml:space="preserve">0.55</w:t>
                  </w:r>
                </w:p>
              </w:tc>
              <w:tc>
                <w:tcPr/>
                <w:p>
                  <w:pPr>
                    <w:pStyle w:val="Compact"/>
                    <w:jc w:val="right"/>
                    <w:jc w:val="center"/>
                  </w:pPr>
                  <w:r>
                    <w:t xml:space="preserve">0.60</w:t>
                  </w:r>
                </w:p>
              </w:tc>
              <w:tc>
                <w:tcPr/>
                <w:p>
                  <w:pPr>
                    <w:pStyle w:val="Compact"/>
                    <w:jc w:val="right"/>
                    <w:jc w:val="center"/>
                  </w:pPr>
                  <w:r>
                    <w:t xml:space="preserve">0.42</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right"/>
                    <w:jc w:val="center"/>
                  </w:pPr>
                  <w:r>
                    <w:t xml:space="preserve">0.55</w:t>
                  </w:r>
                </w:p>
              </w:tc>
              <w:tc>
                <w:tcPr/>
                <w:p>
                  <w:pPr>
                    <w:pStyle w:val="Compact"/>
                    <w:jc w:val="right"/>
                    <w:jc w:val="center"/>
                  </w:pPr>
                  <w:r>
                    <w:t xml:space="preserve">0.50</w:t>
                  </w:r>
                </w:p>
              </w:tc>
              <w:tc>
                <w:tcPr/>
                <w:p>
                  <w:pPr>
                    <w:pStyle w:val="Compact"/>
                    <w:jc w:val="right"/>
                    <w:jc w:val="center"/>
                  </w:pPr>
                  <w:r>
                    <w:t xml:space="preserve">0.51</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right"/>
                    <w:jc w:val="center"/>
                  </w:pPr>
                  <w:r>
                    <w:t xml:space="preserve">0.59</w:t>
                  </w:r>
                </w:p>
              </w:tc>
              <w:tc>
                <w:tcPr/>
                <w:p>
                  <w:pPr>
                    <w:pStyle w:val="Compact"/>
                    <w:jc w:val="right"/>
                    <w:jc w:val="center"/>
                  </w:pPr>
                  <w:r>
                    <w:t xml:space="preserve">0.52</w:t>
                  </w:r>
                </w:p>
              </w:tc>
              <w:tc>
                <w:tcPr/>
                <w:p>
                  <w:pPr>
                    <w:pStyle w:val="Compact"/>
                    <w:jc w:val="right"/>
                    <w:jc w:val="center"/>
                  </w:pPr>
                  <w:r>
                    <w:t xml:space="preserve">0.52</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right"/>
                    <w:jc w:val="center"/>
                  </w:pPr>
                  <w:r>
                    <w:t xml:space="preserve">0.68</w:t>
                  </w:r>
                </w:p>
              </w:tc>
              <w:tc>
                <w:tcPr/>
                <w:p>
                  <w:pPr>
                    <w:pStyle w:val="Compact"/>
                    <w:jc w:val="right"/>
                    <w:jc w:val="center"/>
                  </w:pPr>
                  <w:r>
                    <w:t xml:space="preserve">0.48</w:t>
                  </w:r>
                </w:p>
              </w:tc>
              <w:tc>
                <w:tcPr/>
                <w:p>
                  <w:pPr>
                    <w:pStyle w:val="Compact"/>
                    <w:jc w:val="right"/>
                    <w:jc w:val="center"/>
                  </w:pPr>
                  <w:r>
                    <w:t xml:space="preserve">0.48</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right"/>
                    <w:jc w:val="center"/>
                  </w:pPr>
                  <w:r>
                    <w:t xml:space="preserve">0.65</w:t>
                  </w:r>
                </w:p>
              </w:tc>
              <w:tc>
                <w:tcPr/>
                <w:p>
                  <w:pPr>
                    <w:pStyle w:val="Compact"/>
                    <w:jc w:val="right"/>
                    <w:jc w:val="center"/>
                  </w:pPr>
                  <w:r>
                    <w:t xml:space="preserve">0.64</w:t>
                  </w:r>
                </w:p>
              </w:tc>
              <w:tc>
                <w:tcPr/>
                <w:p>
                  <w:pPr>
                    <w:pStyle w:val="Compact"/>
                    <w:jc w:val="right"/>
                    <w:jc w:val="center"/>
                  </w:pPr>
                  <w:r>
                    <w:t xml:space="preserve">0.69</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right"/>
                    <w:jc w:val="center"/>
                  </w:pPr>
                  <w:r>
                    <w:t xml:space="preserve">0.72</w:t>
                  </w:r>
                </w:p>
              </w:tc>
              <w:tc>
                <w:tcPr/>
                <w:p>
                  <w:pPr>
                    <w:pStyle w:val="Compact"/>
                    <w:jc w:val="right"/>
                    <w:jc w:val="center"/>
                  </w:pPr>
                  <w:r>
                    <w:t xml:space="preserve">0.55</w:t>
                  </w:r>
                </w:p>
              </w:tc>
              <w:tc>
                <w:tcPr/>
                <w:p>
                  <w:pPr>
                    <w:pStyle w:val="Compact"/>
                    <w:jc w:val="right"/>
                    <w:jc w:val="center"/>
                  </w:pPr>
                  <w:r>
                    <w:t xml:space="preserve">0.62</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right"/>
                    <w:jc w:val="center"/>
                  </w:pPr>
                  <w:r>
                    <w:t xml:space="preserve">0.57</w:t>
                  </w:r>
                </w:p>
              </w:tc>
              <w:tc>
                <w:tcPr/>
                <w:p>
                  <w:pPr>
                    <w:pStyle w:val="Compact"/>
                    <w:jc w:val="right"/>
                    <w:jc w:val="center"/>
                  </w:pPr>
                  <w:r>
                    <w:t xml:space="preserve">0.52</w:t>
                  </w:r>
                </w:p>
              </w:tc>
              <w:tc>
                <w:tcPr/>
                <w:p>
                  <w:pPr>
                    <w:pStyle w:val="Compact"/>
                    <w:jc w:val="right"/>
                    <w:jc w:val="center"/>
                  </w:pPr>
                  <w:r>
                    <w:t xml:space="preserve">0.53</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right"/>
                    <w:jc w:val="center"/>
                  </w:pPr>
                  <w:r>
                    <w:t xml:space="preserve">0.50</w:t>
                  </w:r>
                </w:p>
              </w:tc>
              <w:tc>
                <w:tcPr/>
                <w:p>
                  <w:pPr>
                    <w:pStyle w:val="Compact"/>
                    <w:jc w:val="right"/>
                    <w:jc w:val="center"/>
                  </w:pPr>
                  <w:r>
                    <w:t xml:space="preserve">0.50</w:t>
                  </w:r>
                </w:p>
              </w:tc>
              <w:tc>
                <w:tcPr/>
                <w:p>
                  <w:pPr>
                    <w:pStyle w:val="Compact"/>
                    <w:jc w:val="right"/>
                    <w:jc w:val="center"/>
                  </w:pPr>
                  <w:r>
                    <w:t xml:space="preserve">0.58</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right"/>
                    <w:jc w:val="center"/>
                  </w:pPr>
                  <w:r>
                    <w:t xml:space="preserve">0.68</w:t>
                  </w:r>
                </w:p>
              </w:tc>
              <w:tc>
                <w:tcPr/>
                <w:p>
                  <w:pPr>
                    <w:pStyle w:val="Compact"/>
                    <w:jc w:val="right"/>
                    <w:jc w:val="center"/>
                  </w:pPr>
                  <w:r>
                    <w:t xml:space="preserve">0.48</w:t>
                  </w:r>
                </w:p>
              </w:tc>
              <w:tc>
                <w:tcPr/>
                <w:p>
                  <w:pPr>
                    <w:pStyle w:val="Compact"/>
                    <w:jc w:val="right"/>
                    <w:jc w:val="center"/>
                  </w:pPr>
                  <w:r>
                    <w:t xml:space="preserve">0.51</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right"/>
                    <w:jc w:val="center"/>
                  </w:pPr>
                  <w:r>
                    <w:t xml:space="preserve">0.43</w:t>
                  </w:r>
                </w:p>
              </w:tc>
              <w:tc>
                <w:tcPr/>
                <w:p>
                  <w:pPr>
                    <w:pStyle w:val="Compact"/>
                    <w:jc w:val="right"/>
                    <w:jc w:val="center"/>
                  </w:pPr>
                  <w:r>
                    <w:t xml:space="preserve">0.46</w:t>
                  </w:r>
                </w:p>
              </w:tc>
              <w:tc>
                <w:tcPr/>
                <w:p>
                  <w:pPr>
                    <w:pStyle w:val="Compact"/>
                    <w:jc w:val="right"/>
                    <w:jc w:val="center"/>
                  </w:pPr>
                  <w:r>
                    <w:t xml:space="preserve">0.47</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right"/>
                    <w:jc w:val="center"/>
                  </w:pPr>
                  <w:r>
                    <w:t xml:space="preserve">0.48</w:t>
                  </w:r>
                </w:p>
              </w:tc>
              <w:tc>
                <w:tcPr/>
                <w:p>
                  <w:pPr>
                    <w:pStyle w:val="Compact"/>
                    <w:jc w:val="right"/>
                    <w:jc w:val="center"/>
                  </w:pPr>
                  <w:r>
                    <w:t xml:space="preserve">0.54</w:t>
                  </w:r>
                </w:p>
              </w:tc>
              <w:tc>
                <w:tcPr/>
                <w:p>
                  <w:pPr>
                    <w:pStyle w:val="Compact"/>
                    <w:jc w:val="right"/>
                    <w:jc w:val="center"/>
                  </w:pPr>
                  <w:r>
                    <w:t xml:space="preserve">0.45</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right"/>
                    <w:jc w:val="center"/>
                  </w:pPr>
                  <w:r>
                    <w:t xml:space="preserve">0.31</w:t>
                  </w:r>
                </w:p>
              </w:tc>
              <w:tc>
                <w:tcPr/>
                <w:p>
                  <w:pPr>
                    <w:pStyle w:val="Compact"/>
                    <w:jc w:val="right"/>
                    <w:jc w:val="center"/>
                  </w:pPr>
                  <w:r>
                    <w:t xml:space="preserve">0.55</w:t>
                  </w:r>
                </w:p>
              </w:tc>
              <w:tc>
                <w:tcPr/>
                <w:p>
                  <w:pPr>
                    <w:pStyle w:val="Compact"/>
                    <w:jc w:val="right"/>
                    <w:jc w:val="center"/>
                  </w:pPr>
                  <w:r>
                    <w:t xml:space="preserve">0.20</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right"/>
                    <w:jc w:val="center"/>
                  </w:pPr>
                  <w:r>
                    <w:t xml:space="preserve">0.63</w:t>
                  </w:r>
                </w:p>
              </w:tc>
              <w:tc>
                <w:tcPr/>
                <w:p>
                  <w:pPr>
                    <w:pStyle w:val="Compact"/>
                    <w:jc w:val="right"/>
                    <w:jc w:val="center"/>
                  </w:pPr>
                  <w:r>
                    <w:t xml:space="preserve">0.42</w:t>
                  </w:r>
                </w:p>
              </w:tc>
              <w:tc>
                <w:tcPr/>
                <w:p>
                  <w:pPr>
                    <w:pStyle w:val="Compact"/>
                    <w:jc w:val="right"/>
                    <w:jc w:val="center"/>
                  </w:pPr>
                  <w:r>
                    <w:t xml:space="preserve">0.51</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right"/>
                    <w:jc w:val="center"/>
                  </w:pPr>
                  <w:r>
                    <w:t xml:space="preserve">0.59</w:t>
                  </w:r>
                </w:p>
              </w:tc>
              <w:tc>
                <w:tcPr/>
                <w:p>
                  <w:pPr>
                    <w:pStyle w:val="Compact"/>
                    <w:jc w:val="right"/>
                    <w:jc w:val="center"/>
                  </w:pPr>
                  <w:r>
                    <w:t xml:space="preserve">0.50</w:t>
                  </w:r>
                </w:p>
              </w:tc>
              <w:tc>
                <w:tcPr/>
                <w:p>
                  <w:pPr>
                    <w:pStyle w:val="Compact"/>
                    <w:jc w:val="right"/>
                    <w:jc w:val="center"/>
                  </w:pPr>
                  <w:r>
                    <w:t xml:space="preserve">0.57</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right"/>
                    <w:jc w:val="center"/>
                  </w:pPr>
                  <w:r>
                    <w:t xml:space="preserve">0.60</w:t>
                  </w:r>
                </w:p>
              </w:tc>
              <w:tc>
                <w:tcPr/>
                <w:p>
                  <w:pPr>
                    <w:pStyle w:val="Compact"/>
                    <w:jc w:val="right"/>
                    <w:jc w:val="center"/>
                  </w:pPr>
                  <w:r>
                    <w:t xml:space="preserve">0.43</w:t>
                  </w:r>
                </w:p>
              </w:tc>
              <w:tc>
                <w:tcPr/>
                <w:p>
                  <w:pPr>
                    <w:pStyle w:val="Compact"/>
                    <w:jc w:val="right"/>
                    <w:jc w:val="center"/>
                  </w:pPr>
                  <w:r>
                    <w:t xml:space="preserve">0.32</w:t>
                  </w:r>
                </w:p>
              </w:tc>
            </w:tr>
          </w:tbl>
          <w:bookmarkEnd w:id="5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9" w:name="tbl-s1-error"/>
          <w:p>
            <w:pPr>
              <w:jc w:val="center"/>
            </w:pPr>
            <w:pPr>
              <w:jc w:val="start"/>
              <w:spacing w:before="200"/>
              <w:pStyle w:val="ImageCaption"/>
            </w:pPr>
            <w:r>
              <w:t xml:space="preserve">Table 13: Corrected methods, P3: district prediction error decomposed into a survey-sampling component and a model component.</w:t>
            </w:r>
          </w:p>
          <w:tbl>
            <w:tblPr>
              <w:tblStyle w:val="Table"/>
              <w:tblW w:type="pct" w:w="5000"/>
              <w:tblLayout w:type="fixed"/>
              <w:tblLook w:firstRow="1" w:lastRow="0" w:firstColumn="0" w:lastColumn="0" w:noHBand="0" w:noVBand="0" w:val="0020"/>
            </w:tblPr>
            <w:tblGrid>
              <w:gridCol w:w="1095"/>
              <w:gridCol w:w="1095"/>
              <w:gridCol w:w="674"/>
              <w:gridCol w:w="1348"/>
              <w:gridCol w:w="1600"/>
              <w:gridCol w:w="1600"/>
              <w:gridCol w:w="505"/>
            </w:tblGrid>
            <w:tr>
              <w:trPr>
                <w:tblHeader w:val="on"/>
              </w:trPr>
              <w:tc>
                <w:tcPr/>
                <w:p>
                  <w:pPr>
                    <w:pStyle w:val="Compact"/>
                    <w:jc w:val="left"/>
                    <w:jc w:val="center"/>
                  </w:pPr>
                  <w:r>
                    <w:t xml:space="preserve">Country</w:t>
                  </w:r>
                </w:p>
              </w:tc>
              <w:tc>
                <w:tcPr/>
                <w:p>
                  <w:pPr>
                    <w:pStyle w:val="Compact"/>
                    <w:jc w:val="left"/>
                    <w:jc w:val="center"/>
                  </w:pPr>
                  <w:r>
                    <w:t xml:space="preserve">Outcome</w:t>
                  </w:r>
                </w:p>
              </w:tc>
              <w:tc>
                <w:tcPr/>
                <w:p>
                  <w:pPr>
                    <w:pStyle w:val="Compact"/>
                    <w:jc w:val="right"/>
                    <w:jc w:val="center"/>
                  </w:pPr>
                  <w:r>
                    <w:t xml:space="preserve">n areas</w:t>
                  </w:r>
                </w:p>
              </w:tc>
              <w:tc>
                <w:tcPr/>
                <w:p>
                  <w:pPr>
                    <w:pStyle w:val="Compact"/>
                    <w:jc w:val="right"/>
                    <w:jc w:val="center"/>
                  </w:pPr>
                  <w:r>
                    <w:t xml:space="preserve">Naive RMSE (pp)</w:t>
                  </w:r>
                </w:p>
              </w:tc>
              <w:tc>
                <w:tcPr/>
                <w:p>
                  <w:pPr>
                    <w:pStyle w:val="Compact"/>
                    <w:jc w:val="right"/>
                    <w:jc w:val="center"/>
                  </w:pPr>
                  <w:r>
                    <w:t xml:space="preserve">Sampling RMSE (pp)</w:t>
                  </w:r>
                </w:p>
              </w:tc>
              <w:tc>
                <w:tcPr/>
                <w:p>
                  <w:pPr>
                    <w:pStyle w:val="Compact"/>
                    <w:jc w:val="right"/>
                    <w:jc w:val="center"/>
                  </w:pPr>
                  <w:r>
                    <w:t xml:space="preserve">Adjusted RMSE (pp)</w:t>
                  </w:r>
                </w:p>
              </w:tc>
              <w:tc>
                <w:tcPr/>
                <w:p>
                  <w:pPr>
                    <w:pStyle w:val="Compact"/>
                    <w:jc w:val="right"/>
                    <w:jc w:val="center"/>
                  </w:pPr>
                  <w:r>
                    <w:t xml:space="preserve">r</w:t>
                  </w:r>
                </w:p>
              </w:tc>
            </w:tr>
            <w:tr>
              <w:tc>
                <w:tcPr/>
                <w:p>
                  <w:pPr>
                    <w:pStyle w:val="Compact"/>
                    <w:jc w:val="left"/>
                    <w:jc w:val="center"/>
                  </w:pPr>
                  <w:r>
                    <w:t xml:space="preserve">Gambia</w:t>
                  </w:r>
                </w:p>
              </w:tc>
              <w:tc>
                <w:tcPr/>
                <w:p>
                  <w:pPr>
                    <w:pStyle w:val="Compact"/>
                    <w:jc w:val="left"/>
                    <w:jc w:val="center"/>
                  </w:pPr>
                  <w:r>
                    <w:t xml:space="preserve">child_vitA</w:t>
                  </w:r>
                </w:p>
              </w:tc>
              <w:tc>
                <w:tcPr/>
                <w:p>
                  <w:pPr>
                    <w:pStyle w:val="Compact"/>
                    <w:jc w:val="right"/>
                    <w:jc w:val="center"/>
                  </w:pPr>
                  <w:r>
                    <w:t xml:space="preserve">30</w:t>
                  </w:r>
                </w:p>
              </w:tc>
              <w:tc>
                <w:tcPr/>
                <w:p>
                  <w:pPr>
                    <w:pStyle w:val="Compact"/>
                    <w:jc w:val="right"/>
                    <w:jc w:val="center"/>
                  </w:pPr>
                  <w:r>
                    <w:t xml:space="preserve">11.04</w:t>
                  </w:r>
                </w:p>
              </w:tc>
              <w:tc>
                <w:tcPr/>
                <w:p>
                  <w:pPr>
                    <w:pStyle w:val="Compact"/>
                    <w:jc w:val="right"/>
                    <w:jc w:val="center"/>
                  </w:pPr>
                  <w:r>
                    <w:t xml:space="preserve">3.03</w:t>
                  </w:r>
                </w:p>
              </w:tc>
              <w:tc>
                <w:tcPr/>
                <w:p>
                  <w:pPr>
                    <w:pStyle w:val="Compact"/>
                    <w:jc w:val="right"/>
                    <w:jc w:val="center"/>
                  </w:pPr>
                  <w:r>
                    <w:t xml:space="preserve">10.62</w:t>
                  </w:r>
                </w:p>
              </w:tc>
              <w:tc>
                <w:tcPr/>
                <w:p>
                  <w:pPr>
                    <w:pStyle w:val="Compact"/>
                    <w:jc w:val="right"/>
                    <w:jc w:val="center"/>
                  </w:pPr>
                  <w:r>
                    <w:t xml:space="preserve">0.56</w:t>
                  </w:r>
                </w:p>
              </w:tc>
            </w:tr>
            <w:tr>
              <w:tc>
                <w:tcPr/>
                <w:p>
                  <w:pPr>
                    <w:pStyle w:val="Compact"/>
                    <w:jc w:val="left"/>
                    <w:jc w:val="center"/>
                  </w:pPr>
                  <w:r>
                    <w:t xml:space="preserve">Gambia</w:t>
                  </w:r>
                </w:p>
              </w:tc>
              <w:tc>
                <w:tcPr/>
                <w:p>
                  <w:pPr>
                    <w:pStyle w:val="Compact"/>
                    <w:jc w:val="left"/>
                    <w:jc w:val="center"/>
                  </w:pPr>
                  <w:r>
                    <w:t xml:space="preserve">women_vitA</w:t>
                  </w:r>
                </w:p>
              </w:tc>
              <w:tc>
                <w:tcPr/>
                <w:p>
                  <w:pPr>
                    <w:pStyle w:val="Compact"/>
                    <w:jc w:val="right"/>
                    <w:jc w:val="center"/>
                  </w:pPr>
                  <w:r>
                    <w:t xml:space="preserve">30</w:t>
                  </w:r>
                </w:p>
              </w:tc>
              <w:tc>
                <w:tcPr/>
                <w:p>
                  <w:pPr>
                    <w:pStyle w:val="Compact"/>
                    <w:jc w:val="right"/>
                    <w:jc w:val="center"/>
                  </w:pPr>
                  <w:r>
                    <w:t xml:space="preserve">4.38</w:t>
                  </w:r>
                </w:p>
              </w:tc>
              <w:tc>
                <w:tcPr/>
                <w:p>
                  <w:pPr>
                    <w:pStyle w:val="Compact"/>
                    <w:jc w:val="right"/>
                    <w:jc w:val="center"/>
                  </w:pPr>
                  <w:r>
                    <w:t xml:space="preserve">0.91</w:t>
                  </w:r>
                </w:p>
              </w:tc>
              <w:tc>
                <w:tcPr/>
                <w:p>
                  <w:pPr>
                    <w:pStyle w:val="Compact"/>
                    <w:jc w:val="right"/>
                    <w:jc w:val="center"/>
                  </w:pPr>
                  <w:r>
                    <w:t xml:space="preserve">4.29</w:t>
                  </w:r>
                </w:p>
              </w:tc>
              <w:tc>
                <w:tcPr/>
                <w:p>
                  <w:pPr>
                    <w:pStyle w:val="Compact"/>
                    <w:jc w:val="right"/>
                    <w:jc w:val="center"/>
                  </w:pPr>
                  <w:r>
                    <w:t xml:space="preserve">0.44</w:t>
                  </w:r>
                </w:p>
              </w:tc>
            </w:tr>
            <w:tr>
              <w:tc>
                <w:tcPr/>
                <w:p>
                  <w:pPr>
                    <w:pStyle w:val="Compact"/>
                    <w:jc w:val="left"/>
                    <w:jc w:val="center"/>
                  </w:pPr>
                  <w:r>
                    <w:t xml:space="preserve">Gambia</w:t>
                  </w:r>
                </w:p>
              </w:tc>
              <w:tc>
                <w:tcPr/>
                <w:p>
                  <w:pPr>
                    <w:pStyle w:val="Compact"/>
                    <w:jc w:val="left"/>
                    <w:jc w:val="center"/>
                  </w:pPr>
                  <w:r>
                    <w:t xml:space="preserve">child_iron</w:t>
                  </w:r>
                </w:p>
              </w:tc>
              <w:tc>
                <w:tcPr/>
                <w:p>
                  <w:pPr>
                    <w:pStyle w:val="Compact"/>
                    <w:jc w:val="right"/>
                    <w:jc w:val="center"/>
                  </w:pPr>
                  <w:r>
                    <w:t xml:space="preserve">30</w:t>
                  </w:r>
                </w:p>
              </w:tc>
              <w:tc>
                <w:tcPr/>
                <w:p>
                  <w:pPr>
                    <w:pStyle w:val="Compact"/>
                    <w:jc w:val="right"/>
                    <w:jc w:val="center"/>
                  </w:pPr>
                  <w:r>
                    <w:t xml:space="preserve">25.91</w:t>
                  </w:r>
                </w:p>
              </w:tc>
              <w:tc>
                <w:tcPr/>
                <w:p>
                  <w:pPr>
                    <w:pStyle w:val="Compact"/>
                    <w:jc w:val="right"/>
                    <w:jc w:val="center"/>
                  </w:pPr>
                  <w:r>
                    <w:t xml:space="preserve">3.50</w:t>
                  </w:r>
                </w:p>
              </w:tc>
              <w:tc>
                <w:tcPr/>
                <w:p>
                  <w:pPr>
                    <w:pStyle w:val="Compact"/>
                    <w:jc w:val="right"/>
                    <w:jc w:val="center"/>
                  </w:pPr>
                  <w:r>
                    <w:t xml:space="preserve">25.67</w:t>
                  </w:r>
                </w:p>
              </w:tc>
              <w:tc>
                <w:tcPr/>
                <w:p>
                  <w:pPr>
                    <w:pStyle w:val="Compact"/>
                    <w:jc w:val="right"/>
                    <w:jc w:val="center"/>
                  </w:pPr>
                  <w:r>
                    <w:t xml:space="preserve">0.55</w:t>
                  </w:r>
                </w:p>
              </w:tc>
            </w:tr>
            <w:tr>
              <w:tc>
                <w:tcPr/>
                <w:p>
                  <w:pPr>
                    <w:pStyle w:val="Compact"/>
                    <w:jc w:val="left"/>
                    <w:jc w:val="center"/>
                  </w:pPr>
                  <w:r>
                    <w:t xml:space="preserve">Gambia</w:t>
                  </w:r>
                </w:p>
              </w:tc>
              <w:tc>
                <w:tcPr/>
                <w:p>
                  <w:pPr>
                    <w:pStyle w:val="Compact"/>
                    <w:jc w:val="left"/>
                    <w:jc w:val="center"/>
                  </w:pPr>
                  <w:r>
                    <w:t xml:space="preserve">women_iron</w:t>
                  </w:r>
                </w:p>
              </w:tc>
              <w:tc>
                <w:tcPr/>
                <w:p>
                  <w:pPr>
                    <w:pStyle w:val="Compact"/>
                    <w:jc w:val="right"/>
                    <w:jc w:val="center"/>
                  </w:pPr>
                  <w:r>
                    <w:t xml:space="preserve">30</w:t>
                  </w:r>
                </w:p>
              </w:tc>
              <w:tc>
                <w:tcPr/>
                <w:p>
                  <w:pPr>
                    <w:pStyle w:val="Compact"/>
                    <w:jc w:val="right"/>
                    <w:jc w:val="center"/>
                  </w:pPr>
                  <w:r>
                    <w:t xml:space="preserve">20.21</w:t>
                  </w:r>
                </w:p>
              </w:tc>
              <w:tc>
                <w:tcPr/>
                <w:p>
                  <w:pPr>
                    <w:pStyle w:val="Compact"/>
                    <w:jc w:val="right"/>
                    <w:jc w:val="center"/>
                  </w:pPr>
                  <w:r>
                    <w:t xml:space="preserve">4.31</w:t>
                  </w:r>
                </w:p>
              </w:tc>
              <w:tc>
                <w:tcPr/>
                <w:p>
                  <w:pPr>
                    <w:pStyle w:val="Compact"/>
                    <w:jc w:val="right"/>
                    <w:jc w:val="center"/>
                  </w:pPr>
                  <w:r>
                    <w:t xml:space="preserve">19.75</w:t>
                  </w:r>
                </w:p>
              </w:tc>
              <w:tc>
                <w:tcPr/>
                <w:p>
                  <w:pPr>
                    <w:pStyle w:val="Compact"/>
                    <w:jc w:val="right"/>
                    <w:jc w:val="center"/>
                  </w:pPr>
                  <w:r>
                    <w:t xml:space="preserve">0.72</w:t>
                  </w:r>
                </w:p>
              </w:tc>
            </w:tr>
            <w:tr>
              <w:tc>
                <w:tcPr/>
                <w:p>
                  <w:pPr>
                    <w:pStyle w:val="Compact"/>
                    <w:jc w:val="left"/>
                    <w:jc w:val="center"/>
                  </w:pPr>
                  <w:r>
                    <w:t xml:space="preserve">Ghana</w:t>
                  </w:r>
                </w:p>
              </w:tc>
              <w:tc>
                <w:tcPr/>
                <w:p>
                  <w:pPr>
                    <w:pStyle w:val="Compact"/>
                    <w:jc w:val="left"/>
                    <w:jc w:val="center"/>
                  </w:pPr>
                  <w:r>
                    <w:t xml:space="preserve">child_vitA</w:t>
                  </w:r>
                </w:p>
              </w:tc>
              <w:tc>
                <w:tcPr/>
                <w:p>
                  <w:pPr>
                    <w:pStyle w:val="Compact"/>
                    <w:jc w:val="right"/>
                    <w:jc w:val="center"/>
                  </w:pPr>
                  <w:r>
                    <w:t xml:space="preserve">75</w:t>
                  </w:r>
                </w:p>
              </w:tc>
              <w:tc>
                <w:tcPr/>
                <w:p>
                  <w:pPr>
                    <w:pStyle w:val="Compact"/>
                    <w:jc w:val="right"/>
                    <w:jc w:val="center"/>
                  </w:pPr>
                  <w:r>
                    <w:t xml:space="preserve">10.95</w:t>
                  </w:r>
                </w:p>
              </w:tc>
              <w:tc>
                <w:tcPr/>
                <w:p>
                  <w:pPr>
                    <w:pStyle w:val="Compact"/>
                    <w:jc w:val="right"/>
                    <w:jc w:val="center"/>
                  </w:pPr>
                  <w:r>
                    <w:t xml:space="preserve">2.39</w:t>
                  </w:r>
                </w:p>
              </w:tc>
              <w:tc>
                <w:tcPr/>
                <w:p>
                  <w:pPr>
                    <w:pStyle w:val="Compact"/>
                    <w:jc w:val="right"/>
                    <w:jc w:val="center"/>
                  </w:pPr>
                  <w:r>
                    <w:t xml:space="preserve">10.69</w:t>
                  </w:r>
                </w:p>
              </w:tc>
              <w:tc>
                <w:tcPr/>
                <w:p>
                  <w:pPr>
                    <w:pStyle w:val="Compact"/>
                    <w:jc w:val="right"/>
                    <w:jc w:val="center"/>
                  </w:pPr>
                  <w:r>
                    <w:t xml:space="preserve">0.33</w:t>
                  </w:r>
                </w:p>
              </w:tc>
            </w:tr>
            <w:tr>
              <w:tc>
                <w:tcPr/>
                <w:p>
                  <w:pPr>
                    <w:pStyle w:val="Compact"/>
                    <w:jc w:val="left"/>
                    <w:jc w:val="center"/>
                  </w:pPr>
                  <w:r>
                    <w:t xml:space="preserve">Ghana</w:t>
                  </w:r>
                </w:p>
              </w:tc>
              <w:tc>
                <w:tcPr/>
                <w:p>
                  <w:pPr>
                    <w:pStyle w:val="Compact"/>
                    <w:jc w:val="left"/>
                    <w:jc w:val="center"/>
                  </w:pPr>
                  <w:r>
                    <w:t xml:space="preserve">women_vitA</w:t>
                  </w:r>
                </w:p>
              </w:tc>
              <w:tc>
                <w:tcPr/>
                <w:p>
                  <w:pPr>
                    <w:pStyle w:val="Compact"/>
                    <w:jc w:val="right"/>
                    <w:jc w:val="center"/>
                  </w:pPr>
                  <w:r>
                    <w:t xml:space="preserve">75</w:t>
                  </w:r>
                </w:p>
              </w:tc>
              <w:tc>
                <w:tcPr/>
                <w:p>
                  <w:pPr>
                    <w:pStyle w:val="Compact"/>
                    <w:jc w:val="right"/>
                    <w:jc w:val="center"/>
                  </w:pPr>
                  <w:r>
                    <w:t xml:space="preserve">4.72</w:t>
                  </w:r>
                </w:p>
              </w:tc>
              <w:tc>
                <w:tcPr/>
                <w:p>
                  <w:pPr>
                    <w:pStyle w:val="Compact"/>
                    <w:jc w:val="right"/>
                    <w:jc w:val="center"/>
                  </w:pPr>
                  <w:r>
                    <w:t xml:space="preserve">0.44</w:t>
                  </w:r>
                </w:p>
              </w:tc>
              <w:tc>
                <w:tcPr/>
                <w:p>
                  <w:pPr>
                    <w:pStyle w:val="Compact"/>
                    <w:jc w:val="right"/>
                    <w:jc w:val="center"/>
                  </w:pPr>
                  <w:r>
                    <w:t xml:space="preserve">4.70</w:t>
                  </w:r>
                </w:p>
              </w:tc>
              <w:tc>
                <w:tcPr/>
                <w:p>
                  <w:pPr>
                    <w:pStyle w:val="Compact"/>
                    <w:jc w:val="right"/>
                    <w:jc w:val="center"/>
                  </w:pPr>
                  <w:r>
                    <w:t xml:space="preserve">-0.08</w:t>
                  </w:r>
                </w:p>
              </w:tc>
            </w:tr>
            <w:tr>
              <w:tc>
                <w:tcPr/>
                <w:p>
                  <w:pPr>
                    <w:pStyle w:val="Compact"/>
                    <w:jc w:val="left"/>
                    <w:jc w:val="center"/>
                  </w:pPr>
                  <w:r>
                    <w:t xml:space="preserve">Ghana</w:t>
                  </w:r>
                </w:p>
              </w:tc>
              <w:tc>
                <w:tcPr/>
                <w:p>
                  <w:pPr>
                    <w:pStyle w:val="Compact"/>
                    <w:jc w:val="left"/>
                    <w:jc w:val="center"/>
                  </w:pPr>
                  <w:r>
                    <w:t xml:space="preserve">child_iron</w:t>
                  </w:r>
                </w:p>
              </w:tc>
              <w:tc>
                <w:tcPr/>
                <w:p>
                  <w:pPr>
                    <w:pStyle w:val="Compact"/>
                    <w:jc w:val="right"/>
                    <w:jc w:val="center"/>
                  </w:pPr>
                  <w:r>
                    <w:t xml:space="preserve">75</w:t>
                  </w:r>
                </w:p>
              </w:tc>
              <w:tc>
                <w:tcPr/>
                <w:p>
                  <w:pPr>
                    <w:pStyle w:val="Compact"/>
                    <w:jc w:val="right"/>
                    <w:jc w:val="center"/>
                  </w:pPr>
                  <w:r>
                    <w:t xml:space="preserve">15.67</w:t>
                  </w:r>
                </w:p>
              </w:tc>
              <w:tc>
                <w:tcPr/>
                <w:p>
                  <w:pPr>
                    <w:pStyle w:val="Compact"/>
                    <w:jc w:val="right"/>
                    <w:jc w:val="center"/>
                  </w:pPr>
                  <w:r>
                    <w:t xml:space="preserve">1.87</w:t>
                  </w:r>
                </w:p>
              </w:tc>
              <w:tc>
                <w:tcPr/>
                <w:p>
                  <w:pPr>
                    <w:pStyle w:val="Compact"/>
                    <w:jc w:val="right"/>
                    <w:jc w:val="center"/>
                  </w:pPr>
                  <w:r>
                    <w:t xml:space="preserve">15.56</w:t>
                  </w:r>
                </w:p>
              </w:tc>
              <w:tc>
                <w:tcPr/>
                <w:p>
                  <w:pPr>
                    <w:pStyle w:val="Compact"/>
                    <w:jc w:val="right"/>
                    <w:jc w:val="center"/>
                  </w:pPr>
                  <w:r>
                    <w:t xml:space="preserve">0.55</w:t>
                  </w:r>
                </w:p>
              </w:tc>
            </w:tr>
            <w:tr>
              <w:tc>
                <w:tcPr/>
                <w:p>
                  <w:pPr>
                    <w:pStyle w:val="Compact"/>
                    <w:jc w:val="left"/>
                    <w:jc w:val="center"/>
                  </w:pPr>
                  <w:r>
                    <w:t xml:space="preserve">Ghana</w:t>
                  </w:r>
                </w:p>
              </w:tc>
              <w:tc>
                <w:tcPr/>
                <w:p>
                  <w:pPr>
                    <w:pStyle w:val="Compact"/>
                    <w:jc w:val="left"/>
                    <w:jc w:val="center"/>
                  </w:pPr>
                  <w:r>
                    <w:t xml:space="preserve">women_iron</w:t>
                  </w:r>
                </w:p>
              </w:tc>
              <w:tc>
                <w:tcPr/>
                <w:p>
                  <w:pPr>
                    <w:pStyle w:val="Compact"/>
                    <w:jc w:val="right"/>
                    <w:jc w:val="center"/>
                  </w:pPr>
                  <w:r>
                    <w:t xml:space="preserve">75</w:t>
                  </w:r>
                </w:p>
              </w:tc>
              <w:tc>
                <w:tcPr/>
                <w:p>
                  <w:pPr>
                    <w:pStyle w:val="Compact"/>
                    <w:jc w:val="right"/>
                    <w:jc w:val="center"/>
                  </w:pPr>
                  <w:r>
                    <w:t xml:space="preserve">12.46</w:t>
                  </w:r>
                </w:p>
              </w:tc>
              <w:tc>
                <w:tcPr/>
                <w:p>
                  <w:pPr>
                    <w:pStyle w:val="Compact"/>
                    <w:jc w:val="right"/>
                    <w:jc w:val="center"/>
                  </w:pPr>
                  <w:r>
                    <w:t xml:space="preserve">1.70</w:t>
                  </w:r>
                </w:p>
              </w:tc>
              <w:tc>
                <w:tcPr/>
                <w:p>
                  <w:pPr>
                    <w:pStyle w:val="Compact"/>
                    <w:jc w:val="right"/>
                    <w:jc w:val="center"/>
                  </w:pPr>
                  <w:r>
                    <w:t xml:space="preserve">12.34</w:t>
                  </w:r>
                </w:p>
              </w:tc>
              <w:tc>
                <w:tcPr/>
                <w:p>
                  <w:pPr>
                    <w:pStyle w:val="Compact"/>
                    <w:jc w:val="right"/>
                    <w:jc w:val="center"/>
                  </w:pPr>
                  <w:r>
                    <w:t xml:space="preserve">0.25</w:t>
                  </w:r>
                </w:p>
              </w:tc>
            </w:tr>
            <w:tr>
              <w:tc>
                <w:tcPr/>
                <w:p>
                  <w:pPr>
                    <w:pStyle w:val="Compact"/>
                    <w:jc w:val="left"/>
                    <w:jc w:val="center"/>
                  </w:pPr>
                  <w:r>
                    <w:t xml:space="preserve">Ghana</w:t>
                  </w:r>
                </w:p>
              </w:tc>
              <w:tc>
                <w:tcPr/>
                <w:p>
                  <w:pPr>
                    <w:pStyle w:val="Compact"/>
                    <w:jc w:val="left"/>
                    <w:jc w:val="center"/>
                  </w:pPr>
                  <w:r>
                    <w:t xml:space="preserve">women_folate</w:t>
                  </w:r>
                </w:p>
              </w:tc>
              <w:tc>
                <w:tcPr/>
                <w:p>
                  <w:pPr>
                    <w:pStyle w:val="Compact"/>
                    <w:jc w:val="right"/>
                    <w:jc w:val="center"/>
                  </w:pPr>
                  <w:r>
                    <w:t xml:space="preserve">75</w:t>
                  </w:r>
                </w:p>
              </w:tc>
              <w:tc>
                <w:tcPr/>
                <w:p>
                  <w:pPr>
                    <w:pStyle w:val="Compact"/>
                    <w:jc w:val="right"/>
                    <w:jc w:val="center"/>
                  </w:pPr>
                  <w:r>
                    <w:t xml:space="preserve">26.53</w:t>
                  </w:r>
                </w:p>
              </w:tc>
              <w:tc>
                <w:tcPr/>
                <w:p>
                  <w:pPr>
                    <w:pStyle w:val="Compact"/>
                    <w:jc w:val="right"/>
                    <w:jc w:val="center"/>
                  </w:pPr>
                  <w:r>
                    <w:t xml:space="preserve">4.69</w:t>
                  </w:r>
                </w:p>
              </w:tc>
              <w:tc>
                <w:tcPr/>
                <w:p>
                  <w:pPr>
                    <w:pStyle w:val="Compact"/>
                    <w:jc w:val="right"/>
                    <w:jc w:val="center"/>
                  </w:pPr>
                  <w:r>
                    <w:t xml:space="preserve">26.11</w:t>
                  </w:r>
                </w:p>
              </w:tc>
              <w:tc>
                <w:tcPr/>
                <w:p>
                  <w:pPr>
                    <w:pStyle w:val="Compact"/>
                    <w:jc w:val="right"/>
                    <w:jc w:val="center"/>
                  </w:pPr>
                  <w:r>
                    <w:t xml:space="preserve">0.46</w:t>
                  </w:r>
                </w:p>
              </w:tc>
            </w:tr>
            <w:tr>
              <w:tc>
                <w:tcPr/>
                <w:p>
                  <w:pPr>
                    <w:pStyle w:val="Compact"/>
                    <w:jc w:val="left"/>
                    <w:jc w:val="center"/>
                  </w:pPr>
                  <w:r>
                    <w:t xml:space="preserve">Ghana</w:t>
                  </w:r>
                </w:p>
              </w:tc>
              <w:tc>
                <w:tcPr/>
                <w:p>
                  <w:pPr>
                    <w:pStyle w:val="Compact"/>
                    <w:jc w:val="left"/>
                    <w:jc w:val="center"/>
                  </w:pPr>
                  <w:r>
                    <w:t xml:space="preserve">women_b12</w:t>
                  </w:r>
                </w:p>
              </w:tc>
              <w:tc>
                <w:tcPr/>
                <w:p>
                  <w:pPr>
                    <w:pStyle w:val="Compact"/>
                    <w:jc w:val="right"/>
                    <w:jc w:val="center"/>
                  </w:pPr>
                  <w:r>
                    <w:t xml:space="preserve">75</w:t>
                  </w:r>
                </w:p>
              </w:tc>
              <w:tc>
                <w:tcPr/>
                <w:p>
                  <w:pPr>
                    <w:pStyle w:val="Compact"/>
                    <w:jc w:val="right"/>
                    <w:jc w:val="center"/>
                  </w:pPr>
                  <w:r>
                    <w:t xml:space="preserve">15.49</w:t>
                  </w:r>
                </w:p>
              </w:tc>
              <w:tc>
                <w:tcPr/>
                <w:p>
                  <w:pPr>
                    <w:pStyle w:val="Compact"/>
                    <w:jc w:val="right"/>
                    <w:jc w:val="center"/>
                  </w:pPr>
                  <w:r>
                    <w:t xml:space="preserve">2.31</w:t>
                  </w:r>
                </w:p>
              </w:tc>
              <w:tc>
                <w:tcPr/>
                <w:p>
                  <w:pPr>
                    <w:pStyle w:val="Compact"/>
                    <w:jc w:val="right"/>
                    <w:jc w:val="center"/>
                  </w:pPr>
                  <w:r>
                    <w:t xml:space="preserve">15.32</w:t>
                  </w:r>
                </w:p>
              </w:tc>
              <w:tc>
                <w:tcPr/>
                <w:p>
                  <w:pPr>
                    <w:pStyle w:val="Compact"/>
                    <w:jc w:val="right"/>
                    <w:jc w:val="center"/>
                  </w:pPr>
                  <w:r>
                    <w:t xml:space="preserve">0.34</w:t>
                  </w:r>
                </w:p>
              </w:tc>
            </w:tr>
            <w:tr>
              <w:tc>
                <w:tcPr/>
                <w:p>
                  <w:pPr>
                    <w:pStyle w:val="Compact"/>
                    <w:jc w:val="left"/>
                    <w:jc w:val="center"/>
                  </w:pPr>
                  <w:r>
                    <w:t xml:space="preserve">Sierra Leone</w:t>
                  </w:r>
                </w:p>
              </w:tc>
              <w:tc>
                <w:tcPr/>
                <w:p>
                  <w:pPr>
                    <w:pStyle w:val="Compact"/>
                    <w:jc w:val="left"/>
                    <w:jc w:val="center"/>
                  </w:pPr>
                  <w:r>
                    <w:t xml:space="preserve">child_vitA</w:t>
                  </w:r>
                </w:p>
              </w:tc>
              <w:tc>
                <w:tcPr/>
                <w:p>
                  <w:pPr>
                    <w:pStyle w:val="Compact"/>
                    <w:jc w:val="right"/>
                    <w:jc w:val="center"/>
                  </w:pPr>
                  <w:r>
                    <w:t xml:space="preserve">14</w:t>
                  </w:r>
                </w:p>
              </w:tc>
              <w:tc>
                <w:tcPr/>
                <w:p>
                  <w:pPr>
                    <w:pStyle w:val="Compact"/>
                    <w:jc w:val="right"/>
                    <w:jc w:val="center"/>
                  </w:pPr>
                  <w:r>
                    <w:t xml:space="preserve">5.78</w:t>
                  </w:r>
                </w:p>
              </w:tc>
              <w:tc>
                <w:tcPr/>
                <w:p>
                  <w:pPr>
                    <w:pStyle w:val="Compact"/>
                    <w:jc w:val="right"/>
                    <w:jc w:val="center"/>
                  </w:pPr>
                  <w:r>
                    <w:t xml:space="preserve">5.34</w:t>
                  </w:r>
                </w:p>
              </w:tc>
              <w:tc>
                <w:tcPr/>
                <w:p>
                  <w:pPr>
                    <w:pStyle w:val="Compact"/>
                    <w:jc w:val="right"/>
                    <w:jc w:val="center"/>
                  </w:pPr>
                  <w:r>
                    <w:t xml:space="preserve">2.21</w:t>
                  </w:r>
                </w:p>
              </w:tc>
              <w:tc>
                <w:tcPr/>
                <w:p>
                  <w:pPr>
                    <w:pStyle w:val="Compact"/>
                    <w:jc w:val="right"/>
                    <w:jc w:val="center"/>
                  </w:pPr>
                  <w:r>
                    <w:t xml:space="preserve">0.32</w:t>
                  </w:r>
                </w:p>
              </w:tc>
            </w:tr>
            <w:tr>
              <w:tc>
                <w:tcPr/>
                <w:p>
                  <w:pPr>
                    <w:pStyle w:val="Compact"/>
                    <w:jc w:val="left"/>
                    <w:jc w:val="center"/>
                  </w:pPr>
                  <w:r>
                    <w:t xml:space="preserve">Sierra Leone</w:t>
                  </w:r>
                </w:p>
              </w:tc>
              <w:tc>
                <w:tcPr/>
                <w:p>
                  <w:pPr>
                    <w:pStyle w:val="Compact"/>
                    <w:jc w:val="left"/>
                    <w:jc w:val="center"/>
                  </w:pPr>
                  <w:r>
                    <w:t xml:space="preserve">women_vitA</w:t>
                  </w:r>
                </w:p>
              </w:tc>
              <w:tc>
                <w:tcPr/>
                <w:p>
                  <w:pPr>
                    <w:pStyle w:val="Compact"/>
                    <w:jc w:val="right"/>
                    <w:jc w:val="center"/>
                  </w:pPr>
                  <w:r>
                    <w:t xml:space="preserve">14</w:t>
                  </w:r>
                </w:p>
              </w:tc>
              <w:tc>
                <w:tcPr/>
                <w:p>
                  <w:pPr>
                    <w:pStyle w:val="Compact"/>
                    <w:jc w:val="right"/>
                    <w:jc w:val="center"/>
                  </w:pPr>
                  <w:r>
                    <w:t xml:space="preserve">1.63</w:t>
                  </w:r>
                </w:p>
              </w:tc>
              <w:tc>
                <w:tcPr/>
                <w:p>
                  <w:pPr>
                    <w:pStyle w:val="Compact"/>
                    <w:jc w:val="right"/>
                    <w:jc w:val="center"/>
                  </w:pPr>
                  <w:r>
                    <w:t xml:space="preserve">1.29</w:t>
                  </w:r>
                </w:p>
              </w:tc>
              <w:tc>
                <w:tcPr/>
                <w:p>
                  <w:pPr>
                    <w:pStyle w:val="Compact"/>
                    <w:jc w:val="right"/>
                    <w:jc w:val="center"/>
                  </w:pPr>
                  <w:r>
                    <w:t xml:space="preserve">1.00</w:t>
                  </w:r>
                </w:p>
              </w:tc>
              <w:tc>
                <w:tcPr/>
                <w:p>
                  <w:pPr>
                    <w:pStyle w:val="Compact"/>
                    <w:jc w:val="right"/>
                    <w:jc w:val="center"/>
                  </w:pPr>
                  <w:r>
                    <w:t xml:space="preserve">0.36</w:t>
                  </w:r>
                </w:p>
              </w:tc>
            </w:tr>
            <w:tr>
              <w:tc>
                <w:tcPr/>
                <w:p>
                  <w:pPr>
                    <w:pStyle w:val="Compact"/>
                    <w:jc w:val="left"/>
                    <w:jc w:val="center"/>
                  </w:pPr>
                  <w:r>
                    <w:t xml:space="preserve">Sierra Leone</w:t>
                  </w:r>
                </w:p>
              </w:tc>
              <w:tc>
                <w:tcPr/>
                <w:p>
                  <w:pPr>
                    <w:pStyle w:val="Compact"/>
                    <w:jc w:val="left"/>
                    <w:jc w:val="center"/>
                  </w:pPr>
                  <w:r>
                    <w:t xml:space="preserve">child_iron</w:t>
                  </w:r>
                </w:p>
              </w:tc>
              <w:tc>
                <w:tcPr/>
                <w:p>
                  <w:pPr>
                    <w:pStyle w:val="Compact"/>
                    <w:jc w:val="right"/>
                    <w:jc w:val="center"/>
                  </w:pPr>
                  <w:r>
                    <w:t xml:space="preserve">14</w:t>
                  </w:r>
                </w:p>
              </w:tc>
              <w:tc>
                <w:tcPr/>
                <w:p>
                  <w:pPr>
                    <w:pStyle w:val="Compact"/>
                    <w:jc w:val="right"/>
                    <w:jc w:val="center"/>
                  </w:pPr>
                  <w:r>
                    <w:t xml:space="preserve">3.86</w:t>
                  </w:r>
                </w:p>
              </w:tc>
              <w:tc>
                <w:tcPr/>
                <w:p>
                  <w:pPr>
                    <w:pStyle w:val="Compact"/>
                    <w:jc w:val="right"/>
                    <w:jc w:val="center"/>
                  </w:pPr>
                  <w:r>
                    <w:t xml:space="preserve">3.58</w:t>
                  </w:r>
                </w:p>
              </w:tc>
              <w:tc>
                <w:tcPr/>
                <w:p>
                  <w:pPr>
                    <w:pStyle w:val="Compact"/>
                    <w:jc w:val="right"/>
                    <w:jc w:val="center"/>
                  </w:pPr>
                  <w:r>
                    <w:t xml:space="preserve">1.44</w:t>
                  </w:r>
                </w:p>
              </w:tc>
              <w:tc>
                <w:tcPr/>
                <w:p>
                  <w:pPr>
                    <w:pStyle w:val="Compact"/>
                    <w:jc w:val="right"/>
                    <w:jc w:val="center"/>
                  </w:pPr>
                  <w:r>
                    <w:t xml:space="preserve">0.73</w:t>
                  </w:r>
                </w:p>
              </w:tc>
            </w:tr>
            <w:tr>
              <w:tc>
                <w:tcPr/>
                <w:p>
                  <w:pPr>
                    <w:pStyle w:val="Compact"/>
                    <w:jc w:val="left"/>
                    <w:jc w:val="center"/>
                  </w:pPr>
                  <w:r>
                    <w:t xml:space="preserve">Sierra Leone</w:t>
                  </w:r>
                </w:p>
              </w:tc>
              <w:tc>
                <w:tcPr/>
                <w:p>
                  <w:pPr>
                    <w:pStyle w:val="Compact"/>
                    <w:jc w:val="left"/>
                    <w:jc w:val="center"/>
                  </w:pPr>
                  <w:r>
                    <w:t xml:space="preserve">women_iron</w:t>
                  </w:r>
                </w:p>
              </w:tc>
              <w:tc>
                <w:tcPr/>
                <w:p>
                  <w:pPr>
                    <w:pStyle w:val="Compact"/>
                    <w:jc w:val="right"/>
                    <w:jc w:val="center"/>
                  </w:pPr>
                  <w:r>
                    <w:t xml:space="preserve">14</w:t>
                  </w:r>
                </w:p>
              </w:tc>
              <w:tc>
                <w:tcPr/>
                <w:p>
                  <w:pPr>
                    <w:pStyle w:val="Compact"/>
                    <w:jc w:val="right"/>
                    <w:jc w:val="center"/>
                  </w:pPr>
                  <w:r>
                    <w:t xml:space="preserve">9.32</w:t>
                  </w:r>
                </w:p>
              </w:tc>
              <w:tc>
                <w:tcPr/>
                <w:p>
                  <w:pPr>
                    <w:pStyle w:val="Compact"/>
                    <w:jc w:val="right"/>
                    <w:jc w:val="center"/>
                  </w:pPr>
                  <w:r>
                    <w:t xml:space="preserve">6.50</w:t>
                  </w:r>
                </w:p>
              </w:tc>
              <w:tc>
                <w:tcPr/>
                <w:p>
                  <w:pPr>
                    <w:pStyle w:val="Compact"/>
                    <w:jc w:val="right"/>
                    <w:jc w:val="center"/>
                  </w:pPr>
                  <w:r>
                    <w:t xml:space="preserve">6.68</w:t>
                  </w:r>
                </w:p>
              </w:tc>
              <w:tc>
                <w:tcPr/>
                <w:p>
                  <w:pPr>
                    <w:pStyle w:val="Compact"/>
                    <w:jc w:val="right"/>
                    <w:jc w:val="center"/>
                  </w:pPr>
                  <w:r>
                    <w:t xml:space="preserve">0.44</w:t>
                  </w:r>
                </w:p>
              </w:tc>
            </w:tr>
            <w:tr>
              <w:tc>
                <w:tcPr/>
                <w:p>
                  <w:pPr>
                    <w:pStyle w:val="Compact"/>
                    <w:jc w:val="left"/>
                    <w:jc w:val="center"/>
                  </w:pPr>
                  <w:r>
                    <w:t xml:space="preserve">Sierra Leone</w:t>
                  </w:r>
                </w:p>
              </w:tc>
              <w:tc>
                <w:tcPr/>
                <w:p>
                  <w:pPr>
                    <w:pStyle w:val="Compact"/>
                    <w:jc w:val="left"/>
                    <w:jc w:val="center"/>
                  </w:pPr>
                  <w:r>
                    <w:t xml:space="preserve">women_folate</w:t>
                  </w:r>
                </w:p>
              </w:tc>
              <w:tc>
                <w:tcPr/>
                <w:p>
                  <w:pPr>
                    <w:pStyle w:val="Compact"/>
                    <w:jc w:val="right"/>
                    <w:jc w:val="center"/>
                  </w:pPr>
                  <w:r>
                    <w:t xml:space="preserve">14</w:t>
                  </w:r>
                </w:p>
              </w:tc>
              <w:tc>
                <w:tcPr/>
                <w:p>
                  <w:pPr>
                    <w:pStyle w:val="Compact"/>
                    <w:jc w:val="right"/>
                    <w:jc w:val="center"/>
                  </w:pPr>
                  <w:r>
                    <w:t xml:space="preserve">4.86</w:t>
                  </w:r>
                </w:p>
              </w:tc>
              <w:tc>
                <w:tcPr/>
                <w:p>
                  <w:pPr>
                    <w:pStyle w:val="Compact"/>
                    <w:jc w:val="right"/>
                    <w:jc w:val="center"/>
                  </w:pPr>
                  <w:r>
                    <w:t xml:space="preserve">7.57</w:t>
                  </w:r>
                </w:p>
              </w:tc>
              <w:tc>
                <w:tcPr/>
                <w:p>
                  <w:pPr>
                    <w:pStyle w:val="Compact"/>
                    <w:jc w:val="right"/>
                    <w:jc w:val="center"/>
                  </w:pPr>
                  <w:r>
                    <w:t xml:space="preserve">0.00</w:t>
                  </w:r>
                </w:p>
              </w:tc>
              <w:tc>
                <w:tcPr/>
                <w:p>
                  <w:pPr>
                    <w:pStyle w:val="Compact"/>
                    <w:jc w:val="right"/>
                    <w:jc w:val="center"/>
                  </w:pPr>
                  <w:r>
                    <w:t xml:space="preserve">0.89</w:t>
                  </w:r>
                </w:p>
              </w:tc>
            </w:tr>
            <w:tr>
              <w:tc>
                <w:tcPr/>
                <w:p>
                  <w:pPr>
                    <w:pStyle w:val="Compact"/>
                    <w:jc w:val="left"/>
                    <w:jc w:val="center"/>
                  </w:pPr>
                  <w:r>
                    <w:t xml:space="preserve">Sierra Leone</w:t>
                  </w:r>
                </w:p>
              </w:tc>
              <w:tc>
                <w:tcPr/>
                <w:p>
                  <w:pPr>
                    <w:pStyle w:val="Compact"/>
                    <w:jc w:val="left"/>
                    <w:jc w:val="center"/>
                  </w:pPr>
                  <w:r>
                    <w:t xml:space="preserve">women_b12</w:t>
                  </w:r>
                </w:p>
              </w:tc>
              <w:tc>
                <w:tcPr/>
                <w:p>
                  <w:pPr>
                    <w:pStyle w:val="Compact"/>
                    <w:jc w:val="right"/>
                    <w:jc w:val="center"/>
                  </w:pPr>
                  <w:r>
                    <w:t xml:space="preserve">14</w:t>
                  </w:r>
                </w:p>
              </w:tc>
              <w:tc>
                <w:tcPr/>
                <w:p>
                  <w:pPr>
                    <w:pStyle w:val="Compact"/>
                    <w:jc w:val="right"/>
                    <w:jc w:val="center"/>
                  </w:pPr>
                  <w:r>
                    <w:t xml:space="preserve">0.59</w:t>
                  </w:r>
                </w:p>
              </w:tc>
              <w:tc>
                <w:tcPr/>
                <w:p>
                  <w:pPr>
                    <w:pStyle w:val="Compact"/>
                    <w:jc w:val="right"/>
                    <w:jc w:val="center"/>
                  </w:pPr>
                  <w:r>
                    <w:t xml:space="preserve">0.70</w:t>
                  </w:r>
                </w:p>
              </w:tc>
              <w:tc>
                <w:tcPr/>
                <w:p>
                  <w:pPr>
                    <w:pStyle w:val="Compact"/>
                    <w:jc w:val="right"/>
                    <w:jc w:val="center"/>
                  </w:pPr>
                  <w:r>
                    <w:t xml:space="preserve">0.00</w:t>
                  </w:r>
                </w:p>
              </w:tc>
              <w:tc>
                <w:tcPr/>
                <w:p>
                  <w:pPr>
                    <w:pStyle w:val="Compact"/>
                    <w:jc w:val="right"/>
                    <w:jc w:val="center"/>
                  </w:pPr>
                  <w:r>
                    <w:t xml:space="preserve">0.57</w:t>
                  </w:r>
                </w:p>
              </w:tc>
            </w:tr>
            <w:tr>
              <w:tc>
                <w:tcPr/>
                <w:p>
                  <w:pPr>
                    <w:pStyle w:val="Compact"/>
                    <w:jc w:val="left"/>
                    <w:jc w:val="center"/>
                  </w:pPr>
                  <w:r>
                    <w:t xml:space="preserve">Malawi</w:t>
                  </w:r>
                </w:p>
              </w:tc>
              <w:tc>
                <w:tcPr/>
                <w:p>
                  <w:pPr>
                    <w:pStyle w:val="Compact"/>
                    <w:jc w:val="left"/>
                    <w:jc w:val="center"/>
                  </w:pPr>
                  <w:r>
                    <w:t xml:space="preserve">child_vitA</w:t>
                  </w:r>
                </w:p>
              </w:tc>
              <w:tc>
                <w:tcPr/>
                <w:p>
                  <w:pPr>
                    <w:pStyle w:val="Compact"/>
                    <w:jc w:val="right"/>
                    <w:jc w:val="center"/>
                  </w:pPr>
                  <w:r>
                    <w:t xml:space="preserve">87</w:t>
                  </w:r>
                </w:p>
              </w:tc>
              <w:tc>
                <w:tcPr/>
                <w:p>
                  <w:pPr>
                    <w:pStyle w:val="Compact"/>
                    <w:jc w:val="right"/>
                    <w:jc w:val="center"/>
                  </w:pPr>
                  <w:r>
                    <w:t xml:space="preserve">12.66</w:t>
                  </w:r>
                </w:p>
              </w:tc>
              <w:tc>
                <w:tcPr/>
                <w:p>
                  <w:pPr>
                    <w:pStyle w:val="Compact"/>
                    <w:jc w:val="right"/>
                    <w:jc w:val="center"/>
                  </w:pPr>
                  <w:r>
                    <w:t xml:space="preserve">1.47</w:t>
                  </w:r>
                </w:p>
              </w:tc>
              <w:tc>
                <w:tcPr/>
                <w:p>
                  <w:pPr>
                    <w:pStyle w:val="Compact"/>
                    <w:jc w:val="right"/>
                    <w:jc w:val="center"/>
                  </w:pPr>
                  <w:r>
                    <w:t xml:space="preserve">12.58</w:t>
                  </w:r>
                </w:p>
              </w:tc>
              <w:tc>
                <w:tcPr/>
                <w:p>
                  <w:pPr>
                    <w:pStyle w:val="Compact"/>
                    <w:jc w:val="right"/>
                    <w:jc w:val="center"/>
                  </w:pPr>
                  <w:r>
                    <w:t xml:space="preserve">0.07</w:t>
                  </w:r>
                </w:p>
              </w:tc>
            </w:tr>
            <w:tr>
              <w:tc>
                <w:tcPr/>
                <w:p>
                  <w:pPr>
                    <w:pStyle w:val="Compact"/>
                    <w:jc w:val="left"/>
                    <w:jc w:val="center"/>
                  </w:pPr>
                  <w:r>
                    <w:t xml:space="preserve">Malawi</w:t>
                  </w:r>
                </w:p>
              </w:tc>
              <w:tc>
                <w:tcPr/>
                <w:p>
                  <w:pPr>
                    <w:pStyle w:val="Compact"/>
                    <w:jc w:val="left"/>
                    <w:jc w:val="center"/>
                  </w:pPr>
                  <w:r>
                    <w:t xml:space="preserve">women_vitA</w:t>
                  </w:r>
                </w:p>
              </w:tc>
              <w:tc>
                <w:tcPr/>
                <w:p>
                  <w:pPr>
                    <w:pStyle w:val="Compact"/>
                    <w:jc w:val="right"/>
                    <w:jc w:val="center"/>
                  </w:pPr>
                  <w:r>
                    <w:t xml:space="preserve">87</w:t>
                  </w:r>
                </w:p>
              </w:tc>
              <w:tc>
                <w:tcPr/>
                <w:p>
                  <w:pPr>
                    <w:pStyle w:val="Compact"/>
                    <w:jc w:val="right"/>
                    <w:jc w:val="center"/>
                  </w:pPr>
                  <w:r>
                    <w:t xml:space="preserve">6.92</w:t>
                  </w:r>
                </w:p>
              </w:tc>
              <w:tc>
                <w:tcPr/>
                <w:p>
                  <w:pPr>
                    <w:pStyle w:val="Compact"/>
                    <w:jc w:val="right"/>
                    <w:jc w:val="center"/>
                  </w:pPr>
                  <w:r>
                    <w:t xml:space="preserve">0.00</w:t>
                  </w:r>
                </w:p>
              </w:tc>
              <w:tc>
                <w:tcPr/>
                <w:p>
                  <w:pPr>
                    <w:pStyle w:val="Compact"/>
                    <w:jc w:val="right"/>
                    <w:jc w:val="center"/>
                  </w:pPr>
                  <w:r>
                    <w:t xml:space="preserve">6.92</w:t>
                  </w:r>
                </w:p>
              </w:tc>
              <w:tc>
                <w:tcPr/>
                <w:p>
                  <w:pPr>
                    <w:pStyle w:val="Compact"/>
                    <w:jc w:val="right"/>
                    <w:jc w:val="center"/>
                  </w:pPr>
                  <w:r>
                    <w:t xml:space="preserve">-0.05</w:t>
                  </w:r>
                </w:p>
              </w:tc>
            </w:tr>
            <w:tr>
              <w:tc>
                <w:tcPr/>
                <w:p>
                  <w:pPr>
                    <w:pStyle w:val="Compact"/>
                    <w:jc w:val="left"/>
                    <w:jc w:val="center"/>
                  </w:pPr>
                  <w:r>
                    <w:t xml:space="preserve">Malawi</w:t>
                  </w:r>
                </w:p>
              </w:tc>
              <w:tc>
                <w:tcPr/>
                <w:p>
                  <w:pPr>
                    <w:pStyle w:val="Compact"/>
                    <w:jc w:val="left"/>
                    <w:jc w:val="center"/>
                  </w:pPr>
                  <w:r>
                    <w:t xml:space="preserve">child_iron</w:t>
                  </w:r>
                </w:p>
              </w:tc>
              <w:tc>
                <w:tcPr/>
                <w:p>
                  <w:pPr>
                    <w:pStyle w:val="Compact"/>
                    <w:jc w:val="right"/>
                    <w:jc w:val="center"/>
                  </w:pPr>
                  <w:r>
                    <w:t xml:space="preserve">87</w:t>
                  </w:r>
                </w:p>
              </w:tc>
              <w:tc>
                <w:tcPr/>
                <w:p>
                  <w:pPr>
                    <w:pStyle w:val="Compact"/>
                    <w:jc w:val="right"/>
                    <w:jc w:val="center"/>
                  </w:pPr>
                  <w:r>
                    <w:t xml:space="preserve">18.50</w:t>
                  </w:r>
                </w:p>
              </w:tc>
              <w:tc>
                <w:tcPr/>
                <w:p>
                  <w:pPr>
                    <w:pStyle w:val="Compact"/>
                    <w:jc w:val="right"/>
                    <w:jc w:val="center"/>
                  </w:pPr>
                  <w:r>
                    <w:t xml:space="preserve">2.00</w:t>
                  </w:r>
                </w:p>
              </w:tc>
              <w:tc>
                <w:tcPr/>
                <w:p>
                  <w:pPr>
                    <w:pStyle w:val="Compact"/>
                    <w:jc w:val="right"/>
                    <w:jc w:val="center"/>
                  </w:pPr>
                  <w:r>
                    <w:t xml:space="preserve">18.40</w:t>
                  </w:r>
                </w:p>
              </w:tc>
              <w:tc>
                <w:tcPr/>
                <w:p>
                  <w:pPr>
                    <w:pStyle w:val="Compact"/>
                    <w:jc w:val="right"/>
                    <w:jc w:val="center"/>
                  </w:pPr>
                  <w:r>
                    <w:t xml:space="preserve">0.20</w:t>
                  </w:r>
                </w:p>
              </w:tc>
            </w:tr>
            <w:tr>
              <w:tc>
                <w:tcPr/>
                <w:p>
                  <w:pPr>
                    <w:pStyle w:val="Compact"/>
                    <w:jc w:val="left"/>
                    <w:jc w:val="center"/>
                  </w:pPr>
                  <w:r>
                    <w:t xml:space="preserve">Malawi</w:t>
                  </w:r>
                </w:p>
              </w:tc>
              <w:tc>
                <w:tcPr/>
                <w:p>
                  <w:pPr>
                    <w:pStyle w:val="Compact"/>
                    <w:jc w:val="left"/>
                    <w:jc w:val="center"/>
                  </w:pPr>
                  <w:r>
                    <w:t xml:space="preserve">women_iron</w:t>
                  </w:r>
                </w:p>
              </w:tc>
              <w:tc>
                <w:tcPr/>
                <w:p>
                  <w:pPr>
                    <w:pStyle w:val="Compact"/>
                    <w:jc w:val="right"/>
                    <w:jc w:val="center"/>
                  </w:pPr>
                  <w:r>
                    <w:t xml:space="preserve">87</w:t>
                  </w:r>
                </w:p>
              </w:tc>
              <w:tc>
                <w:tcPr/>
                <w:p>
                  <w:pPr>
                    <w:pStyle w:val="Compact"/>
                    <w:jc w:val="right"/>
                    <w:jc w:val="center"/>
                  </w:pPr>
                  <w:r>
                    <w:t xml:space="preserve">18.49</w:t>
                  </w:r>
                </w:p>
              </w:tc>
              <w:tc>
                <w:tcPr/>
                <w:p>
                  <w:pPr>
                    <w:pStyle w:val="Compact"/>
                    <w:jc w:val="right"/>
                    <w:jc w:val="center"/>
                  </w:pPr>
                  <w:r>
                    <w:t xml:space="preserve">2.34</w:t>
                  </w:r>
                </w:p>
              </w:tc>
              <w:tc>
                <w:tcPr/>
                <w:p>
                  <w:pPr>
                    <w:pStyle w:val="Compact"/>
                    <w:jc w:val="right"/>
                    <w:jc w:val="center"/>
                  </w:pPr>
                  <w:r>
                    <w:t xml:space="preserve">18.35</w:t>
                  </w:r>
                </w:p>
              </w:tc>
              <w:tc>
                <w:tcPr/>
                <w:p>
                  <w:pPr>
                    <w:pStyle w:val="Compact"/>
                    <w:jc w:val="right"/>
                    <w:jc w:val="center"/>
                  </w:pPr>
                  <w:r>
                    <w:t xml:space="preserve">0.13</w:t>
                  </w:r>
                </w:p>
              </w:tc>
            </w:tr>
            <w:tr>
              <w:tc>
                <w:tcPr/>
                <w:p>
                  <w:pPr>
                    <w:pStyle w:val="Compact"/>
                    <w:jc w:val="left"/>
                    <w:jc w:val="center"/>
                  </w:pPr>
                  <w:r>
                    <w:t xml:space="preserve">Malawi</w:t>
                  </w:r>
                </w:p>
              </w:tc>
              <w:tc>
                <w:tcPr/>
                <w:p>
                  <w:pPr>
                    <w:pStyle w:val="Compact"/>
                    <w:jc w:val="left"/>
                    <w:jc w:val="center"/>
                  </w:pPr>
                  <w:r>
                    <w:t xml:space="preserve">women_folate</w:t>
                  </w:r>
                </w:p>
              </w:tc>
              <w:tc>
                <w:tcPr/>
                <w:p>
                  <w:pPr>
                    <w:pStyle w:val="Compact"/>
                    <w:jc w:val="right"/>
                    <w:jc w:val="center"/>
                  </w:pPr>
                  <w:r>
                    <w:t xml:space="preserve">87</w:t>
                  </w:r>
                </w:p>
              </w:tc>
              <w:tc>
                <w:tcPr/>
                <w:p>
                  <w:pPr>
                    <w:pStyle w:val="Compact"/>
                    <w:jc w:val="right"/>
                    <w:jc w:val="center"/>
                  </w:pPr>
                  <w:r>
                    <w:t xml:space="preserve">19.72</w:t>
                  </w:r>
                </w:p>
              </w:tc>
              <w:tc>
                <w:tcPr/>
                <w:p>
                  <w:pPr>
                    <w:pStyle w:val="Compact"/>
                    <w:jc w:val="right"/>
                    <w:jc w:val="center"/>
                  </w:pPr>
                  <w:r>
                    <w:t xml:space="preserve">2.85</w:t>
                  </w:r>
                </w:p>
              </w:tc>
              <w:tc>
                <w:tcPr/>
                <w:p>
                  <w:pPr>
                    <w:pStyle w:val="Compact"/>
                    <w:jc w:val="right"/>
                    <w:jc w:val="center"/>
                  </w:pPr>
                  <w:r>
                    <w:t xml:space="preserve">19.51</w:t>
                  </w:r>
                </w:p>
              </w:tc>
              <w:tc>
                <w:tcPr/>
                <w:p>
                  <w:pPr>
                    <w:pStyle w:val="Compact"/>
                    <w:jc w:val="right"/>
                    <w:jc w:val="center"/>
                  </w:pPr>
                  <w:r>
                    <w:t xml:space="preserve">0.43</w:t>
                  </w:r>
                </w:p>
              </w:tc>
            </w:tr>
            <w:tr>
              <w:tc>
                <w:tcPr/>
                <w:p>
                  <w:pPr>
                    <w:pStyle w:val="Compact"/>
                    <w:jc w:val="left"/>
                    <w:jc w:val="center"/>
                  </w:pPr>
                  <w:r>
                    <w:t xml:space="preserve">Malawi</w:t>
                  </w:r>
                </w:p>
              </w:tc>
              <w:tc>
                <w:tcPr/>
                <w:p>
                  <w:pPr>
                    <w:pStyle w:val="Compact"/>
                    <w:jc w:val="left"/>
                    <w:jc w:val="center"/>
                  </w:pPr>
                  <w:r>
                    <w:t xml:space="preserve">women_b12</w:t>
                  </w:r>
                </w:p>
              </w:tc>
              <w:tc>
                <w:tcPr/>
                <w:p>
                  <w:pPr>
                    <w:pStyle w:val="Compact"/>
                    <w:jc w:val="right"/>
                    <w:jc w:val="center"/>
                  </w:pPr>
                  <w:r>
                    <w:t xml:space="preserve">87</w:t>
                  </w:r>
                </w:p>
              </w:tc>
              <w:tc>
                <w:tcPr/>
                <w:p>
                  <w:pPr>
                    <w:pStyle w:val="Compact"/>
                    <w:jc w:val="right"/>
                    <w:jc w:val="center"/>
                  </w:pPr>
                  <w:r>
                    <w:t xml:space="preserve">6.82</w:t>
                  </w:r>
                </w:p>
              </w:tc>
              <w:tc>
                <w:tcPr/>
                <w:p>
                  <w:pPr>
                    <w:pStyle w:val="Compact"/>
                    <w:jc w:val="right"/>
                    <w:jc w:val="center"/>
                  </w:pPr>
                  <w:r>
                    <w:t xml:space="preserve">0.44</w:t>
                  </w:r>
                </w:p>
              </w:tc>
              <w:tc>
                <w:tcPr/>
                <w:p>
                  <w:pPr>
                    <w:pStyle w:val="Compact"/>
                    <w:jc w:val="right"/>
                    <w:jc w:val="center"/>
                  </w:pPr>
                  <w:r>
                    <w:t xml:space="preserve">6.81</w:t>
                  </w:r>
                </w:p>
              </w:tc>
              <w:tc>
                <w:tcPr/>
                <w:p>
                  <w:pPr>
                    <w:pStyle w:val="Compact"/>
                    <w:jc w:val="right"/>
                    <w:jc w:val="center"/>
                  </w:pPr>
                  <w:r>
                    <w:t xml:space="preserve">0.07</w:t>
                  </w:r>
                </w:p>
              </w:tc>
            </w:tr>
            <w:tr>
              <w:tc>
                <w:tcPr/>
                <w:p>
                  <w:pPr>
                    <w:pStyle w:val="Compact"/>
                    <w:jc w:val="left"/>
                    <w:jc w:val="center"/>
                  </w:pPr>
                  <w:r>
                    <w:t xml:space="preserve">Malawi</w:t>
                  </w:r>
                </w:p>
              </w:tc>
              <w:tc>
                <w:tcPr/>
                <w:p>
                  <w:pPr>
                    <w:pStyle w:val="Compact"/>
                    <w:jc w:val="left"/>
                    <w:jc w:val="center"/>
                  </w:pPr>
                  <w:r>
                    <w:t xml:space="preserve">child_zinc</w:t>
                  </w:r>
                </w:p>
              </w:tc>
              <w:tc>
                <w:tcPr/>
                <w:p>
                  <w:pPr>
                    <w:pStyle w:val="Compact"/>
                    <w:jc w:val="right"/>
                    <w:jc w:val="center"/>
                  </w:pPr>
                  <w:r>
                    <w:t xml:space="preserve">87</w:t>
                  </w:r>
                </w:p>
              </w:tc>
              <w:tc>
                <w:tcPr/>
                <w:p>
                  <w:pPr>
                    <w:pStyle w:val="Compact"/>
                    <w:jc w:val="right"/>
                    <w:jc w:val="center"/>
                  </w:pPr>
                  <w:r>
                    <w:t xml:space="preserve">25.11</w:t>
                  </w:r>
                </w:p>
              </w:tc>
              <w:tc>
                <w:tcPr/>
                <w:p>
                  <w:pPr>
                    <w:pStyle w:val="Compact"/>
                    <w:jc w:val="right"/>
                    <w:jc w:val="center"/>
                  </w:pPr>
                  <w:r>
                    <w:t xml:space="preserve">4.89</w:t>
                  </w:r>
                </w:p>
              </w:tc>
              <w:tc>
                <w:tcPr/>
                <w:p>
                  <w:pPr>
                    <w:pStyle w:val="Compact"/>
                    <w:jc w:val="right"/>
                    <w:jc w:val="center"/>
                  </w:pPr>
                  <w:r>
                    <w:t xml:space="preserve">24.63</w:t>
                  </w:r>
                </w:p>
              </w:tc>
              <w:tc>
                <w:tcPr/>
                <w:p>
                  <w:pPr>
                    <w:pStyle w:val="Compact"/>
                    <w:jc w:val="right"/>
                    <w:jc w:val="center"/>
                  </w:pPr>
                  <w:r>
                    <w:t xml:space="preserve">0.13</w:t>
                  </w:r>
                </w:p>
              </w:tc>
            </w:tr>
            <w:tr>
              <w:tc>
                <w:tcPr/>
                <w:p>
                  <w:pPr>
                    <w:pStyle w:val="Compact"/>
                    <w:jc w:val="left"/>
                    <w:jc w:val="center"/>
                  </w:pPr>
                  <w:r>
                    <w:t xml:space="preserve">Malawi</w:t>
                  </w:r>
                </w:p>
              </w:tc>
              <w:tc>
                <w:tcPr/>
                <w:p>
                  <w:pPr>
                    <w:pStyle w:val="Compact"/>
                    <w:jc w:val="left"/>
                    <w:jc w:val="center"/>
                  </w:pPr>
                  <w:r>
                    <w:t xml:space="preserve">women_zinc</w:t>
                  </w:r>
                </w:p>
              </w:tc>
              <w:tc>
                <w:tcPr/>
                <w:p>
                  <w:pPr>
                    <w:pStyle w:val="Compact"/>
                    <w:jc w:val="right"/>
                    <w:jc w:val="center"/>
                  </w:pPr>
                  <w:r>
                    <w:t xml:space="preserve">87</w:t>
                  </w:r>
                </w:p>
              </w:tc>
              <w:tc>
                <w:tcPr/>
                <w:p>
                  <w:pPr>
                    <w:pStyle w:val="Compact"/>
                    <w:jc w:val="right"/>
                    <w:jc w:val="center"/>
                  </w:pPr>
                  <w:r>
                    <w:t xml:space="preserve">27.55</w:t>
                  </w:r>
                </w:p>
              </w:tc>
              <w:tc>
                <w:tcPr/>
                <w:p>
                  <w:pPr>
                    <w:pStyle w:val="Compact"/>
                    <w:jc w:val="right"/>
                    <w:jc w:val="center"/>
                  </w:pPr>
                  <w:r>
                    <w:t xml:space="preserve">4.24</w:t>
                  </w:r>
                </w:p>
              </w:tc>
              <w:tc>
                <w:tcPr/>
                <w:p>
                  <w:pPr>
                    <w:pStyle w:val="Compact"/>
                    <w:jc w:val="right"/>
                    <w:jc w:val="center"/>
                  </w:pPr>
                  <w:r>
                    <w:t xml:space="preserve">27.22</w:t>
                  </w:r>
                </w:p>
              </w:tc>
              <w:tc>
                <w:tcPr/>
                <w:p>
                  <w:pPr>
                    <w:pStyle w:val="Compact"/>
                    <w:jc w:val="right"/>
                    <w:jc w:val="center"/>
                  </w:pPr>
                  <w:r>
                    <w:t xml:space="preserve">0.13</w:t>
                  </w:r>
                </w:p>
              </w:tc>
            </w:tr>
          </w:tbl>
          <w:bookmarkEnd w:id="59"/>
          <w:p/>
        </w:tc>
      </w:tr>
    </w:tbl>
    <w:bookmarkEnd w:id="60"/>
    <w:bookmarkStart w:id="61" w:name="s1.3-other-analyses-of-the-first-version"/>
    <w:p>
      <w:pPr>
        <w:pStyle w:val="Heading2"/>
      </w:pPr>
      <w:r>
        <w:t xml:space="preserve">S1.3 Other analyses of the first version</w:t>
      </w:r>
    </w:p>
    <w:p>
      <w:pPr>
        <w:pStyle w:val="FirstParagraph"/>
      </w:pPr>
      <w:r>
        <w:t xml:space="preserve">The first version also reported a benchmark of 21 comparator methods under</w:t>
      </w:r>
      <w:r>
        <w:t xml:space="preserve"> </w:t>
      </w:r>
      <w:r>
        <w:t xml:space="preserve">leave-one-country-out (Bayesian small-area models, penalised regressions,</w:t>
      </w:r>
      <w:r>
        <w:t xml:space="preserve"> </w:t>
      </w:r>
      <w:r>
        <w:t xml:space="preserve">invariance-based transport methods and two spatial smoothers, of which the</w:t>
      </w:r>
      <w:r>
        <w:t xml:space="preserve"> </w:t>
      </w:r>
      <w:r>
        <w:t xml:space="preserve">smoothers led on rank correlation), an area-level prevalence recipe whose</w:t>
      </w:r>
      <w:r>
        <w:t xml:space="preserve"> </w:t>
      </w:r>
      <w:r>
        <w:t xml:space="preserve">comparative claims did not survive a leakage-corrected re-ranking, a test of</w:t>
      </w:r>
      <w:r>
        <w:t xml:space="preserve"> </w:t>
      </w:r>
      <w:r>
        <w:t xml:space="preserve">modelling the continuous biomarker instead of the binary, a test of what</w:t>
      </w:r>
      <w:r>
        <w:t xml:space="preserve"> </w:t>
      </w:r>
      <w:r>
        <w:t xml:space="preserve">target a model should carry across a border (within-country z-scores</w:t>
      </w:r>
      <w:r>
        <w:t xml:space="preserve"> </w:t>
      </w:r>
      <w:r>
        <w:t xml:space="preserve">transport; deviations from the national level do not), a national-level model</w:t>
      </w:r>
      <w:r>
        <w:t xml:space="preserve"> </w:t>
      </w:r>
      <w:r>
        <w:t xml:space="preserve">on the WHO VMNIS panel that cannot supply a district map’s level, and a</w:t>
      </w:r>
      <w:r>
        <w:t xml:space="preserve"> </w:t>
      </w:r>
      <w:r>
        <w:t xml:space="preserve">comparison of admin-1 against admin-2 as the unit of estimation. Their text and</w:t>
      </w:r>
      <w:r>
        <w:t xml:space="preserve"> </w:t>
      </w:r>
      <w:r>
        <w:t xml:space="preserve">tables are in</w:t>
      </w:r>
      <w:r>
        <w:t xml:space="preserve"> </w:t>
      </w:r>
      <w:r>
        <w:rPr>
          <w:rStyle w:val="VerbatimChar"/>
        </w:rPr>
        <w:t xml:space="preserve">docs/manuscript_mcn.qmd</w:t>
      </w:r>
      <w:r>
        <w:t xml:space="preserve">; each conclusion that survives is</w:t>
      </w:r>
      <w:r>
        <w:t xml:space="preserve"> </w:t>
      </w:r>
      <w:r>
        <w:t xml:space="preserve">stated in the body above, and each that does not is listed in</w:t>
      </w:r>
      <w:r>
        <w:t xml:space="preserve"> </w:t>
      </w:r>
      <w:hyperlink w:anchor="tbl-changes">
        <w:r>
          <w:rPr>
            <w:rStyle w:val="Hyperlink"/>
          </w:rPr>
          <w:t xml:space="preserve">Table 11</w:t>
        </w:r>
      </w:hyperlink>
      <w:r>
        <w:t xml:space="preserve">.</w:t>
      </w:r>
    </w:p>
    <w:bookmarkEnd w:id="61"/>
    <w:bookmarkEnd w:id="62"/>
    <w:bookmarkStart w:id="63" w:name="X4e767c0aee720761abf985f7282b1cc6cf29c4c"/>
    <w:p>
      <w:pPr>
        <w:pStyle w:val="Heading1"/>
      </w:pPr>
      <w:r>
        <w:t xml:space="preserve">Supplement S2: data provenance and the variable annotation sheet</w:t>
      </w:r>
    </w:p>
    <w:p>
      <w:pPr>
        <w:pStyle w:val="FirstParagraph"/>
      </w:pPr>
      <w:r>
        <w:t xml:space="preserve">Every predictor’s source, native administrative level, join method, coverage</w:t>
      </w:r>
      <w:r>
        <w:t xml:space="preserve"> </w:t>
      </w:r>
      <w:r>
        <w:t xml:space="preserve">by country and known gaps are recorded in the variable annotation sheet</w:t>
      </w:r>
      <w:r>
        <w:t xml:space="preserve"> </w:t>
      </w:r>
      <w:r>
        <w:t xml:space="preserve">(</w:t>
      </w:r>
      <w:r>
        <w:rPr>
          <w:rStyle w:val="VerbatimChar"/>
        </w:rPr>
        <w:t xml:space="preserve">results/tables/protocol_v2/variable_sheet.csv</w:t>
      </w:r>
      <w:r>
        <w:t xml:space="preserve">) and the source-block</w:t>
      </w:r>
      <w:r>
        <w:t xml:space="preserve"> </w:t>
      </w:r>
      <w:r>
        <w:t xml:space="preserve">metadata (</w:t>
      </w:r>
      <w:r>
        <w:rPr>
          <w:rStyle w:val="VerbatimChar"/>
        </w:rPr>
        <w:t xml:space="preserve">data/covariates/harmonized/*_metadata.csv</w:t>
      </w:r>
      <w:r>
        <w:t xml:space="preserve">). Four data-handling</w:t>
      </w:r>
      <w:r>
        <w:t xml:space="preserve"> </w:t>
      </w:r>
      <w:r>
        <w:t xml:space="preserve">defects found during this work are recorded there with their fix: the</w:t>
      </w:r>
      <w:r>
        <w:t xml:space="preserve"> </w:t>
      </w:r>
      <w:r>
        <w:t xml:space="preserve">population file spelling that dropped Sierra Leone from every population-joined</w:t>
      </w:r>
      <w:r>
        <w:t xml:space="preserve"> </w:t>
      </w:r>
      <w:r>
        <w:t xml:space="preserve">run; the satellite embedding filed under agriculture; the one-year-per-country</w:t>
      </w:r>
      <w:r>
        <w:t xml:space="preserve"> </w:t>
      </w:r>
      <w:r>
        <w:t xml:space="preserve">selection that blanked 25 of The Gambia’s 34 IHME and GFDx columns; and the</w:t>
      </w:r>
      <w:r>
        <w:t xml:space="preserve"> </w:t>
      </w:r>
      <w:r>
        <w:t xml:space="preserve">survey year of The Gambia entered as 2021 in two scripts (fieldwork was</w:t>
      </w:r>
      <w:r>
        <w:t xml:space="preserve"> </w:t>
      </w:r>
      <w:r>
        <w:t xml:space="preserve">January–April 2018). Remaining gaps are source gaps: the fortification</w:t>
      </w:r>
      <w:r>
        <w:t xml:space="preserve"> </w:t>
      </w:r>
      <w:r>
        <w:t xml:space="preserve">database has no rows for The Gambia, IHME does not model circumcision or four</w:t>
      </w:r>
      <w:r>
        <w:t xml:space="preserve"> </w:t>
      </w:r>
      <w:r>
        <w:t xml:space="preserve">sanitation indicators there, and ESPEN exposes programme endemicity classes</w:t>
      </w:r>
      <w:r>
        <w:t xml:space="preserve"> </w:t>
      </w:r>
      <w:r>
        <w:t xml:space="preserve">rather than survey prevalence.</w:t>
      </w:r>
    </w:p>
    <w:bookmarkEnd w:id="63"/>
    <w:bookmarkStart w:id="65" w:name="supplement-s3-per-cell-transport"/>
    <w:p>
      <w:pPr>
        <w:pStyle w:val="Heading1"/>
      </w:pPr>
      <w:r>
        <w:t xml:space="preserve">Supplement S3: per-cell transport</w:t>
      </w:r>
    </w:p>
    <w:tbl>
      <w:tblPr>
        <w:tblStyle w:val="Table"/>
        <w:tblW w:type="pct" w:w="5000"/>
        <w:tblLayout w:type="fixed"/>
        <w:tblLook w:firstRow="0" w:lastRow="0" w:firstColumn="0" w:lastColumn="0" w:noHBand="0" w:noVBand="0" w:val="0000"/>
      </w:tblPr>
      <w:tblGrid>
        <w:gridCol w:w="7920"/>
      </w:tblGrid>
      <w:tr>
        <w:tc>
          <w:tcPr/>
          <w:bookmarkStart w:id="64" w:name="tbl-s3-cells"/>
          <w:p>
            <w:pPr>
              <w:jc w:val="center"/>
            </w:pPr>
            <w:pPr>
              <w:jc w:val="start"/>
              <w:spacing w:before="200"/>
              <w:pStyle w:val="ImageCaption"/>
            </w:pPr>
            <w:r>
              <w:t xml:space="preserve">Table 14: Country transport by cell: Spearman correlation in the held-out country for the zero-tuning domain index, biomarker level and prevalence, district tier.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Country</w:t>
                  </w:r>
                </w:p>
              </w:tc>
              <w:tc>
                <w:tcPr/>
                <w:p>
                  <w:pPr>
                    <w:pStyle w:val="Compact"/>
                    <w:jc w:val="left"/>
                    <w:jc w:val="center"/>
                  </w:pPr>
                  <w:r>
                    <w:t xml:space="preserve">Outcome</w:t>
                  </w:r>
                </w:p>
              </w:tc>
              <w:tc>
                <w:tcPr/>
                <w:p>
                  <w:pPr>
                    <w:pStyle w:val="Compact"/>
                    <w:jc w:val="right"/>
                    <w:jc w:val="center"/>
                  </w:pPr>
                  <w:r>
                    <w:t xml:space="preserve">Level</w:t>
                  </w:r>
                </w:p>
              </w:tc>
              <w:tc>
                <w:tcPr/>
                <w:p>
                  <w:pPr>
                    <w:pStyle w:val="Compact"/>
                    <w:jc w:val="right"/>
                    <w:jc w:val="center"/>
                  </w:pPr>
                  <w:r>
                    <w:t xml:space="preserve">Prevalence</w:t>
                  </w:r>
                </w:p>
              </w:tc>
            </w:tr>
            <w:tr>
              <w:tc>
                <w:tcPr/>
                <w:p>
                  <w:pPr>
                    <w:pStyle w:val="Compact"/>
                    <w:jc w:val="left"/>
                    <w:jc w:val="center"/>
                  </w:pPr>
                  <w:r>
                    <w:t xml:space="preserve">Gambia</w:t>
                  </w:r>
                </w:p>
              </w:tc>
              <w:tc>
                <w:tcPr/>
                <w:p>
                  <w:pPr>
                    <w:pStyle w:val="Compact"/>
                    <w:jc w:val="left"/>
                    <w:jc w:val="center"/>
                  </w:pPr>
                  <w:r>
                    <w:t xml:space="preserve">Child iron</w:t>
                  </w:r>
                </w:p>
              </w:tc>
              <w:tc>
                <w:tcPr/>
                <w:p>
                  <w:pPr>
                    <w:pStyle w:val="Compact"/>
                    <w:jc w:val="right"/>
                    <w:jc w:val="center"/>
                  </w:pPr>
                  <w:r>
                    <w:t xml:space="preserve">0.50</w:t>
                  </w:r>
                </w:p>
              </w:tc>
              <w:tc>
                <w:tcPr/>
                <w:p>
                  <w:pPr>
                    <w:pStyle w:val="Compact"/>
                    <w:jc w:val="right"/>
                    <w:jc w:val="center"/>
                  </w:pPr>
                  <w:r>
                    <w:t xml:space="preserve">0.59</w:t>
                  </w:r>
                </w:p>
              </w:tc>
            </w:tr>
            <w:tr>
              <w:tc>
                <w:tcPr/>
                <w:p>
                  <w:pPr>
                    <w:pStyle w:val="Compact"/>
                    <w:jc w:val="left"/>
                    <w:jc w:val="center"/>
                  </w:pPr>
                  <w:r>
                    <w:t xml:space="preserve">Gambia</w:t>
                  </w:r>
                </w:p>
              </w:tc>
              <w:tc>
                <w:tcPr/>
                <w:p>
                  <w:pPr>
                    <w:pStyle w:val="Compact"/>
                    <w:jc w:val="left"/>
                    <w:jc w:val="center"/>
                  </w:pPr>
                  <w:r>
                    <w:t xml:space="preserve">Child vitamin A</w:t>
                  </w:r>
                </w:p>
              </w:tc>
              <w:tc>
                <w:tcPr/>
                <w:p>
                  <w:pPr>
                    <w:pStyle w:val="Compact"/>
                    <w:jc w:val="right"/>
                    <w:jc w:val="center"/>
                  </w:pPr>
                  <w:r>
                    <w:t xml:space="preserve">0.66</w:t>
                  </w:r>
                </w:p>
              </w:tc>
              <w:tc>
                <w:tcPr/>
                <w:p>
                  <w:pPr>
                    <w:pStyle w:val="Compact"/>
                    <w:jc w:val="right"/>
                    <w:jc w:val="center"/>
                  </w:pPr>
                  <w:r>
                    <w:t xml:space="preserve">0.58</w:t>
                  </w:r>
                </w:p>
              </w:tc>
            </w:tr>
            <w:tr>
              <w:tc>
                <w:tcPr/>
                <w:p>
                  <w:pPr>
                    <w:pStyle w:val="Compact"/>
                    <w:jc w:val="left"/>
                    <w:jc w:val="center"/>
                  </w:pPr>
                  <w:r>
                    <w:t xml:space="preserve">Gambia</w:t>
                  </w:r>
                </w:p>
              </w:tc>
              <w:tc>
                <w:tcPr/>
                <w:p>
                  <w:pPr>
                    <w:pStyle w:val="Compact"/>
                    <w:jc w:val="left"/>
                    <w:jc w:val="center"/>
                  </w:pPr>
                  <w:r>
                    <w:t xml:space="preserve">Women’s iron</w:t>
                  </w:r>
                </w:p>
              </w:tc>
              <w:tc>
                <w:tcPr/>
                <w:p>
                  <w:pPr>
                    <w:pStyle w:val="Compact"/>
                    <w:jc w:val="right"/>
                    <w:jc w:val="center"/>
                  </w:pPr>
                  <w:r>
                    <w:t xml:space="preserve">0.37</w:t>
                  </w:r>
                </w:p>
              </w:tc>
              <w:tc>
                <w:tcPr/>
                <w:p>
                  <w:pPr>
                    <w:pStyle w:val="Compact"/>
                    <w:jc w:val="right"/>
                    <w:jc w:val="center"/>
                  </w:pPr>
                  <w:r>
                    <w:t xml:space="preserve">0.33</w:t>
                  </w:r>
                </w:p>
              </w:tc>
            </w:tr>
            <w:tr>
              <w:tc>
                <w:tcPr/>
                <w:p>
                  <w:pPr>
                    <w:pStyle w:val="Compact"/>
                    <w:jc w:val="left"/>
                    <w:jc w:val="center"/>
                  </w:pPr>
                  <w:r>
                    <w:t xml:space="preserve">Gambia</w:t>
                  </w:r>
                </w:p>
              </w:tc>
              <w:tc>
                <w:tcPr/>
                <w:p>
                  <w:pPr>
                    <w:pStyle w:val="Compact"/>
                    <w:jc w:val="left"/>
                    <w:jc w:val="center"/>
                  </w:pPr>
                  <w:r>
                    <w:t xml:space="preserve">Women’s vitamin A</w:t>
                  </w:r>
                </w:p>
              </w:tc>
              <w:tc>
                <w:tcPr/>
                <w:p>
                  <w:pPr>
                    <w:pStyle w:val="Compact"/>
                    <w:jc w:val="right"/>
                    <w:jc w:val="center"/>
                  </w:pPr>
                  <w:r>
                    <w:t xml:space="preserve">0.76</w:t>
                  </w:r>
                </w:p>
              </w:tc>
              <w:tc>
                <w:tcPr/>
                <w:p>
                  <w:pPr>
                    <w:pStyle w:val="Compact"/>
                    <w:jc w:val="right"/>
                    <w:jc w:val="center"/>
                  </w:pPr>
                  <w:r>
                    <w:t xml:space="preserve">0.44</w:t>
                  </w:r>
                </w:p>
              </w:tc>
            </w:tr>
            <w:tr>
              <w:tc>
                <w:tcPr/>
                <w:p>
                  <w:pPr>
                    <w:pStyle w:val="Compact"/>
                    <w:jc w:val="left"/>
                    <w:jc w:val="center"/>
                  </w:pPr>
                  <w:r>
                    <w:t xml:space="preserve">Ghana</w:t>
                  </w:r>
                </w:p>
              </w:tc>
              <w:tc>
                <w:tcPr/>
                <w:p>
                  <w:pPr>
                    <w:pStyle w:val="Compact"/>
                    <w:jc w:val="left"/>
                    <w:jc w:val="center"/>
                  </w:pPr>
                  <w:r>
                    <w:t xml:space="preserve">Child iron</w:t>
                  </w:r>
                </w:p>
              </w:tc>
              <w:tc>
                <w:tcPr/>
                <w:p>
                  <w:pPr>
                    <w:pStyle w:val="Compact"/>
                    <w:jc w:val="right"/>
                    <w:jc w:val="center"/>
                  </w:pPr>
                  <w:r>
                    <w:t xml:space="preserve">0.51</w:t>
                  </w:r>
                </w:p>
              </w:tc>
              <w:tc>
                <w:tcPr/>
                <w:p>
                  <w:pPr>
                    <w:pStyle w:val="Compact"/>
                    <w:jc w:val="right"/>
                    <w:jc w:val="center"/>
                  </w:pPr>
                  <w:r>
                    <w:t xml:space="preserve">0.54</w:t>
                  </w:r>
                </w:p>
              </w:tc>
            </w:tr>
            <w:tr>
              <w:tc>
                <w:tcPr/>
                <w:p>
                  <w:pPr>
                    <w:pStyle w:val="Compact"/>
                    <w:jc w:val="left"/>
                    <w:jc w:val="center"/>
                  </w:pPr>
                  <w:r>
                    <w:t xml:space="preserve">Ghana</w:t>
                  </w:r>
                </w:p>
              </w:tc>
              <w:tc>
                <w:tcPr/>
                <w:p>
                  <w:pPr>
                    <w:pStyle w:val="Compact"/>
                    <w:jc w:val="left"/>
                    <w:jc w:val="center"/>
                  </w:pPr>
                  <w:r>
                    <w:t xml:space="preserve">Child vitamin A</w:t>
                  </w:r>
                </w:p>
              </w:tc>
              <w:tc>
                <w:tcPr/>
                <w:p>
                  <w:pPr>
                    <w:pStyle w:val="Compact"/>
                    <w:jc w:val="right"/>
                    <w:jc w:val="center"/>
                  </w:pPr>
                  <w:r>
                    <w:t xml:space="preserve">0.40</w:t>
                  </w:r>
                </w:p>
              </w:tc>
              <w:tc>
                <w:tcPr/>
                <w:p>
                  <w:pPr>
                    <w:pStyle w:val="Compact"/>
                    <w:jc w:val="right"/>
                    <w:jc w:val="center"/>
                  </w:pPr>
                  <w:r>
                    <w:t xml:space="preserve">0.35</w:t>
                  </w:r>
                </w:p>
              </w:tc>
            </w:tr>
            <w:tr>
              <w:tc>
                <w:tcPr/>
                <w:p>
                  <w:pPr>
                    <w:pStyle w:val="Compact"/>
                    <w:jc w:val="left"/>
                    <w:jc w:val="center"/>
                  </w:pPr>
                  <w:r>
                    <w:t xml:space="preserve">Ghana</w:t>
                  </w:r>
                </w:p>
              </w:tc>
              <w:tc>
                <w:tcPr/>
                <w:p>
                  <w:pPr>
                    <w:pStyle w:val="Compact"/>
                    <w:jc w:val="left"/>
                    <w:jc w:val="center"/>
                  </w:pPr>
                  <w:r>
                    <w:t xml:space="preserve">Women’s B12</w:t>
                  </w:r>
                </w:p>
              </w:tc>
              <w:tc>
                <w:tcPr/>
                <w:p>
                  <w:pPr>
                    <w:pStyle w:val="Compact"/>
                    <w:jc w:val="right"/>
                    <w:jc w:val="center"/>
                  </w:pPr>
                  <w:r>
                    <w:t xml:space="preserve">0.59</w:t>
                  </w:r>
                </w:p>
              </w:tc>
              <w:tc>
                <w:tcPr/>
                <w:p>
                  <w:pPr>
                    <w:pStyle w:val="Compact"/>
                    <w:jc w:val="right"/>
                    <w:jc w:val="center"/>
                  </w:pPr>
                  <w:r>
                    <w:t xml:space="preserve">0.19</w:t>
                  </w:r>
                </w:p>
              </w:tc>
            </w:tr>
            <w:tr>
              <w:tc>
                <w:tcPr/>
                <w:p>
                  <w:pPr>
                    <w:pStyle w:val="Compact"/>
                    <w:jc w:val="left"/>
                    <w:jc w:val="center"/>
                  </w:pPr>
                  <w:r>
                    <w:t xml:space="preserve">Ghana</w:t>
                  </w:r>
                </w:p>
              </w:tc>
              <w:tc>
                <w:tcPr/>
                <w:p>
                  <w:pPr>
                    <w:pStyle w:val="Compact"/>
                    <w:jc w:val="left"/>
                    <w:jc w:val="center"/>
                  </w:pPr>
                  <w:r>
                    <w:t xml:space="preserve">Women’s folate</w:t>
                  </w:r>
                </w:p>
              </w:tc>
              <w:tc>
                <w:tcPr/>
                <w:p>
                  <w:pPr>
                    <w:pStyle w:val="Compact"/>
                    <w:jc w:val="right"/>
                    <w:jc w:val="center"/>
                  </w:pPr>
                  <w:r>
                    <w:t xml:space="preserve">-0.11</w:t>
                  </w:r>
                </w:p>
              </w:tc>
              <w:tc>
                <w:tcPr/>
                <w:p>
                  <w:pPr>
                    <w:pStyle w:val="Compact"/>
                    <w:jc w:val="right"/>
                    <w:jc w:val="center"/>
                  </w:pPr>
                  <w:r>
                    <w:t xml:space="preserve">0.01</w:t>
                  </w:r>
                </w:p>
              </w:tc>
            </w:tr>
            <w:tr>
              <w:tc>
                <w:tcPr/>
                <w:p>
                  <w:pPr>
                    <w:pStyle w:val="Compact"/>
                    <w:jc w:val="left"/>
                    <w:jc w:val="center"/>
                  </w:pPr>
                  <w:r>
                    <w:t xml:space="preserve">Ghana</w:t>
                  </w:r>
                </w:p>
              </w:tc>
              <w:tc>
                <w:tcPr/>
                <w:p>
                  <w:pPr>
                    <w:pStyle w:val="Compact"/>
                    <w:jc w:val="left"/>
                    <w:jc w:val="center"/>
                  </w:pPr>
                  <w:r>
                    <w:t xml:space="preserve">Women’s iron</w:t>
                  </w:r>
                </w:p>
              </w:tc>
              <w:tc>
                <w:tcPr/>
                <w:p>
                  <w:pPr>
                    <w:pStyle w:val="Compact"/>
                    <w:jc w:val="right"/>
                    <w:jc w:val="center"/>
                  </w:pPr>
                  <w:r>
                    <w:t xml:space="preserve">0.26</w:t>
                  </w:r>
                </w:p>
              </w:tc>
              <w:tc>
                <w:tcPr/>
                <w:p>
                  <w:pPr>
                    <w:pStyle w:val="Compact"/>
                    <w:jc w:val="right"/>
                    <w:jc w:val="center"/>
                  </w:pPr>
                  <w:r>
                    <w:t xml:space="preserve">0.31</w:t>
                  </w:r>
                </w:p>
              </w:tc>
            </w:tr>
            <w:tr>
              <w:tc>
                <w:tcPr/>
                <w:p>
                  <w:pPr>
                    <w:pStyle w:val="Compact"/>
                    <w:jc w:val="left"/>
                    <w:jc w:val="center"/>
                  </w:pPr>
                  <w:r>
                    <w:t xml:space="preserve">Ghana</w:t>
                  </w:r>
                </w:p>
              </w:tc>
              <w:tc>
                <w:tcPr/>
                <w:p>
                  <w:pPr>
                    <w:pStyle w:val="Compact"/>
                    <w:jc w:val="left"/>
                    <w:jc w:val="center"/>
                  </w:pPr>
                  <w:r>
                    <w:t xml:space="preserve">Women’s vitamin A</w:t>
                  </w:r>
                </w:p>
              </w:tc>
              <w:tc>
                <w:tcPr/>
                <w:p>
                  <w:pPr>
                    <w:pStyle w:val="Compact"/>
                    <w:jc w:val="right"/>
                    <w:jc w:val="center"/>
                  </w:pPr>
                  <w:r>
                    <w:t xml:space="preserve">0.31</w:t>
                  </w:r>
                </w:p>
              </w:tc>
              <w:tc>
                <w:tcPr/>
                <w:p>
                  <w:pPr>
                    <w:pStyle w:val="Compact"/>
                    <w:jc w:val="right"/>
                    <w:jc w:val="center"/>
                  </w:pPr>
                  <w:r>
                    <w:t xml:space="preserve">0.26</w:t>
                  </w:r>
                </w:p>
              </w:tc>
            </w:tr>
            <w:tr>
              <w:tc>
                <w:tcPr/>
                <w:p>
                  <w:pPr>
                    <w:pStyle w:val="Compact"/>
                    <w:jc w:val="left"/>
                    <w:jc w:val="center"/>
                  </w:pPr>
                  <w:r>
                    <w:t xml:space="preserve">Malawi</w:t>
                  </w:r>
                </w:p>
              </w:tc>
              <w:tc>
                <w:tcPr/>
                <w:p>
                  <w:pPr>
                    <w:pStyle w:val="Compact"/>
                    <w:jc w:val="left"/>
                    <w:jc w:val="center"/>
                  </w:pPr>
                  <w:r>
                    <w:t xml:space="preserve">Child iron</w:t>
                  </w:r>
                </w:p>
              </w:tc>
              <w:tc>
                <w:tcPr/>
                <w:p>
                  <w:pPr>
                    <w:pStyle w:val="Compact"/>
                    <w:jc w:val="right"/>
                    <w:jc w:val="center"/>
                  </w:pPr>
                  <w:r>
                    <w:t xml:space="preserve">-0.06</w:t>
                  </w:r>
                </w:p>
              </w:tc>
              <w:tc>
                <w:tcPr/>
                <w:p>
                  <w:pPr>
                    <w:pStyle w:val="Compact"/>
                    <w:jc w:val="right"/>
                    <w:jc w:val="center"/>
                  </w:pPr>
                  <w:r>
                    <w:t xml:space="preserve">-0.14</w:t>
                  </w:r>
                </w:p>
              </w:tc>
            </w:tr>
            <w:tr>
              <w:tc>
                <w:tcPr/>
                <w:p>
                  <w:pPr>
                    <w:pStyle w:val="Compact"/>
                    <w:jc w:val="left"/>
                    <w:jc w:val="center"/>
                  </w:pPr>
                  <w:r>
                    <w:t xml:space="preserve">Malawi</w:t>
                  </w:r>
                </w:p>
              </w:tc>
              <w:tc>
                <w:tcPr/>
                <w:p>
                  <w:pPr>
                    <w:pStyle w:val="Compact"/>
                    <w:jc w:val="left"/>
                    <w:jc w:val="center"/>
                  </w:pPr>
                  <w:r>
                    <w:t xml:space="preserve">Child vitamin A</w:t>
                  </w:r>
                </w:p>
              </w:tc>
              <w:tc>
                <w:tcPr/>
                <w:p>
                  <w:pPr>
                    <w:pStyle w:val="Compact"/>
                    <w:jc w:val="right"/>
                    <w:jc w:val="center"/>
                  </w:pPr>
                  <w:r>
                    <w:t xml:space="preserve">0.20</w:t>
                  </w:r>
                </w:p>
              </w:tc>
              <w:tc>
                <w:tcPr/>
                <w:p>
                  <w:pPr>
                    <w:pStyle w:val="Compact"/>
                    <w:jc w:val="right"/>
                    <w:jc w:val="center"/>
                  </w:pPr>
                  <w:r>
                    <w:t xml:space="preserve">0.20</w:t>
                  </w:r>
                </w:p>
              </w:tc>
            </w:tr>
            <w:tr>
              <w:tc>
                <w:tcPr/>
                <w:p>
                  <w:pPr>
                    <w:pStyle w:val="Compact"/>
                    <w:jc w:val="left"/>
                    <w:jc w:val="center"/>
                  </w:pPr>
                  <w:r>
                    <w:t xml:space="preserve">Malawi</w:t>
                  </w:r>
                </w:p>
              </w:tc>
              <w:tc>
                <w:tcPr/>
                <w:p>
                  <w:pPr>
                    <w:pStyle w:val="Compact"/>
                    <w:jc w:val="left"/>
                    <w:jc w:val="center"/>
                  </w:pPr>
                  <w:r>
                    <w:t xml:space="preserve">Women’s B12</w:t>
                  </w:r>
                </w:p>
              </w:tc>
              <w:tc>
                <w:tcPr/>
                <w:p>
                  <w:pPr>
                    <w:pStyle w:val="Compact"/>
                    <w:jc w:val="right"/>
                    <w:jc w:val="center"/>
                  </w:pPr>
                  <w:r>
                    <w:t xml:space="preserve">0.44</w:t>
                  </w:r>
                </w:p>
              </w:tc>
              <w:tc>
                <w:tcPr/>
                <w:p>
                  <w:pPr>
                    <w:pStyle w:val="Compact"/>
                    <w:jc w:val="right"/>
                    <w:jc w:val="center"/>
                  </w:pPr>
                  <w:r>
                    <w:t xml:space="preserve">0.30</w:t>
                  </w:r>
                </w:p>
              </w:tc>
            </w:tr>
            <w:tr>
              <w:tc>
                <w:tcPr/>
                <w:p>
                  <w:pPr>
                    <w:pStyle w:val="Compact"/>
                    <w:jc w:val="left"/>
                    <w:jc w:val="center"/>
                  </w:pPr>
                  <w:r>
                    <w:t xml:space="preserve">Malawi</w:t>
                  </w:r>
                </w:p>
              </w:tc>
              <w:tc>
                <w:tcPr/>
                <w:p>
                  <w:pPr>
                    <w:pStyle w:val="Compact"/>
                    <w:jc w:val="left"/>
                    <w:jc w:val="center"/>
                  </w:pPr>
                  <w:r>
                    <w:t xml:space="preserve">Women’s folate</w:t>
                  </w:r>
                </w:p>
              </w:tc>
              <w:tc>
                <w:tcPr/>
                <w:p>
                  <w:pPr>
                    <w:pStyle w:val="Compact"/>
                    <w:jc w:val="right"/>
                    <w:jc w:val="center"/>
                  </w:pPr>
                  <w:r>
                    <w:t xml:space="preserve">-0.09</w:t>
                  </w:r>
                </w:p>
              </w:tc>
              <w:tc>
                <w:tcPr/>
                <w:p>
                  <w:pPr>
                    <w:pStyle w:val="Compact"/>
                    <w:jc w:val="right"/>
                    <w:jc w:val="center"/>
                  </w:pPr>
                  <w:r>
                    <w:t xml:space="preserve">-0.02</w:t>
                  </w:r>
                </w:p>
              </w:tc>
            </w:tr>
            <w:tr>
              <w:tc>
                <w:tcPr/>
                <w:p>
                  <w:pPr>
                    <w:pStyle w:val="Compact"/>
                    <w:jc w:val="left"/>
                    <w:jc w:val="center"/>
                  </w:pPr>
                  <w:r>
                    <w:t xml:space="preserve">Malawi</w:t>
                  </w:r>
                </w:p>
              </w:tc>
              <w:tc>
                <w:tcPr/>
                <w:p>
                  <w:pPr>
                    <w:pStyle w:val="Compact"/>
                    <w:jc w:val="left"/>
                    <w:jc w:val="center"/>
                  </w:pPr>
                  <w:r>
                    <w:t xml:space="preserve">Women’s iron</w:t>
                  </w:r>
                </w:p>
              </w:tc>
              <w:tc>
                <w:tcPr/>
                <w:p>
                  <w:pPr>
                    <w:pStyle w:val="Compact"/>
                    <w:jc w:val="right"/>
                    <w:jc w:val="center"/>
                  </w:pPr>
                  <w:r>
                    <w:t xml:space="preserve">0.27</w:t>
                  </w:r>
                </w:p>
              </w:tc>
              <w:tc>
                <w:tcPr/>
                <w:p>
                  <w:pPr>
                    <w:pStyle w:val="Compact"/>
                    <w:jc w:val="right"/>
                    <w:jc w:val="center"/>
                  </w:pPr>
                  <w:r>
                    <w:t xml:space="preserve">0.14</w:t>
                  </w:r>
                </w:p>
              </w:tc>
            </w:tr>
            <w:tr>
              <w:tc>
                <w:tcPr/>
                <w:p>
                  <w:pPr>
                    <w:pStyle w:val="Compact"/>
                    <w:jc w:val="left"/>
                    <w:jc w:val="center"/>
                  </w:pPr>
                  <w:r>
                    <w:t xml:space="preserve">Malawi</w:t>
                  </w:r>
                </w:p>
              </w:tc>
              <w:tc>
                <w:tcPr/>
                <w:p>
                  <w:pPr>
                    <w:pStyle w:val="Compact"/>
                    <w:jc w:val="left"/>
                    <w:jc w:val="center"/>
                  </w:pPr>
                  <w:r>
                    <w:t xml:space="preserve">Women’s vitamin A</w:t>
                  </w:r>
                </w:p>
              </w:tc>
              <w:tc>
                <w:tcPr/>
                <w:p>
                  <w:pPr>
                    <w:pStyle w:val="Compact"/>
                    <w:jc w:val="right"/>
                    <w:jc w:val="center"/>
                  </w:pPr>
                  <w:r>
                    <w:t xml:space="preserve">0.21</w:t>
                  </w:r>
                </w:p>
              </w:tc>
              <w:tc>
                <w:tcPr/>
                <w:p>
                  <w:pPr>
                    <w:pStyle w:val="Compact"/>
                    <w:jc w:val="right"/>
                    <w:jc w:val="center"/>
                  </w:pPr>
                  <w:r>
                    <w:t xml:space="preserve">0.08</w:t>
                  </w:r>
                </w:p>
              </w:tc>
            </w:tr>
            <w:tr>
              <w:tc>
                <w:tcPr/>
                <w:p>
                  <w:pPr>
                    <w:pStyle w:val="Compact"/>
                    <w:jc w:val="left"/>
                    <w:jc w:val="center"/>
                  </w:pPr>
                  <w:r>
                    <w:t xml:space="preserve">SierraLeone</w:t>
                  </w:r>
                </w:p>
              </w:tc>
              <w:tc>
                <w:tcPr/>
                <w:p>
                  <w:pPr>
                    <w:pStyle w:val="Compact"/>
                    <w:jc w:val="left"/>
                    <w:jc w:val="center"/>
                  </w:pPr>
                  <w:r>
                    <w:t xml:space="preserve">Child iron</w:t>
                  </w:r>
                </w:p>
              </w:tc>
              <w:tc>
                <w:tcPr/>
                <w:p>
                  <w:pPr>
                    <w:pStyle w:val="Compact"/>
                    <w:jc w:val="right"/>
                    <w:jc w:val="center"/>
                  </w:pPr>
                  <w:r>
                    <w:t xml:space="preserve">0.25</w:t>
                  </w:r>
                </w:p>
              </w:tc>
              <w:tc>
                <w:tcPr/>
                <w:p>
                  <w:pPr>
                    <w:pStyle w:val="Compact"/>
                    <w:jc w:val="right"/>
                    <w:jc w:val="center"/>
                  </w:pPr>
                  <w:r>
                    <w:t xml:space="preserve">0.31</w:t>
                  </w:r>
                </w:p>
              </w:tc>
            </w:tr>
            <w:tr>
              <w:tc>
                <w:tcPr/>
                <w:p>
                  <w:pPr>
                    <w:pStyle w:val="Compact"/>
                    <w:jc w:val="left"/>
                    <w:jc w:val="center"/>
                  </w:pPr>
                  <w:r>
                    <w:t xml:space="preserve">SierraLeone</w:t>
                  </w:r>
                </w:p>
              </w:tc>
              <w:tc>
                <w:tcPr/>
                <w:p>
                  <w:pPr>
                    <w:pStyle w:val="Compact"/>
                    <w:jc w:val="left"/>
                    <w:jc w:val="center"/>
                  </w:pPr>
                  <w:r>
                    <w:t xml:space="preserve">Child vitamin A</w:t>
                  </w:r>
                </w:p>
              </w:tc>
              <w:tc>
                <w:tcPr/>
                <w:p>
                  <w:pPr>
                    <w:pStyle w:val="Compact"/>
                    <w:jc w:val="right"/>
                    <w:jc w:val="center"/>
                  </w:pPr>
                  <w:r>
                    <w:t xml:space="preserve">0.05</w:t>
                  </w:r>
                </w:p>
              </w:tc>
              <w:tc>
                <w:tcPr/>
                <w:p>
                  <w:pPr>
                    <w:pStyle w:val="Compact"/>
                    <w:jc w:val="right"/>
                    <w:jc w:val="center"/>
                  </w:pPr>
                  <w:r>
                    <w:t xml:space="preserve">-0.20</w:t>
                  </w:r>
                </w:p>
              </w:tc>
            </w:tr>
            <w:tr>
              <w:tc>
                <w:tcPr/>
                <w:p>
                  <w:pPr>
                    <w:pStyle w:val="Compact"/>
                    <w:jc w:val="left"/>
                    <w:jc w:val="center"/>
                  </w:pPr>
                  <w:r>
                    <w:t xml:space="preserve">SierraLeone</w:t>
                  </w:r>
                </w:p>
              </w:tc>
              <w:tc>
                <w:tcPr/>
                <w:p>
                  <w:pPr>
                    <w:pStyle w:val="Compact"/>
                    <w:jc w:val="left"/>
                    <w:jc w:val="center"/>
                  </w:pPr>
                  <w:r>
                    <w:t xml:space="preserve">Women’s B12</w:t>
                  </w:r>
                </w:p>
              </w:tc>
              <w:tc>
                <w:tcPr/>
                <w:p>
                  <w:pPr>
                    <w:pStyle w:val="Compact"/>
                    <w:jc w:val="right"/>
                    <w:jc w:val="center"/>
                  </w:pPr>
                  <w:r>
                    <w:t xml:space="preserve">0.43</w:t>
                  </w:r>
                </w:p>
              </w:tc>
              <w:tc>
                <w:tcPr/>
                <w:p>
                  <w:pPr>
                    <w:pStyle w:val="Compact"/>
                    <w:jc w:val="right"/>
                    <w:jc w:val="center"/>
                  </w:pPr>
                  <w:r>
                    <w:t xml:space="preserve">-0.28</w:t>
                  </w:r>
                </w:p>
              </w:tc>
            </w:tr>
            <w:tr>
              <w:tc>
                <w:tcPr/>
                <w:p>
                  <w:pPr>
                    <w:pStyle w:val="Compact"/>
                    <w:jc w:val="left"/>
                    <w:jc w:val="center"/>
                  </w:pPr>
                  <w:r>
                    <w:t xml:space="preserve">SierraLeone</w:t>
                  </w:r>
                </w:p>
              </w:tc>
              <w:tc>
                <w:tcPr/>
                <w:p>
                  <w:pPr>
                    <w:pStyle w:val="Compact"/>
                    <w:jc w:val="left"/>
                    <w:jc w:val="center"/>
                  </w:pPr>
                  <w:r>
                    <w:t xml:space="preserve">Women’s folate</w:t>
                  </w:r>
                </w:p>
              </w:tc>
              <w:tc>
                <w:tcPr/>
                <w:p>
                  <w:pPr>
                    <w:pStyle w:val="Compact"/>
                    <w:jc w:val="right"/>
                    <w:jc w:val="center"/>
                  </w:pPr>
                  <w:r>
                    <w:t xml:space="preserve">0.14</w:t>
                  </w:r>
                </w:p>
              </w:tc>
              <w:tc>
                <w:tcPr/>
                <w:p>
                  <w:pPr>
                    <w:pStyle w:val="Compact"/>
                    <w:jc w:val="right"/>
                    <w:jc w:val="center"/>
                  </w:pPr>
                  <w:r>
                    <w:t xml:space="preserve">0.10</w:t>
                  </w:r>
                </w:p>
              </w:tc>
            </w:tr>
            <w:tr>
              <w:tc>
                <w:tcPr/>
                <w:p>
                  <w:pPr>
                    <w:pStyle w:val="Compact"/>
                    <w:jc w:val="left"/>
                    <w:jc w:val="center"/>
                  </w:pPr>
                  <w:r>
                    <w:t xml:space="preserve">SierraLeone</w:t>
                  </w:r>
                </w:p>
              </w:tc>
              <w:tc>
                <w:tcPr/>
                <w:p>
                  <w:pPr>
                    <w:pStyle w:val="Compact"/>
                    <w:jc w:val="left"/>
                    <w:jc w:val="center"/>
                  </w:pPr>
                  <w:r>
                    <w:t xml:space="preserve">Women’s iron</w:t>
                  </w:r>
                </w:p>
              </w:tc>
              <w:tc>
                <w:tcPr/>
                <w:p>
                  <w:pPr>
                    <w:pStyle w:val="Compact"/>
                    <w:jc w:val="right"/>
                    <w:jc w:val="center"/>
                  </w:pPr>
                  <w:r>
                    <w:t xml:space="preserve">-0.05</w:t>
                  </w:r>
                </w:p>
              </w:tc>
              <w:tc>
                <w:tcPr/>
                <w:p>
                  <w:pPr>
                    <w:pStyle w:val="Compact"/>
                    <w:jc w:val="right"/>
                    <w:jc w:val="center"/>
                  </w:pPr>
                  <w:r>
                    <w:t xml:space="preserve">-0.06</w:t>
                  </w:r>
                </w:p>
              </w:tc>
            </w:tr>
            <w:tr>
              <w:tc>
                <w:tcPr/>
                <w:p>
                  <w:pPr>
                    <w:pStyle w:val="Compact"/>
                    <w:jc w:val="left"/>
                    <w:jc w:val="center"/>
                  </w:pPr>
                  <w:r>
                    <w:t xml:space="preserve">SierraLeone</w:t>
                  </w:r>
                </w:p>
              </w:tc>
              <w:tc>
                <w:tcPr/>
                <w:p>
                  <w:pPr>
                    <w:pStyle w:val="Compact"/>
                    <w:jc w:val="left"/>
                    <w:jc w:val="center"/>
                  </w:pPr>
                  <w:r>
                    <w:t xml:space="preserve">Women’s vitamin A</w:t>
                  </w:r>
                </w:p>
              </w:tc>
              <w:tc>
                <w:tcPr/>
                <w:p>
                  <w:pPr>
                    <w:pStyle w:val="Compact"/>
                    <w:jc w:val="right"/>
                    <w:jc w:val="center"/>
                  </w:pPr>
                  <w:r>
                    <w:t xml:space="preserve">-0.11</w:t>
                  </w:r>
                </w:p>
              </w:tc>
              <w:tc>
                <w:tcPr/>
                <w:p>
                  <w:pPr>
                    <w:pStyle w:val="Compact"/>
                    <w:jc w:val="right"/>
                    <w:jc w:val="center"/>
                  </w:pPr>
                  <w:r>
                    <w:t xml:space="preserve">-0.06</w:t>
                  </w:r>
                </w:p>
              </w:tc>
            </w:tr>
          </w:tbl>
          <w:bookmarkEnd w:id="64"/>
          <w:p/>
        </w:tc>
      </w:tr>
    </w:tbl>
    <w:bookmarkEnd w:id="65"/>
    <w:bookmarkStart w:id="98" w:name="references"/>
    <w:p>
      <w:pPr>
        <w:pStyle w:val="Heading1"/>
      </w:pPr>
      <w:r>
        <w:t xml:space="preserve">References</w:t>
      </w:r>
    </w:p>
    <w:bookmarkStart w:id="97" w:name="refs"/>
    <w:bookmarkStart w:id="67" w:name="ref-besag1991bayesian"/>
    <w:p>
      <w:pPr>
        <w:pStyle w:val="Bibliography"/>
      </w:pPr>
      <w:r>
        <w:t xml:space="preserve">Besag, Julian, Jeremy York, and Annie Mollié. 1991.</w:t>
      </w:r>
      <w:r>
        <w:t xml:space="preserve"> </w:t>
      </w:r>
      <w:r>
        <w:t xml:space="preserve">“Bayesian Image Restoration, with Two Applications in Spatial Statistics.”</w:t>
      </w:r>
      <w:r>
        <w:t xml:space="preserve"> </w:t>
      </w:r>
      <w:r>
        <w:rPr>
          <w:i/>
          <w:iCs/>
        </w:rPr>
        <w:t xml:space="preserve">Annals of the Institute of Statistical Mathematics</w:t>
      </w:r>
      <w:r>
        <w:t xml:space="preserve"> </w:t>
      </w:r>
      <w:r>
        <w:t xml:space="preserve">43 (1): 1–20.</w:t>
      </w:r>
      <w:r>
        <w:t xml:space="preserve"> </w:t>
      </w:r>
      <w:hyperlink r:id="rId66">
        <w:r>
          <w:rPr>
            <w:rStyle w:val="Hyperlink"/>
          </w:rPr>
          <w:t xml:space="preserve">https://doi.org/10.1007/BF00116466</w:t>
        </w:r>
      </w:hyperlink>
      <w:r>
        <w:t xml:space="preserve">.</w:t>
      </w:r>
    </w:p>
    <w:bookmarkEnd w:id="67"/>
    <w:bookmarkStart w:id="69" w:name="ref-fay1979estimates"/>
    <w:p>
      <w:pPr>
        <w:pStyle w:val="Bibliography"/>
      </w:pPr>
      <w:r>
        <w:t xml:space="preserve">Fay, Robert E., and Roger A. Herriot. 1979.</w:t>
      </w:r>
      <w:r>
        <w:t xml:space="preserve"> </w:t>
      </w:r>
      <w:r>
        <w:t xml:space="preserve">“Estimates of Income for Small Places: An Application of</w:t>
      </w:r>
      <w:r>
        <w:t xml:space="preserve"> </w:t>
      </w:r>
      <w:r>
        <w:t xml:space="preserve">James-Stein</w:t>
      </w:r>
      <w:r>
        <w:t xml:space="preserve"> </w:t>
      </w:r>
      <w:r>
        <w:t xml:space="preserve">Procedures to Census Data.”</w:t>
      </w:r>
      <w:r>
        <w:t xml:space="preserve"> </w:t>
      </w:r>
      <w:r>
        <w:rPr>
          <w:i/>
          <w:iCs/>
        </w:rPr>
        <w:t xml:space="preserve">Journal of the American Statistical Association</w:t>
      </w:r>
      <w:r>
        <w:t xml:space="preserve"> </w:t>
      </w:r>
      <w:r>
        <w:t xml:space="preserve">74 (366): 269–77.</w:t>
      </w:r>
      <w:r>
        <w:t xml:space="preserve"> </w:t>
      </w:r>
      <w:hyperlink r:id="rId68">
        <w:r>
          <w:rPr>
            <w:rStyle w:val="Hyperlink"/>
          </w:rPr>
          <w:t xml:space="preserve">https://doi.org/10.1080/01621459.1979.10482505</w:t>
        </w:r>
      </w:hyperlink>
      <w:r>
        <w:t xml:space="preserve">.</w:t>
      </w:r>
    </w:p>
    <w:bookmarkEnd w:id="69"/>
    <w:bookmarkStart w:id="71" w:name="ref-gorelick2017google"/>
    <w:p>
      <w:pPr>
        <w:pStyle w:val="Bibliography"/>
      </w:pPr>
      <w:r>
        <w:t xml:space="preserve">Gorelick, Noel, Matt Hancher, Mike Dixon, Simon Ilyushchenko, David Thau, and Rebecca Moore. 2017.</w:t>
      </w:r>
      <w:r>
        <w:t xml:space="preserve"> </w:t>
      </w:r>
      <w:r>
        <w:t xml:space="preserve">“Google</w:t>
      </w:r>
      <w:r>
        <w:t xml:space="preserve"> </w:t>
      </w:r>
      <w:r>
        <w:t xml:space="preserve">Earth Engine</w:t>
      </w:r>
      <w:r>
        <w:t xml:space="preserve">: Planetary-Scale Geospatial Analysis for Everyone.”</w:t>
      </w:r>
      <w:r>
        <w:t xml:space="preserve"> </w:t>
      </w:r>
      <w:r>
        <w:rPr>
          <w:i/>
          <w:iCs/>
        </w:rPr>
        <w:t xml:space="preserve">Remote Sensing of Environment</w:t>
      </w:r>
      <w:r>
        <w:t xml:space="preserve"> </w:t>
      </w:r>
      <w:r>
        <w:t xml:space="preserve">202: 18–27.</w:t>
      </w:r>
      <w:r>
        <w:t xml:space="preserve"> </w:t>
      </w:r>
      <w:hyperlink r:id="rId70">
        <w:r>
          <w:rPr>
            <w:rStyle w:val="Hyperlink"/>
          </w:rPr>
          <w:t xml:space="preserve">https://doi.org/10.1016/j.rse.2017.06.031</w:t>
        </w:r>
      </w:hyperlink>
      <w:r>
        <w:t xml:space="preserve">.</w:t>
      </w:r>
    </w:p>
    <w:bookmarkEnd w:id="71"/>
    <w:bookmarkStart w:id="73" w:name="ref-vanderlaan2007super"/>
    <w:p>
      <w:pPr>
        <w:pStyle w:val="Bibliography"/>
      </w:pPr>
      <w:r>
        <w:t xml:space="preserve">Laan, Mark J. van der, Eric C. Polley, and Alan E. Hubbard. 2007.</w:t>
      </w:r>
      <w:r>
        <w:t xml:space="preserve"> </w:t>
      </w:r>
      <w:r>
        <w:t xml:space="preserve">“Super Learner.”</w:t>
      </w:r>
      <w:r>
        <w:t xml:space="preserve"> </w:t>
      </w:r>
      <w:r>
        <w:rPr>
          <w:i/>
          <w:iCs/>
        </w:rPr>
        <w:t xml:space="preserve">Statistical Applications in Genetics and Molecular Biology</w:t>
      </w:r>
      <w:r>
        <w:t xml:space="preserve"> </w:t>
      </w:r>
      <w:r>
        <w:t xml:space="preserve">6 (1).</w:t>
      </w:r>
      <w:r>
        <w:t xml:space="preserve"> </w:t>
      </w:r>
      <w:hyperlink r:id="rId72">
        <w:r>
          <w:rPr>
            <w:rStyle w:val="Hyperlink"/>
          </w:rPr>
          <w:t xml:space="preserve">https://doi.org/10.2202/1544-6115.1309</w:t>
        </w:r>
      </w:hyperlink>
      <w:r>
        <w:t xml:space="preserve">.</w:t>
      </w:r>
    </w:p>
    <w:bookmarkEnd w:id="73"/>
    <w:bookmarkStart w:id="75" w:name="ref-local2021maps"/>
    <w:p>
      <w:pPr>
        <w:pStyle w:val="Bibliography"/>
      </w:pPr>
      <w:r>
        <w:t xml:space="preserve">Local Burden of Disease Child Growth Failure Collaborators. 2020.</w:t>
      </w:r>
      <w:r>
        <w:t xml:space="preserve"> </w:t>
      </w:r>
      <w:r>
        <w:t xml:space="preserve">“Mapping Local Patterns of Childhood Overweight and Wasting in Low- and Middle-Income Countries Between 2000 and 2017.”</w:t>
      </w:r>
      <w:r>
        <w:t xml:space="preserve"> </w:t>
      </w:r>
      <w:r>
        <w:rPr>
          <w:i/>
          <w:iCs/>
        </w:rPr>
        <w:t xml:space="preserve">Nature Medicine</w:t>
      </w:r>
      <w:r>
        <w:t xml:space="preserve"> </w:t>
      </w:r>
      <w:r>
        <w:t xml:space="preserve">26: 750–59.</w:t>
      </w:r>
      <w:r>
        <w:t xml:space="preserve"> </w:t>
      </w:r>
      <w:hyperlink r:id="rId74">
        <w:r>
          <w:rPr>
            <w:rStyle w:val="Hyperlink"/>
          </w:rPr>
          <w:t xml:space="preserve">https://doi.org/10.1038/s41591-020-0807-6</w:t>
        </w:r>
      </w:hyperlink>
      <w:r>
        <w:t xml:space="preserve">.</w:t>
      </w:r>
    </w:p>
    <w:bookmarkEnd w:id="75"/>
    <w:bookmarkStart w:id="77" w:name="ref-mercer2015small"/>
    <w:p>
      <w:pPr>
        <w:pStyle w:val="Bibliography"/>
      </w:pPr>
      <w:r>
        <w:t xml:space="preserve">Mercer, Laina D., Jon Wakefield, Marcello Pagano, Adam Schwartzman, Sebastian Klüsener, and Romain Müller. 2015.</w:t>
      </w:r>
      <w:r>
        <w:t xml:space="preserve"> </w:t>
      </w:r>
      <w:r>
        <w:t xml:space="preserve">“Small Area Estimation of Childhood Mortality in the Absence of Vital Registration.”</w:t>
      </w:r>
      <w:r>
        <w:t xml:space="preserve"> </w:t>
      </w:r>
      <w:r>
        <w:rPr>
          <w:i/>
          <w:iCs/>
        </w:rPr>
        <w:t xml:space="preserve">The Annals of Applied Statistics</w:t>
      </w:r>
      <w:r>
        <w:t xml:space="preserve"> </w:t>
      </w:r>
      <w:r>
        <w:t xml:space="preserve">9 (4): 1889–1905.</w:t>
      </w:r>
      <w:r>
        <w:t xml:space="preserve"> </w:t>
      </w:r>
      <w:hyperlink r:id="rId76">
        <w:r>
          <w:rPr>
            <w:rStyle w:val="Hyperlink"/>
          </w:rPr>
          <w:t xml:space="preserve">https://doi.org/10.1214/15-AOAS872</w:t>
        </w:r>
      </w:hyperlink>
      <w:r>
        <w:t xml:space="preserve">.</w:t>
      </w:r>
    </w:p>
    <w:bookmarkEnd w:id="77"/>
    <w:bookmarkStart w:id="79" w:name="ref-brinda2017adjustment"/>
    <w:p>
      <w:pPr>
        <w:pStyle w:val="Bibliography"/>
      </w:pPr>
      <w:r>
        <w:t xml:space="preserve">Namaste, Sorrel M L, Grant J Aaron, Ravi Varadhan, Janet M Peerson, Parminder S Suchdev, and BRINDA Working Group. 2017.</w:t>
      </w:r>
      <w:r>
        <w:t xml:space="preserve"> </w:t>
      </w:r>
      <w:r>
        <w:t xml:space="preserve">“Methodologic Approach for the Biomarkers Reflecting Inflammation and Nutritional Determinants of Anemia (BRINDA) Project.”</w:t>
      </w:r>
      <w:r>
        <w:t xml:space="preserve"> </w:t>
      </w:r>
      <w:r>
        <w:rPr>
          <w:i/>
          <w:iCs/>
        </w:rPr>
        <w:t xml:space="preserve">The American Journal of Clinical Nutrition</w:t>
      </w:r>
      <w:r>
        <w:t xml:space="preserve"> </w:t>
      </w:r>
      <w:r>
        <w:t xml:space="preserve">106 (Suppl 1): 333S–347S.</w:t>
      </w:r>
      <w:r>
        <w:t xml:space="preserve"> </w:t>
      </w:r>
      <w:hyperlink r:id="rId78">
        <w:r>
          <w:rPr>
            <w:rStyle w:val="Hyperlink"/>
          </w:rPr>
          <w:t xml:space="preserve">https://doi.org/10.3945/ajcn.116.142273</w:t>
        </w:r>
      </w:hyperlink>
      <w:r>
        <w:t xml:space="preserve">.</w:t>
      </w:r>
    </w:p>
    <w:bookmarkEnd w:id="79"/>
    <w:bookmarkStart w:id="81" w:name="ref-niculescu2005predicting"/>
    <w:p>
      <w:pPr>
        <w:pStyle w:val="Bibliography"/>
      </w:pPr>
      <w:r>
        <w:t xml:space="preserve">Niculescu-Mizil, Alexandru, and Rich Caruana. 2005.</w:t>
      </w:r>
      <w:r>
        <w:t xml:space="preserve"> </w:t>
      </w:r>
      <w:r>
        <w:t xml:space="preserve">“Predicting Good Probabilities with Supervised Learning.”</w:t>
      </w:r>
      <w:r>
        <w:t xml:space="preserve"> </w:t>
      </w:r>
      <w:r>
        <w:t xml:space="preserve">In</w:t>
      </w:r>
      <w:r>
        <w:t xml:space="preserve"> </w:t>
      </w:r>
      <w:r>
        <w:rPr>
          <w:i/>
          <w:iCs/>
        </w:rPr>
        <w:t xml:space="preserve">Proceedings of the 22nd International Conference on Machine Learning (ICML)</w:t>
      </w:r>
      <w:r>
        <w:t xml:space="preserve">, 625–32.</w:t>
      </w:r>
      <w:r>
        <w:t xml:space="preserve"> </w:t>
      </w:r>
      <w:hyperlink r:id="rId80">
        <w:r>
          <w:rPr>
            <w:rStyle w:val="Hyperlink"/>
          </w:rPr>
          <w:t xml:space="preserve">https://doi.org/10.1145/1102351.1102430</w:t>
        </w:r>
      </w:hyperlink>
      <w:r>
        <w:t xml:space="preserve">.</w:t>
      </w:r>
    </w:p>
    <w:bookmarkEnd w:id="81"/>
    <w:bookmarkStart w:id="83" w:name="ref-osgoodzimmerman2018mapping"/>
    <w:p>
      <w:pPr>
        <w:pStyle w:val="Bibliography"/>
      </w:pPr>
      <w:r>
        <w:t xml:space="preserve">Osgood-Zimmerman, Aaron, Anoushka I. Millear, Rebecca W. Stubbs, Chloe Shields, Brandon V. Pickering, Lucas Earl, Nicholas Graetz, et al. 2018.</w:t>
      </w:r>
      <w:r>
        <w:t xml:space="preserve"> </w:t>
      </w:r>
      <w:r>
        <w:t xml:space="preserve">“Mapping Child Growth Failure in</w:t>
      </w:r>
      <w:r>
        <w:t xml:space="preserve"> </w:t>
      </w:r>
      <w:r>
        <w:t xml:space="preserve">Africa</w:t>
      </w:r>
      <w:r>
        <w:t xml:space="preserve"> </w:t>
      </w:r>
      <w:r>
        <w:t xml:space="preserve">Between 2000 and 2015.”</w:t>
      </w:r>
      <w:r>
        <w:t xml:space="preserve"> </w:t>
      </w:r>
      <w:r>
        <w:rPr>
          <w:i/>
          <w:iCs/>
        </w:rPr>
        <w:t xml:space="preserve">Nature</w:t>
      </w:r>
      <w:r>
        <w:t xml:space="preserve"> </w:t>
      </w:r>
      <w:r>
        <w:t xml:space="preserve">555 (7694): 41–47.</w:t>
      </w:r>
      <w:r>
        <w:t xml:space="preserve"> </w:t>
      </w:r>
      <w:hyperlink r:id="rId82">
        <w:r>
          <w:rPr>
            <w:rStyle w:val="Hyperlink"/>
          </w:rPr>
          <w:t xml:space="preserve">https://doi.org/10.1038/nature25760</w:t>
        </w:r>
      </w:hyperlink>
      <w:r>
        <w:t xml:space="preserve">.</w:t>
      </w:r>
    </w:p>
    <w:bookmarkEnd w:id="83"/>
    <w:bookmarkStart w:id="85" w:name="ref-riebler2016intuitive"/>
    <w:p>
      <w:pPr>
        <w:pStyle w:val="Bibliography"/>
      </w:pPr>
      <w:r>
        <w:t xml:space="preserve">Riebler, Andrea, Sigrunn H. Sørbye, Daniel Simpson, and Håvard Rue. 2016.</w:t>
      </w:r>
      <w:r>
        <w:t xml:space="preserve"> </w:t>
      </w:r>
      <w:r>
        <w:t xml:space="preserve">“An Intuitive Bayesian Spatial Model for Disease Mapping That Accounts for Scaling.”</w:t>
      </w:r>
      <w:r>
        <w:t xml:space="preserve"> </w:t>
      </w:r>
      <w:r>
        <w:rPr>
          <w:i/>
          <w:iCs/>
        </w:rPr>
        <w:t xml:space="preserve">Statistical Methods in Medical Research</w:t>
      </w:r>
      <w:r>
        <w:t xml:space="preserve"> </w:t>
      </w:r>
      <w:r>
        <w:t xml:space="preserve">25 (4): 1145–65.</w:t>
      </w:r>
      <w:r>
        <w:t xml:space="preserve"> </w:t>
      </w:r>
      <w:hyperlink r:id="rId84">
        <w:r>
          <w:rPr>
            <w:rStyle w:val="Hyperlink"/>
          </w:rPr>
          <w:t xml:space="preserve">https://doi.org/10.1177/0962280216660421</w:t>
        </w:r>
      </w:hyperlink>
      <w:r>
        <w:t xml:space="preserve">.</w:t>
      </w:r>
    </w:p>
    <w:bookmarkEnd w:id="85"/>
    <w:bookmarkStart w:id="87" w:name="ref-stevens2022micronutrient"/>
    <w:p>
      <w:pPr>
        <w:pStyle w:val="Bibliography"/>
      </w:pPr>
      <w:r>
        <w:t xml:space="preserve">Stevens, Gretchen A, Ty Beal, Mduduzi N N Mbuya, Hanqi Luo, Lynnette M Neufeld, and Global Micronutrient Deficiencies Research Group. 2022.</w:t>
      </w:r>
      <w:r>
        <w:t xml:space="preserve"> </w:t>
      </w:r>
      <w:r>
        <w:t xml:space="preserve">“Micronutrient Deficiencies Among Preschool-Aged Children and Women of Reproductive Age Worldwide: A Pooled Analysis of Individual-Level Data from Population-Representative Surveys.”</w:t>
      </w:r>
      <w:r>
        <w:t xml:space="preserve"> </w:t>
      </w:r>
      <w:r>
        <w:rPr>
          <w:i/>
          <w:iCs/>
        </w:rPr>
        <w:t xml:space="preserve">The Lancet Global Health</w:t>
      </w:r>
      <w:r>
        <w:t xml:space="preserve"> </w:t>
      </w:r>
      <w:r>
        <w:t xml:space="preserve">10 (11): e1590–99.</w:t>
      </w:r>
      <w:r>
        <w:t xml:space="preserve"> </w:t>
      </w:r>
      <w:hyperlink r:id="rId86">
        <w:r>
          <w:rPr>
            <w:rStyle w:val="Hyperlink"/>
          </w:rPr>
          <w:t xml:space="preserve">https://doi.org/10.1016/S2214-109X(22)00367-9</w:t>
        </w:r>
      </w:hyperlink>
      <w:r>
        <w:t xml:space="preserve">.</w:t>
      </w:r>
    </w:p>
    <w:bookmarkEnd w:id="87"/>
    <w:bookmarkStart w:id="89" w:name="ref-brinda2017overview"/>
    <w:p>
      <w:pPr>
        <w:pStyle w:val="Bibliography"/>
      </w:pPr>
      <w:r>
        <w:t xml:space="preserve">Suchdev, Parminder S, Sorrel Namaste, Grant J Aaron, Daniel J Raiten, Kenneth H Brown, Rafael Flores-Ayala, and BRINDA Working Group. 2016.</w:t>
      </w:r>
      <w:r>
        <w:t xml:space="preserve"> </w:t>
      </w:r>
      <w:r>
        <w:t xml:space="preserve">“Overview of the Biomarkers Reflecting Inflammation and Nutritional Determinants of Anemia (BRINDA) Project.”</w:t>
      </w:r>
      <w:r>
        <w:t xml:space="preserve"> </w:t>
      </w:r>
      <w:r>
        <w:rPr>
          <w:i/>
          <w:iCs/>
        </w:rPr>
        <w:t xml:space="preserve">Advances in Nutrition</w:t>
      </w:r>
      <w:r>
        <w:t xml:space="preserve"> </w:t>
      </w:r>
      <w:r>
        <w:t xml:space="preserve">7 (2): 349–56.</w:t>
      </w:r>
      <w:r>
        <w:t xml:space="preserve"> </w:t>
      </w:r>
      <w:hyperlink r:id="rId88">
        <w:r>
          <w:rPr>
            <w:rStyle w:val="Hyperlink"/>
          </w:rPr>
          <w:t xml:space="preserve">https://doi.org/10.3945/an.115.010215</w:t>
        </w:r>
      </w:hyperlink>
      <w:r>
        <w:t xml:space="preserve">.</w:t>
      </w:r>
    </w:p>
    <w:bookmarkEnd w:id="89"/>
    <w:bookmarkStart w:id="91" w:name="ref-wakefield2019small"/>
    <w:p>
      <w:pPr>
        <w:pStyle w:val="Bibliography"/>
      </w:pPr>
      <w:r>
        <w:t xml:space="preserve">Wakefield, Jon, Taylor Okonek, and John Pedersen. 2020.</w:t>
      </w:r>
      <w:r>
        <w:t xml:space="preserve"> </w:t>
      </w:r>
      <w:r>
        <w:t xml:space="preserve">“Small Area Estimation for Disease Prevalence Mapping.”</w:t>
      </w:r>
      <w:r>
        <w:t xml:space="preserve"> </w:t>
      </w:r>
      <w:r>
        <w:rPr>
          <w:i/>
          <w:iCs/>
        </w:rPr>
        <w:t xml:space="preserve">International Statistical Review</w:t>
      </w:r>
      <w:r>
        <w:t xml:space="preserve"> </w:t>
      </w:r>
      <w:r>
        <w:t xml:space="preserve">88 (2): 398–418.</w:t>
      </w:r>
      <w:r>
        <w:t xml:space="preserve"> </w:t>
      </w:r>
      <w:hyperlink r:id="rId90">
        <w:r>
          <w:rPr>
            <w:rStyle w:val="Hyperlink"/>
          </w:rPr>
          <w:t xml:space="preserve">https://doi.org/10.1111/insr.12400</w:t>
        </w:r>
      </w:hyperlink>
      <w:r>
        <w:t xml:space="preserve">.</w:t>
      </w:r>
    </w:p>
    <w:bookmarkEnd w:id="91"/>
    <w:bookmarkStart w:id="92" w:name="ref-who_vmnis_thresholds"/>
    <w:p>
      <w:pPr>
        <w:pStyle w:val="Bibliography"/>
      </w:pPr>
      <w:r>
        <w:t xml:space="preserve">World Health Organization. 2011.</w:t>
      </w:r>
      <w:r>
        <w:t xml:space="preserve"> </w:t>
      </w:r>
      <w:r>
        <w:t xml:space="preserve">“Serum Retinol Concentrations for Determining the Prevalence of Vitamin a Deficiency in Populations.”</w:t>
      </w:r>
      <w:r>
        <w:t xml:space="preserve"> </w:t>
      </w:r>
      <w:r>
        <w:t xml:space="preserve">WHO/NMH/NHD/MNM/11.3.</w:t>
      </w:r>
    </w:p>
    <w:bookmarkEnd w:id="92"/>
    <w:bookmarkStart w:id="94" w:name="ref-who2020anaemia"/>
    <w:p>
      <w:pPr>
        <w:pStyle w:val="Bibliography"/>
      </w:pPr>
      <w:r>
        <w:t xml:space="preserve">———. 2021.</w:t>
      </w:r>
      <w:r>
        <w:t xml:space="preserve"> </w:t>
      </w:r>
      <w:r>
        <w:t xml:space="preserve">“WHO Global Anaemia Estimates, 2021 Edition.”</w:t>
      </w:r>
      <w:r>
        <w:t xml:space="preserve"> </w:t>
      </w:r>
      <w:hyperlink r:id="rId93">
        <w:r>
          <w:rPr>
            <w:rStyle w:val="Hyperlink"/>
          </w:rPr>
          <w:t xml:space="preserve">https://www.who.int/data/gho/data/themes/topics/anaemia_in_women_and_children</w:t>
        </w:r>
      </w:hyperlink>
      <w:r>
        <w:t xml:space="preserve">.</w:t>
      </w:r>
    </w:p>
    <w:bookmarkEnd w:id="94"/>
    <w:bookmarkStart w:id="96" w:name="ref-who_vmnis"/>
    <w:p>
      <w:pPr>
        <w:pStyle w:val="Bibliography"/>
      </w:pPr>
      <w:r>
        <w:t xml:space="preserve">———. 2023.</w:t>
      </w:r>
      <w:r>
        <w:t xml:space="preserve"> </w:t>
      </w:r>
      <w:r>
        <w:t xml:space="preserve">“Vitamin and Mineral Nutrition Information System (VMNIS).”</w:t>
      </w:r>
      <w:r>
        <w:t xml:space="preserve"> </w:t>
      </w:r>
      <w:hyperlink r:id="rId95">
        <w:r>
          <w:rPr>
            <w:rStyle w:val="Hyperlink"/>
          </w:rPr>
          <w:t xml:space="preserve">https://www.who.int/teams/nutrition-and-food-safety/databases/vitamin-and-mineral-nutrition-information-system</w:t>
        </w:r>
      </w:hyperlink>
      <w:r>
        <w:t xml:space="preserve">.</w:t>
      </w:r>
    </w:p>
    <w:bookmarkEnd w:id="96"/>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53" Target="media/rId53.png" /><Relationship Type="http://schemas.openxmlformats.org/officeDocument/2006/relationships/hyperlink" Id="rId66" Target="https://doi.org/10.1007/BF00116466" TargetMode="External" /><Relationship Type="http://schemas.openxmlformats.org/officeDocument/2006/relationships/hyperlink" Id="rId86" Target="https://doi.org/10.1016/S2214-109X(22)00367-9" TargetMode="External" /><Relationship Type="http://schemas.openxmlformats.org/officeDocument/2006/relationships/hyperlink" Id="rId70" Target="https://doi.org/10.1016/j.rse.2017.06.031" TargetMode="External" /><Relationship Type="http://schemas.openxmlformats.org/officeDocument/2006/relationships/hyperlink" Id="rId82" Target="https://doi.org/10.1038/nature25760" TargetMode="External" /><Relationship Type="http://schemas.openxmlformats.org/officeDocument/2006/relationships/hyperlink" Id="rId74" Target="https://doi.org/10.1038/s41591-020-0807-6" TargetMode="External" /><Relationship Type="http://schemas.openxmlformats.org/officeDocument/2006/relationships/hyperlink" Id="rId68" Target="https://doi.org/10.1080/01621459.1979.10482505" TargetMode="External" /><Relationship Type="http://schemas.openxmlformats.org/officeDocument/2006/relationships/hyperlink" Id="rId90" Target="https://doi.org/10.1111/insr.12400" TargetMode="External" /><Relationship Type="http://schemas.openxmlformats.org/officeDocument/2006/relationships/hyperlink" Id="rId80" Target="https://doi.org/10.1145/1102351.1102430" TargetMode="External" /><Relationship Type="http://schemas.openxmlformats.org/officeDocument/2006/relationships/hyperlink" Id="rId84" Target="https://doi.org/10.1177/0962280216660421" TargetMode="External" /><Relationship Type="http://schemas.openxmlformats.org/officeDocument/2006/relationships/hyperlink" Id="rId76" Target="https://doi.org/10.1214/15-AOAS872" TargetMode="External" /><Relationship Type="http://schemas.openxmlformats.org/officeDocument/2006/relationships/hyperlink" Id="rId72" Target="https://doi.org/10.2202/1544-6115.1309" TargetMode="External" /><Relationship Type="http://schemas.openxmlformats.org/officeDocument/2006/relationships/hyperlink" Id="rId78" Target="https://doi.org/10.3945/ajcn.116.142273" TargetMode="External" /><Relationship Type="http://schemas.openxmlformats.org/officeDocument/2006/relationships/hyperlink" Id="rId88" Target="https://doi.org/10.3945/an.115.010215" TargetMode="External" /><Relationship Type="http://schemas.openxmlformats.org/officeDocument/2006/relationships/hyperlink" Id="rId93" Target="https://www.who.int/data/gho/data/themes/topics/anaemia_in_women_and_children" TargetMode="External" /><Relationship Type="http://schemas.openxmlformats.org/officeDocument/2006/relationships/hyperlink" Id="rId95" Target="https://www.who.int/teams/nutrition-and-food-safety/databases/vitamin-and-mineral-nutrition-information-system" TargetMode="External" /></Relationships>
</file>

<file path=word/_rels/footnotes.xml.rels><?xml version="1.0" encoding="UTF-8"?><Relationships xmlns="http://schemas.openxmlformats.org/package/2006/relationships"><Relationship Type="http://schemas.openxmlformats.org/officeDocument/2006/relationships/hyperlink" Id="rId66" Target="https://doi.org/10.1007/BF00116466" TargetMode="External" /><Relationship Type="http://schemas.openxmlformats.org/officeDocument/2006/relationships/hyperlink" Id="rId86" Target="https://doi.org/10.1016/S2214-109X(22)00367-9" TargetMode="External" /><Relationship Type="http://schemas.openxmlformats.org/officeDocument/2006/relationships/hyperlink" Id="rId70" Target="https://doi.org/10.1016/j.rse.2017.06.031" TargetMode="External" /><Relationship Type="http://schemas.openxmlformats.org/officeDocument/2006/relationships/hyperlink" Id="rId82" Target="https://doi.org/10.1038/nature25760" TargetMode="External" /><Relationship Type="http://schemas.openxmlformats.org/officeDocument/2006/relationships/hyperlink" Id="rId74" Target="https://doi.org/10.1038/s41591-020-0807-6" TargetMode="External" /><Relationship Type="http://schemas.openxmlformats.org/officeDocument/2006/relationships/hyperlink" Id="rId68" Target="https://doi.org/10.1080/01621459.1979.10482505" TargetMode="External" /><Relationship Type="http://schemas.openxmlformats.org/officeDocument/2006/relationships/hyperlink" Id="rId90" Target="https://doi.org/10.1111/insr.12400" TargetMode="External" /><Relationship Type="http://schemas.openxmlformats.org/officeDocument/2006/relationships/hyperlink" Id="rId80" Target="https://doi.org/10.1145/1102351.1102430" TargetMode="External" /><Relationship Type="http://schemas.openxmlformats.org/officeDocument/2006/relationships/hyperlink" Id="rId84" Target="https://doi.org/10.1177/0962280216660421" TargetMode="External" /><Relationship Type="http://schemas.openxmlformats.org/officeDocument/2006/relationships/hyperlink" Id="rId76" Target="https://doi.org/10.1214/15-AOAS872" TargetMode="External" /><Relationship Type="http://schemas.openxmlformats.org/officeDocument/2006/relationships/hyperlink" Id="rId72" Target="https://doi.org/10.2202/1544-6115.1309" TargetMode="External" /><Relationship Type="http://schemas.openxmlformats.org/officeDocument/2006/relationships/hyperlink" Id="rId78" Target="https://doi.org/10.3945/ajcn.116.142273" TargetMode="External" /><Relationship Type="http://schemas.openxmlformats.org/officeDocument/2006/relationships/hyperlink" Id="rId88" Target="https://doi.org/10.3945/an.115.010215" TargetMode="External" /><Relationship Type="http://schemas.openxmlformats.org/officeDocument/2006/relationships/hyperlink" Id="rId93" Target="https://www.who.int/data/gho/data/themes/topics/anaemia_in_women_and_children" TargetMode="External" /><Relationship Type="http://schemas.openxmlformats.org/officeDocument/2006/relationships/hyperlink" Id="rId95" Target="https://www.who.int/teams/nutrition-and-food-safety/databases/vitamin-and-mineral-nutrition-information-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geospatial covariates can and cannot do for sub-national micronutrient estimation: a protocol-first re-analysis of four national biomarker surveys</dc:title>
  <dc:creator>Andrew N. Mertens</dc:creator>
  <cp:keywords>micronutrient deficiency, small area estimation, DHS, transportability, evaluation protocol, vitamin A, iron deficiency</cp:keywords>
  <dcterms:created xsi:type="dcterms:W3CDTF">2026-09-07T23:16:14Z</dcterms:created>
  <dcterms:modified xsi:type="dcterms:W3CDTF">2026-09-07T23:16:14Z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Sub-national maps of micronutrient deficiency guide the targeting of fortification, supplementation and food-system programmes, but biomarker surveys are rare and their district-level estimates rest on a handful of respondents. Published accuracies for models that predict district prevalence from geospatial and survey proxies are seldom reported with the reliability of their validation target, the information their comparison baseline was permitted to see, or the replication of their random folds. An audit of our own earlier analysis found that each of these choices had decided a headline conclusion, in both directions.Methods. We harmonised biomarker measurements for iron, vitamin A, folate, vitamin B12 and zinc deficiency from national surveys in The Gambia (2018), Ghana (2017), Sierra Leone (2013) and Malawi (2015–16): 24 country–outcome cells on 206 districts. Districts were linked to 473 predictors in 24 domains from Earth observation, soil, climate, agriculture, livestock, infection, food-price and survey-indicator sources. A protocol specified before re-analysis names three estimands (filling in unsurveyed districts inside a surveyed country, extrapolating to an unseen region, and transporting to a country held entirely out of training), recomputes every baseline under the model’s own folds and jackknifes any baseline derived from the survey, replicates every random split ten times, weights districts by an effective sample size from measured design effects, rank-normalises predictors within country before pooling, and calibrates transport against a country-block permutation null. The estimator of record is a zero-tuning index over domain principal components; a penalised regression, a covariate-free spatial smoother and the survey’s own regional averages are scored on identical folds.Results. Within a surveyed country, covariates beat the honest survey baseline (rank correlation 0.39 against 0.31 on the biomarker concentration, 0.29 against 0.19 on prevalence) but a covariate-free spatial smoother scores 0.39 where the full covariate model scores 0.39. Rankings transport to a country never used in training: mean Spearman 0.27 over 22 country–outcome combinations at district level (17 positive) and 0.31 at the first sub-national tier, against permutation nulls whose 95th percentiles are 0.08 and 0.16; an index built only from remotely sensed climate and soil layers transports better, 0.37 (22 of 22 positive) and 0.46 (20 of 22). Absolute prevalence does not transport. Directing effort to the fifth of districts the model ranks worst reaches 24% of national deficiency burden against 19% for regional survey averages and 20% at random. A national biomarker sample of five percent of a survey plus the transported ranking gives district levels with a 10 percentage-point error, against 20 for a district survey of the same size, which needs about 40% of the full sample to do better. A variance-components ceiling puts the attainable prevalence correlation at 0.44, one fifth of the split-half ceiling being cluster effect; the model is at that ceiling in three of 24 cells. Four data blocks added in this revision (livestock density, distance to water and coast, helminth burden, and IHME surfaces re-extracted as zonal means) move the index by less than 0.01 each. Evaluation design moved results more than any model did: a published within-country correlation of 0.058 was a single fold draw (replicated median 0.22), a baseline the models lost to had read the scored district’s own respondents, a regional headline of 0.50–0.56 rested on three countries, and the reliability ceiling used to argue that districts were unresolvable was biased low by a factor of about 4.7.Conclusions. The defensible product is a ranked district priority list for any country, and a level-calibrated map for a country willing to measure one national prevalence. Within a surveyed country geography does most of the work. We recommend that studies of this kind name their estimand, state what their baseline saw, replicate every random division, report the reliability of the validation target, and show that each significance screen could have detected an effect.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date">
    <vt:lpwstr>2026-09-07</vt:lpwstr>
  </property>
  <property fmtid="{D5CDD505-2E9C-101B-9397-08002B2CF9AE}" pid="10" name="execute">
    <vt:lpwstr/>
  </property>
  <property fmtid="{D5CDD505-2E9C-101B-9397-08002B2CF9AE}" pid="11" name="fig-cap-location">
    <vt:lpwstr>bottom</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horttitle">
    <vt:lpwstr>Geospatial covariates and sub-national micronutrient estimation</vt:lpwstr>
  </property>
  <property fmtid="{D5CDD505-2E9C-101B-9397-08002B2CF9AE}" pid="17" name="tbl-cap-location">
    <vt:lpwstr>top</vt:lpwstr>
  </property>
  <property fmtid="{D5CDD505-2E9C-101B-9397-08002B2CF9AE}" pid="18" name="toc-title">
    <vt:lpwstr>Table of contents</vt:lpwstr>
  </property>
</Properties>
</file>