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Subnational micronutrient deficiency prediction in sub-Saharan Africa from proxy indicators: a multi-country SuperLearner ensemble benchmarked against small-area-estimation methods</w:t>
      </w:r>
    </w:p>
    <w:p>
      <w:pPr>
        <w:pStyle w:val="Author"/>
      </w:pPr>
      <w:r>
        <w:t xml:space="preserve">Andrew N. Mertens</w:t>
      </w:r>
    </w:p>
    <w:p>
      <w:pPr>
        <w:pStyle w:val="Date"/>
      </w:pPr>
      <w:r>
        <w:t xml:space="preserve">2026-06-26</w:t>
      </w:r>
    </w:p>
    <w:p>
      <w:pPr>
        <w:pStyle w:val="AbstractTitle"/>
      </w:pPr>
      <w:r>
        <w:t xml:space="preserve">Abstract</w:t>
      </w:r>
    </w:p>
    <w:p>
      <w:pPr>
        <w:pStyle w:val="Abstract"/>
      </w:pPr>
      <w:r>
        <w:rPr>
          <w:b/>
          <w:bCs/>
        </w:rPr>
        <w:t xml:space="preserve">Background:</w:t>
      </w:r>
      <w:r>
        <w:t xml:space="preserve"> </w:t>
      </w:r>
      <w:r>
        <w:t xml:space="preserve">Subnational maps of micronutrient deficiency are central to</w:t>
      </w:r>
      <w:r>
        <w:t xml:space="preserve"> </w:t>
      </w:r>
      <w:r>
        <w:t xml:space="preserve">targeted nutrition programming, yet biomarker surveys remain scarce and</w:t>
      </w:r>
      <w:r>
        <w:t xml:space="preserve"> </w:t>
      </w:r>
      <w:r>
        <w:t xml:space="preserve">geographically uneven. We assessed whether ensemble machine-learning models</w:t>
      </w:r>
      <w:r>
        <w:t xml:space="preserve"> </w:t>
      </w:r>
      <w:r>
        <w:t xml:space="preserve">trained on harmonised Demographic and Health Surveys (DHS) and remote-sensing</w:t>
      </w:r>
      <w:r>
        <w:t xml:space="preserve"> </w:t>
      </w:r>
      <w:r>
        <w:t xml:space="preserve">predictors can reproduce admin-2 deficiency patterns within and across four</w:t>
      </w:r>
      <w:r>
        <w:t xml:space="preserve"> </w:t>
      </w:r>
      <w:r>
        <w:t xml:space="preserve">sub-Saharan African countries (three in West Africa plus Malawi), and whether</w:t>
      </w:r>
      <w:r>
        <w:t xml:space="preserve"> </w:t>
      </w:r>
      <w:r>
        <w:t xml:space="preserve">they outperform canonical small-area estimation (SAE) methods.</w:t>
      </w:r>
    </w:p>
    <w:p>
      <w:pPr>
        <w:pStyle w:val="Abstract"/>
      </w:pPr>
      <w:r>
        <w:rPr>
          <w:b/>
          <w:bCs/>
        </w:rPr>
        <w:t xml:space="preserve">Methods:</w:t>
      </w:r>
      <w:r>
        <w:t xml:space="preserve"> </w:t>
      </w:r>
      <w:r>
        <w:t xml:space="preserve">We harmonised individual-level DHS biomarker measurements for</w:t>
      </w:r>
      <w:r>
        <w:t xml:space="preserve"> </w:t>
      </w:r>
      <w:r>
        <w:t xml:space="preserve">iron, vitamin A, vitamin B12, folate, and zinc deficiency from Gambia (2018),</w:t>
      </w:r>
      <w:r>
        <w:t xml:space="preserve"> </w:t>
      </w:r>
      <w:r>
        <w:t xml:space="preserve">Ghana (2017), Sierra Leone (2013) and Malawi (2016) and combined them with</w:t>
      </w:r>
      <w:r>
        <w:t xml:space="preserve"> </w:t>
      </w:r>
      <w:r>
        <w:t xml:space="preserve">earth-observation aggregates at the admin-2 polygon level. Four estimation</w:t>
      </w:r>
      <w:r>
        <w:t xml:space="preserve"> </w:t>
      </w:r>
      <w:r>
        <w:t xml:space="preserve">strategies were compared: (1) individual-level SuperLearner aggregated to</w:t>
      </w:r>
      <w:r>
        <w:t xml:space="preserve"> </w:t>
      </w:r>
      <w:r>
        <w:t xml:space="preserve">admin-2; (2) area-level SuperLearner fit directly on admin-2 aggregates;</w:t>
      </w:r>
      <w:r>
        <w:t xml:space="preserve"> </w:t>
      </w:r>
      <w:r>
        <w:t xml:space="preserve">(3) frequentist regressions (OLS, elastic-net) and a country-mean baseline;</w:t>
      </w:r>
      <w:r>
        <w:t xml:space="preserve"> </w:t>
      </w:r>
      <w:r>
        <w:t xml:space="preserve">(4) Bayesian small-area methods including Fay–Herriot and the BYM2 model</w:t>
      </w:r>
      <w:r>
        <w:t xml:space="preserve"> </w:t>
      </w:r>
      <w:r>
        <w:t xml:space="preserve">(Besag–York–Mollié, PC priors) fit via integrated nested Laplace approximation</w:t>
      </w:r>
      <w:r>
        <w:t xml:space="preserve"> </w:t>
      </w:r>
      <w:r>
        <w:t xml:space="preserve">(INLA). All approaches were evaluated within country by k-fold cross-validation</w:t>
      </w:r>
      <w:r>
        <w:t xml:space="preserve"> </w:t>
      </w:r>
      <w:r>
        <w:t xml:space="preserve">and across countries by leave-one-country-out (LOCO) holdout. Performance</w:t>
      </w:r>
      <w:r>
        <w:t xml:space="preserve"> </w:t>
      </w:r>
      <w:r>
        <w:t xml:space="preserve">metrics were Pearson r and Spearman ρ for spatial ranking, MAE and RMSE in</w:t>
      </w:r>
      <w:r>
        <w:t xml:space="preserve"> </w:t>
      </w:r>
      <w:r>
        <w:t xml:space="preserve">percentage points for absolute error, and calibration slope. Headline metrics</w:t>
      </w:r>
      <w:r>
        <w:t xml:space="preserve"> </w:t>
      </w:r>
      <w:r>
        <w:t xml:space="preserve">are from a leakage-free corrected analysis (preprocessing confined to each</w:t>
      </w:r>
      <w:r>
        <w:t xml:space="preserve"> </w:t>
      </w:r>
      <w:r>
        <w:t xml:space="preserve">training fold; folds blocked by survey cluster and spatial region; out-of-fold</w:t>
      </w:r>
      <w:r>
        <w:t xml:space="preserve"> </w:t>
      </w:r>
      <w:r>
        <w:t xml:space="preserve">recalibration), which is the analysis of record; the original pipeline is</w:t>
      </w:r>
      <w:r>
        <w:t xml:space="preserve"> </w:t>
      </w:r>
      <w:r>
        <w:t xml:space="preserve">retained as a sensitivity comparison.</w:t>
      </w:r>
    </w:p>
    <w:p>
      <w:pPr>
        <w:pStyle w:val="Abstract"/>
      </w:pPr>
      <w:r>
        <w:rPr>
          <w:b/>
          <w:bCs/>
        </w:rPr>
        <w:t xml:space="preserve">Results:</w:t>
      </w:r>
      <w:r>
        <w:t xml:space="preserve"> </w:t>
      </w:r>
      <w:r>
        <w:t xml:space="preserve">Evaluated with genuinely out-of-fold predictions, within-country</w:t>
      </w:r>
      <w:r>
        <w:t xml:space="preserve"> </w:t>
      </w:r>
      <w:r>
        <w:t xml:space="preserve">admin-2 ranking was modest. Aggregating individual-level SuperLearner</w:t>
      </w:r>
      <w:r>
        <w:t xml:space="preserve"> </w:t>
      </w:r>
      <w:r>
        <w:t xml:space="preserve">predictions to admin-2 ranked districts best (median Pearson r 0.53, range</w:t>
      </w:r>
      <w:r>
        <w:t xml:space="preserve"> </w:t>
      </w:r>
      <w:r>
        <w:t xml:space="preserve">−0.39 to 0.87), though with large negative biases (up to ~20 percentage</w:t>
      </w:r>
      <w:r>
        <w:t xml:space="preserve"> </w:t>
      </w:r>
      <w:r>
        <w:t xml:space="preserve">points) for iron. The area-level SuperLearner fit directly on admin-2</w:t>
      </w:r>
      <w:r>
        <w:t xml:space="preserve"> </w:t>
      </w:r>
      <w:r>
        <w:t xml:space="preserve">aggregates appeared excellent under in-sample evaluation but was substantially</w:t>
      </w:r>
      <w:r>
        <w:t xml:space="preserve"> </w:t>
      </w:r>
      <w:r>
        <w:t xml:space="preserve">weaker out-of-fold (MSE-loss median r 0.12, range −0.57 to 0.61; 0 of 24</w:t>
      </w:r>
      <w:r>
        <w:t xml:space="preserve"> </w:t>
      </w:r>
      <w:r>
        <w:t xml:space="preserve">evaluable country–outcome combinations reached r ≥ 0.9 and about half were</w:t>
      </w:r>
      <w:r>
        <w:t xml:space="preserve"> </w:t>
      </w:r>
      <w:r>
        <w:t xml:space="preserve">≤ 0), reflecting overfitting in the area-level p ≫ n setting (14–87 areas,</w:t>
      </w:r>
      <w:r>
        <w:t xml:space="preserve"> </w:t>
      </w:r>
      <w:r>
        <w:t xml:space="preserve">~2,400 candidate covariates). Cross-country (LOCO) performance</w:t>
      </w:r>
      <w:r>
        <w:t xml:space="preserve"> </w:t>
      </w:r>
      <w:r>
        <w:t xml:space="preserve">was weaker still: median r ≈ 0.1–0.2, with absolute</w:t>
      </w:r>
      <w:r>
        <w:t xml:space="preserve"> </w:t>
      </w:r>
      <w:r>
        <w:t xml:space="preserve">errors of 1.5–44 percentage points and systematic underestimation in</w:t>
      </w:r>
      <w:r>
        <w:t xml:space="preserve"> </w:t>
      </w:r>
      <w:r>
        <w:t xml:space="preserve">high-prevalence settings. Iron-deficiency outcomes transported best;</w:t>
      </w:r>
      <w:r>
        <w:t xml:space="preserve"> </w:t>
      </w:r>
      <w:r>
        <w:t xml:space="preserve">vitamin-A-deficiency outcomes essentially did not transport (median r near</w:t>
      </w:r>
      <w:r>
        <w:t xml:space="preserve"> </w:t>
      </w:r>
      <w:r>
        <w:t xml:space="preserve">zero, often with anti-predictive ordering). Benchmark frequentist regressions</w:t>
      </w:r>
      <w:r>
        <w:t xml:space="preserve"> </w:t>
      </w:r>
      <w:r>
        <w:t xml:space="preserve">and Bayesian SAE models matched or exceeded the SuperLearner on the large</w:t>
      </w:r>
      <w:r>
        <w:t xml:space="preserve"> </w:t>
      </w:r>
      <w:r>
        <w:t xml:space="preserve">majority of LOCO splits (the best benchmark beat the prescreened ensemble</w:t>
      </w:r>
      <w:r>
        <w:t xml:space="preserve"> </w:t>
      </w:r>
      <w:r>
        <w:t xml:space="preserve">on 10 of 13 evaluable head-to-head splits),</w:t>
      </w:r>
      <w:r>
        <w:t xml:space="preserve"> </w:t>
      </w:r>
      <w:r>
        <w:t xml:space="preserve">indicating that the ensemble’s predictive gains are concentrated on specific</w:t>
      </w:r>
      <w:r>
        <w:t xml:space="preserve"> </w:t>
      </w:r>
      <w:r>
        <w:t xml:space="preserve">outcome–country combinations rather than general.</w:t>
      </w:r>
    </w:p>
    <w:p>
      <w:pPr>
        <w:pStyle w:val="Abstract"/>
      </w:pPr>
      <w:r>
        <w:rPr>
          <w:b/>
          <w:bCs/>
        </w:rPr>
        <w:t xml:space="preserve">Conclusions:</w:t>
      </w:r>
      <w:r>
        <w:t xml:space="preserve"> </w:t>
      </w:r>
      <w:r>
        <w:t xml:space="preserve">Under honest out-of-fold evaluation, admin-2 prediction of</w:t>
      </w:r>
      <w:r>
        <w:t xml:space="preserve"> </w:t>
      </w:r>
      <w:r>
        <w:t xml:space="preserve">micronutrient deficiency is only modestly accurate within countries; the</w:t>
      </w:r>
      <w:r>
        <w:t xml:space="preserve"> </w:t>
      </w:r>
      <w:r>
        <w:t xml:space="preserve">apparent excellence of the directly-fit area-level ensemble was an artifact of</w:t>
      </w:r>
      <w:r>
        <w:t xml:space="preserve"> </w:t>
      </w:r>
      <w:r>
        <w:t xml:space="preserve">in-sample evaluation, and individual-level prediction aggregated to admin-2 is</w:t>
      </w:r>
      <w:r>
        <w:t xml:space="preserve"> </w:t>
      </w:r>
      <w:r>
        <w:t xml:space="preserve">the stronger area-level approach. Out-of-country transport remains unreliable for spatial targeting,</w:t>
      </w:r>
      <w:r>
        <w:t xml:space="preserve"> </w:t>
      </w:r>
      <w:r>
        <w:t xml:space="preserve">especially outside the West African geography and for vitamin-A-deficiency</w:t>
      </w:r>
      <w:r>
        <w:t xml:space="preserve"> </w:t>
      </w:r>
      <w:r>
        <w:t xml:space="preserve">outcomes. Standard small-area-estimation methods are a strong baseline that</w:t>
      </w:r>
      <w:r>
        <w:t xml:space="preserve"> </w:t>
      </w:r>
      <w:r>
        <w:t xml:space="preserve">ensembles do not consistently beat; benchmarking should accompany any</w:t>
      </w:r>
      <w:r>
        <w:t xml:space="preserve"> </w:t>
      </w:r>
      <w:r>
        <w:t xml:space="preserve">decision-relevant deployment of these models.</w:t>
      </w:r>
    </w:p>
    <w:bookmarkStart w:id="20"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conducted under the WHO Vitamin and Mineral Nutrition</w:t>
      </w:r>
      <w:r>
        <w:t xml:space="preserve"> </w:t>
      </w:r>
      <w:r>
        <w:t xml:space="preserve">Information System (VMNIS)</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 spatial</w:t>
      </w:r>
      <w:r>
        <w:t xml:space="preserve"> </w:t>
      </w:r>
      <w:r>
        <w:t xml:space="preserve">resolution of these surveys is rarely finer than admin-1 (province) and is</w:t>
      </w:r>
      <w:r>
        <w:t xml:space="preserve"> </w:t>
      </w:r>
      <w:r>
        <w:t xml:space="preserve">absent in many countries entirely. Subnational geographic targeting of</w:t>
      </w:r>
      <w:r>
        <w:t xml:space="preserve"> </w:t>
      </w:r>
      <w:r>
        <w:t xml:space="preserve">fortification, supplementation and food-system programmes therefore relies</w:t>
      </w:r>
      <w:r>
        <w:t xml:space="preserve"> </w:t>
      </w:r>
      <w:r>
        <w:t xml:space="preserve">on indirect inference from sparse data.</w:t>
      </w:r>
    </w:p>
    <w:p>
      <w:pPr>
        <w:pStyle w:val="BodyText"/>
      </w:pPr>
      <w:r>
        <w:t xml:space="preserve">Two methodological traditions have attempted to fill this gap. The</w:t>
      </w:r>
      <w:r>
        <w:t xml:space="preserve"> </w:t>
      </w:r>
      <w:r>
        <w:t xml:space="preserve">small-area-estimation (SAE) literature, originating with the Fay–Herriot</w:t>
      </w:r>
      <w:r>
        <w:t xml:space="preserve"> </w:t>
      </w:r>
      <w:r>
        <w:t xml:space="preserve">mixed model</w:t>
      </w:r>
      <w:r>
        <w:t xml:space="preserve"> </w:t>
      </w:r>
      <w:r>
        <w:t xml:space="preserve">(Fay and Herriot 1979)</w:t>
      </w:r>
      <w:r>
        <w:t xml:space="preserve"> </w:t>
      </w:r>
      <w:r>
        <w:t xml:space="preserve">and developed for survey-derived admin-level</w:t>
      </w:r>
      <w:r>
        <w:t xml:space="preserve"> </w:t>
      </w:r>
      <w:r>
        <w:t xml:space="preserve">prevalence under the Bayesian disease-mapping framework</w:t>
      </w:r>
      <w:r>
        <w:t xml:space="preserve"> </w:t>
      </w:r>
      <w:r>
        <w:t xml:space="preserve">(Besag, York, and Mollié 1991; Mercer et al. 2015; Wakefield, Okonek, and Pedersen 2020; Riebler et al. 2016)</w:t>
      </w:r>
      <w:r>
        <w:t xml:space="preserve">, constructs structured spatial smoothers using</w:t>
      </w:r>
      <w:r>
        <w:t xml:space="preserve"> </w:t>
      </w:r>
      <w:r>
        <w:t xml:space="preserve">admin-polygon adjacency and known sampling variances. In parallel, ensemble</w:t>
      </w:r>
      <w:r>
        <w:t xml:space="preserve"> </w:t>
      </w:r>
      <w:r>
        <w:t xml:space="preserve">machine-learning approaches, including SuperLearner</w:t>
      </w:r>
      <w:r>
        <w:t xml:space="preserve"> </w:t>
      </w:r>
      <w:r>
        <w:t xml:space="preserve">(Laan, Polley, and Hubbard 2007)</w:t>
      </w:r>
      <w:r>
        <w:t xml:space="preserve"> </w:t>
      </w:r>
      <w:r>
        <w:t xml:space="preserve">and gradient-boosted tree models trained on satellite-derived covariates,</w:t>
      </w:r>
      <w:r>
        <w:t xml:space="preserve"> </w:t>
      </w:r>
      <w:r>
        <w:t xml:space="preserve">have produced high-resolution maps of indirect indicators of nutritional</w:t>
      </w:r>
      <w:r>
        <w:t xml:space="preserve"> </w:t>
      </w:r>
      <w:r>
        <w:t xml:space="preserve">status</w:t>
      </w:r>
      <w:r>
        <w:t xml:space="preserve"> </w:t>
      </w:r>
      <w:r>
        <w:t xml:space="preserve">(Osgood-Zimmerman et al. 2018; Local Burden of Disease Child Growth Failure Collaborators 2020)</w:t>
      </w:r>
      <w:r>
        <w:t xml:space="preserve">. These two traditions</w:t>
      </w:r>
      <w:r>
        <w:t xml:space="preserve"> </w:t>
      </w:r>
      <w:r>
        <w:t xml:space="preserve">have rarely been compared head-to-head on the same biomarker datasets at</w:t>
      </w:r>
      <w:r>
        <w:t xml:space="preserve"> </w:t>
      </w:r>
      <w:r>
        <w:t xml:space="preserve">the same geographic scale.</w:t>
      </w:r>
    </w:p>
    <w:p>
      <w:pPr>
        <w:pStyle w:val="BodyText"/>
      </w:pPr>
      <w:r>
        <w:t xml:space="preserve">Two questions about this approach remain unresolved. First, when a model</w:t>
      </w:r>
      <w:r>
        <w:t xml:space="preserve"> </w:t>
      </w:r>
      <w:r>
        <w:t xml:space="preserve">is trained at the individual level and aggregated to admin-2, do its</w:t>
      </w:r>
      <w:r>
        <w:t xml:space="preserve"> </w:t>
      </w:r>
      <w:r>
        <w:t xml:space="preserve">admin-2 estimates align with survey-weighted admin-2 prevalence — or does</w:t>
      </w:r>
      <w:r>
        <w:t xml:space="preserve"> </w:t>
      </w:r>
      <w:r>
        <w:t xml:space="preserve">the aggregation step introduce systematic bias? Second, when a model is</w:t>
      </w:r>
      <w:r>
        <w:t xml:space="preserve"> </w:t>
      </w:r>
      <w:r>
        <w:t xml:space="preserve">trained on a set of countries with biomarker data, do its predictions</w:t>
      </w:r>
      <w:r>
        <w:t xml:space="preserve"> </w:t>
      </w:r>
      <w:r>
        <w:t xml:space="preserve">transport to a held-out country with similar covariates? The</w:t>
      </w:r>
      <w:r>
        <w:t xml:space="preserve"> </w:t>
      </w:r>
      <w:r>
        <w:t xml:space="preserve">small-area-estimation literature has long recommended fitting at the</w:t>
      </w:r>
      <w:r>
        <w:t xml:space="preserve"> </w:t>
      </w:r>
      <w:r>
        <w:t xml:space="preserve">unit of deliverable: if the output is an admin-2 map, fit at admin-2; if</w:t>
      </w:r>
      <w:r>
        <w:t xml:space="preserve"> </w:t>
      </w:r>
      <w:r>
        <w:t xml:space="preserve">the output is household-level risk, fit at the individual level</w:t>
      </w:r>
      <w:r>
        <w:t xml:space="preserve"> </w:t>
      </w:r>
      <w:r>
        <w:t xml:space="preserve">(Mercer et al. 2015; Wakefield, Okonek, and Pedersen 2020)</w:t>
      </w:r>
      <w:r>
        <w:t xml:space="preserve">. To our knowledge, the</w:t>
      </w:r>
      <w:r>
        <w:t xml:space="preserve"> </w:t>
      </w:r>
      <w:r>
        <w:t xml:space="preserve">implication of this recommendation has not been systematically tested for</w:t>
      </w:r>
      <w:r>
        <w:t xml:space="preserve"> </w:t>
      </w:r>
      <w:r>
        <w:t xml:space="preserve">multi-country micronutrient deficiency prediction.</w:t>
      </w:r>
    </w:p>
    <w:p>
      <w:pPr>
        <w:pStyle w:val="BodyText"/>
      </w:pPr>
      <w:r>
        <w:t xml:space="preserve">In this study we harmonise DHS biomarker measurements from four</w:t>
      </w:r>
      <w:r>
        <w:t xml:space="preserve"> </w:t>
      </w:r>
      <w:r>
        <w:t xml:space="preserve">sub-Saharan African countries (The Gambia, Ghana, Sierra Leone, and</w:t>
      </w:r>
      <w:r>
        <w:t xml:space="preserve"> </w:t>
      </w:r>
      <w:r>
        <w:t xml:space="preserve">Malawi) and use these to evaluate four estimation strategies</w:t>
      </w:r>
      <w:r>
        <w:t xml:space="preserve"> </w:t>
      </w:r>
      <w:r>
        <w:t xml:space="preserve">spanning machine-learning and SAE traditions, within-country and across</w:t>
      </w:r>
      <w:r>
        <w:t xml:space="preserve"> </w:t>
      </w:r>
      <w:r>
        <w:t xml:space="preserve">countries. We benchmark a multi-learner SuperLearner ensemble (combining</w:t>
      </w:r>
      <w:r>
        <w:t xml:space="preserve"> </w:t>
      </w:r>
      <w:r>
        <w:t xml:space="preserve">elastic-net, ranger, gradient-boosted trees, and dropout BART) against</w:t>
      </w:r>
      <w:r>
        <w:t xml:space="preserve"> </w:t>
      </w:r>
      <w:r>
        <w:t xml:space="preserve">Bayesian areal models and frequentist baselines, and report whether the</w:t>
      </w:r>
      <w:r>
        <w:t xml:space="preserve"> </w:t>
      </w:r>
      <w:r>
        <w:t xml:space="preserve">added complexity of the ensemble produces gains in spatial ranking or</w:t>
      </w:r>
      <w:r>
        <w:t xml:space="preserve"> </w:t>
      </w:r>
      <w:r>
        <w:t xml:space="preserve">transportability that justify its use for global-health programming.</w:t>
      </w:r>
    </w:p>
    <w:bookmarkEnd w:id="20"/>
    <w:bookmarkStart w:id="27" w:name="methods"/>
    <w:p>
      <w:pPr>
        <w:pStyle w:val="Heading1"/>
      </w:pPr>
      <w:r>
        <w:t xml:space="preserve">2. Methods</w:t>
      </w:r>
    </w:p>
    <w:bookmarkStart w:id="22" w:name="study-population-and-biomarker-data"/>
    <w:p>
      <w:pPr>
        <w:pStyle w:val="Heading2"/>
      </w:pPr>
      <w:r>
        <w:t xml:space="preserve">2.1 Study population and biomarker data</w:t>
      </w:r>
    </w:p>
    <w:p>
      <w:pPr>
        <w:pStyle w:val="FirstParagraph"/>
      </w:pPr>
      <w:r>
        <w:t xml:space="preserve">We assembled biomarker measurements from four Demographic and Health</w:t>
      </w:r>
      <w:r>
        <w:t xml:space="preserve"> </w:t>
      </w:r>
      <w:r>
        <w:t xml:space="preserve">Surveys: The Gambia 2018, Ghana 2017, Sierra Leone 2013, and Malawi 2016.</w:t>
      </w:r>
      <w:r>
        <w:t xml:space="preserve"> </w:t>
      </w:r>
      <w:r>
        <w:t xml:space="preserve">Within each survey we extracted deficiency biomarkers for women of</w:t>
      </w:r>
      <w:r>
        <w:t xml:space="preserve"> </w:t>
      </w:r>
      <w:r>
        <w:t xml:space="preserve">reproductive age (15–49 y) and children 6–59 months as available</w:t>
      </w:r>
      <w:r>
        <w:t xml:space="preserve"> </w:t>
      </w:r>
      <w:r>
        <w:t xml:space="preserve">(</w:t>
      </w:r>
      <w:hyperlink w:anchor="tbl-cohort">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ohort"/>
          <w:p>
            <w:pPr>
              <w:jc w:val="center"/>
            </w:pPr>
            <w:pPr>
              <w:jc w:val="start"/>
              <w:spacing w:before="200"/>
              <w:pStyle w:val="ImageCaption"/>
            </w:pPr>
            <w:r>
              <w:t xml:space="preserve">Table 1: Sample sizes by country and biomarker, with WHO public-health classification thresholds applied to derive binary deficiency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w:t>
                  </w:r>
                </w:p>
              </w:tc>
              <w:tc>
                <w:tcPr/>
                <w:p>
                  <w:pPr>
                    <w:pStyle w:val="Compact"/>
                    <w:jc w:val="left"/>
                    <w:jc w:val="center"/>
                  </w:pPr>
                  <w:r>
                    <w:t xml:space="preserve">Observed prevalence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1020</w:t>
                  </w:r>
                </w:p>
              </w:tc>
              <w:tc>
                <w:tcPr/>
                <w:p>
                  <w:pPr>
                    <w:pStyle w:val="Compact"/>
                    <w:jc w:val="left"/>
                    <w:jc w:val="center"/>
                  </w:pPr>
                  <w:r>
                    <w:t xml:space="preserve">20.1%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1413</w:t>
                  </w:r>
                </w:p>
              </w:tc>
              <w:tc>
                <w:tcPr/>
                <w:p>
                  <w:pPr>
                    <w:pStyle w:val="Compact"/>
                    <w:jc w:val="left"/>
                    <w:jc w:val="center"/>
                  </w:pPr>
                  <w:r>
                    <w:t xml:space="preserve">2.7%</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1013</w:t>
                  </w:r>
                </w:p>
              </w:tc>
              <w:tc>
                <w:tcPr/>
                <w:p>
                  <w:pPr>
                    <w:pStyle w:val="Compact"/>
                    <w:jc w:val="left"/>
                    <w:jc w:val="center"/>
                  </w:pPr>
                  <w:r>
                    <w:t xml:space="preserve">41.9%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1402</w:t>
                  </w:r>
                </w:p>
              </w:tc>
              <w:tc>
                <w:tcPr/>
                <w:p>
                  <w:pPr>
                    <w:pStyle w:val="Compact"/>
                    <w:jc w:val="left"/>
                    <w:jc w:val="center"/>
                  </w:pPr>
                  <w:r>
                    <w:t xml:space="preserve">31.2%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1165</w:t>
                  </w:r>
                </w:p>
              </w:tc>
              <w:tc>
                <w:tcPr/>
                <w:p>
                  <w:pPr>
                    <w:pStyle w:val="Compact"/>
                    <w:jc w:val="left"/>
                    <w:jc w:val="center"/>
                  </w:pPr>
                  <w:r>
                    <w:t xml:space="preserve">14.9%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992</w:t>
                  </w:r>
                </w:p>
              </w:tc>
              <w:tc>
                <w:tcPr/>
                <w:p>
                  <w:pPr>
                    <w:pStyle w:val="Compact"/>
                    <w:jc w:val="left"/>
                    <w:jc w:val="center"/>
                  </w:pPr>
                  <w:r>
                    <w:t xml:space="preserve">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1165</w:t>
                  </w:r>
                </w:p>
              </w:tc>
              <w:tc>
                <w:tcPr/>
                <w:p>
                  <w:pPr>
                    <w:pStyle w:val="Compact"/>
                    <w:jc w:val="left"/>
                    <w:jc w:val="center"/>
                  </w:pPr>
                  <w:r>
                    <w:t xml:space="preserve">23.9%</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981</w:t>
                  </w:r>
                </w:p>
              </w:tc>
              <w:tc>
                <w:tcPr/>
                <w:p>
                  <w:pPr>
                    <w:pStyle w:val="Compact"/>
                    <w:jc w:val="left"/>
                    <w:jc w:val="center"/>
                  </w:pPr>
                  <w:r>
                    <w:t xml:space="preserve">8.5%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475</w:t>
                  </w:r>
                </w:p>
              </w:tc>
              <w:tc>
                <w:tcPr/>
                <w:p>
                  <w:pPr>
                    <w:pStyle w:val="Compact"/>
                    <w:jc w:val="left"/>
                    <w:jc w:val="center"/>
                  </w:pPr>
                  <w:r>
                    <w:t xml:space="preserve">54.7%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473</w:t>
                  </w:r>
                </w:p>
              </w:tc>
              <w:tc>
                <w:tcPr/>
                <w:p>
                  <w:pPr>
                    <w:pStyle w:val="Compact"/>
                    <w:jc w:val="left"/>
                    <w:jc w:val="center"/>
                  </w:pPr>
                  <w:r>
                    <w:t xml:space="preserve">8.5%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486</w:t>
                  </w:r>
                </w:p>
              </w:tc>
              <w:tc>
                <w:tcPr/>
                <w:p>
                  <w:pPr>
                    <w:pStyle w:val="Compact"/>
                    <w:jc w:val="left"/>
                    <w:jc w:val="center"/>
                  </w:pPr>
                  <w:r>
                    <w:t xml:space="preserve">12.6%</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774</w:t>
                  </w:r>
                </w:p>
              </w:tc>
              <w:tc>
                <w:tcPr/>
                <w:p>
                  <w:pPr>
                    <w:pStyle w:val="Compact"/>
                    <w:jc w:val="left"/>
                    <w:jc w:val="center"/>
                  </w:pPr>
                  <w:r>
                    <w:t xml:space="preserve">1.8%</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486</w:t>
                  </w:r>
                </w:p>
              </w:tc>
              <w:tc>
                <w:tcPr/>
                <w:p>
                  <w:pPr>
                    <w:pStyle w:val="Compact"/>
                    <w:jc w:val="left"/>
                    <w:jc w:val="center"/>
                  </w:pPr>
                  <w:r>
                    <w:t xml:space="preserve">5.8%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774</w:t>
                  </w:r>
                </w:p>
              </w:tc>
              <w:tc>
                <w:tcPr/>
                <w:p>
                  <w:pPr>
                    <w:pStyle w:val="Compact"/>
                    <w:jc w:val="left"/>
                    <w:jc w:val="center"/>
                  </w:pPr>
                  <w:r>
                    <w:t xml:space="preserve">9.4%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766</w:t>
                  </w:r>
                </w:p>
              </w:tc>
              <w:tc>
                <w:tcPr/>
                <w:p>
                  <w:pPr>
                    <w:pStyle w:val="Compact"/>
                    <w:jc w:val="left"/>
                    <w:jc w:val="center"/>
                  </w:pPr>
                  <w:r>
                    <w:t xml:space="preserve">79.4%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768</w:t>
                  </w:r>
                </w:p>
              </w:tc>
              <w:tc>
                <w:tcPr/>
                <w:p>
                  <w:pPr>
                    <w:pStyle w:val="Compact"/>
                    <w:jc w:val="left"/>
                    <w:jc w:val="center"/>
                  </w:pPr>
                  <w:r>
                    <w:t xml:space="preserve">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1102</w:t>
                  </w:r>
                </w:p>
              </w:tc>
              <w:tc>
                <w:tcPr/>
                <w:p>
                  <w:pPr>
                    <w:pStyle w:val="Compact"/>
                    <w:jc w:val="left"/>
                    <w:jc w:val="center"/>
                  </w:pPr>
                  <w:r>
                    <w:t xml:space="preserve">9.3%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807</w:t>
                  </w:r>
                </w:p>
              </w:tc>
              <w:tc>
                <w:tcPr/>
                <w:p>
                  <w:pPr>
                    <w:pStyle w:val="Compact"/>
                    <w:jc w:val="left"/>
                    <w:jc w:val="center"/>
                  </w:pPr>
                  <w:r>
                    <w:t xml:space="preserve">1.4%</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1102</w:t>
                  </w:r>
                </w:p>
              </w:tc>
              <w:tc>
                <w:tcPr/>
                <w:p>
                  <w:pPr>
                    <w:pStyle w:val="Compact"/>
                    <w:jc w:val="left"/>
                    <w:jc w:val="center"/>
                  </w:pPr>
                  <w:r>
                    <w:t xml:space="preserve">9.7%</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752</w:t>
                  </w:r>
                </w:p>
              </w:tc>
              <w:tc>
                <w:tcPr/>
                <w:p>
                  <w:pPr>
                    <w:pStyle w:val="Compact"/>
                    <w:jc w:val="left"/>
                    <w:jc w:val="center"/>
                  </w:pPr>
                  <w:r>
                    <w:t xml:space="preserve">9.8%</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799</w:t>
                  </w:r>
                </w:p>
              </w:tc>
              <w:tc>
                <w:tcPr/>
                <w:p>
                  <w:pPr>
                    <w:pStyle w:val="Compact"/>
                    <w:jc w:val="left"/>
                    <w:jc w:val="center"/>
                  </w:pPr>
                  <w:r>
                    <w:t xml:space="preserve">20.8%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809</w:t>
                  </w:r>
                </w:p>
              </w:tc>
              <w:tc>
                <w:tcPr/>
                <w:p>
                  <w:pPr>
                    <w:pStyle w:val="Compact"/>
                    <w:jc w:val="left"/>
                    <w:jc w:val="center"/>
                  </w:pPr>
                  <w:r>
                    <w:t xml:space="preserve">2.8%</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1087</w:t>
                  </w:r>
                </w:p>
              </w:tc>
              <w:tc>
                <w:tcPr/>
                <w:p>
                  <w:pPr>
                    <w:pStyle w:val="Compact"/>
                    <w:jc w:val="left"/>
                    <w:jc w:val="center"/>
                  </w:pPr>
                  <w:r>
                    <w:t xml:space="preserve">58.6%</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814</w:t>
                  </w:r>
                </w:p>
              </w:tc>
              <w:tc>
                <w:tcPr/>
                <w:p>
                  <w:pPr>
                    <w:pStyle w:val="Compact"/>
                    <w:jc w:val="left"/>
                    <w:jc w:val="center"/>
                  </w:pPr>
                  <w:r>
                    <w:t xml:space="preserve">61.9%</w:t>
                  </w:r>
                </w:p>
              </w:tc>
            </w:tr>
          </w:tbl>
          <w:bookmarkEnd w:id="21"/>
          <w:p/>
        </w:tc>
      </w:tr>
    </w:tbl>
    <w:p>
      <w:pPr>
        <w:pStyle w:val="BodyText"/>
      </w:pPr>
      <w:r>
        <w:t xml:space="preserve">Each biomarker was converted to a binary deficiency indicator using WHO</w:t>
      </w:r>
      <w:r>
        <w:t xml:space="preserve"> </w:t>
      </w:r>
      <w:r>
        <w:t xml:space="preserve">or BRINDA-recommended thresholds, with adjustment for inflammation where</w:t>
      </w:r>
      <w:r>
        <w:t xml:space="preserve"> </w:t>
      </w:r>
      <w:r>
        <w:t xml:space="preserve">acute-phase proteins were available</w:t>
      </w:r>
      <w:r>
        <w:t xml:space="preserve"> </w:t>
      </w:r>
      <w:r>
        <w:t xml:space="preserve">(Namaste et al. 2017; World Health Organization 2011)</w:t>
      </w:r>
      <w:r>
        <w:t xml:space="preserve">. Survey weights from DHS were retained throughout</w:t>
      </w:r>
      <w:r>
        <w:t xml:space="preserve"> </w:t>
      </w:r>
      <w:r>
        <w:t xml:space="preserve">and used to compute admin-2 (district-equivalent) prevalence with</w:t>
      </w:r>
      <w:r>
        <w:t xml:space="preserve"> </w:t>
      </w:r>
      <w:r>
        <w:t xml:space="preserve">appropriate clustered variance estimation. Where available, sample</w:t>
      </w:r>
      <w:r>
        <w:t xml:space="preserve"> </w:t>
      </w:r>
      <w:r>
        <w:t xml:space="preserve">weights, primary sampling units and stratification were retained for</w:t>
      </w:r>
      <w:r>
        <w:t xml:space="preserve"> </w:t>
      </w:r>
      <w:r>
        <w:t xml:space="preserve">admin-2 prevalence estimation.</w:t>
      </w:r>
    </w:p>
    <w:bookmarkEnd w:id="22"/>
    <w:bookmarkStart w:id="23" w:name="predictors"/>
    <w:p>
      <w:pPr>
        <w:pStyle w:val="Heading2"/>
      </w:pPr>
      <w:r>
        <w:t xml:space="preserve">2.2 Predictors</w:t>
      </w:r>
    </w:p>
    <w:p>
      <w:pPr>
        <w:pStyle w:val="FirstParagraph"/>
      </w:pPr>
      <w:r>
        <w:t xml:space="preserve">Two predictor sets were assembled. The</w:t>
      </w:r>
      <w:r>
        <w:t xml:space="preserve"> </w:t>
      </w:r>
      <w:r>
        <w:rPr>
          <w:b/>
          <w:bCs/>
        </w:rPr>
        <w:t xml:space="preserve">individual-level</w:t>
      </w:r>
      <w:r>
        <w:t xml:space="preserve"> </w:t>
      </w:r>
      <w:r>
        <w:t xml:space="preserve">set included</w:t>
      </w:r>
      <w:r>
        <w:t xml:space="preserve"> </w:t>
      </w:r>
      <w:r>
        <w:t xml:space="preserve">all proxy survey items recommended by Mertens et al. (under review) — a</w:t>
      </w:r>
      <w:r>
        <w:t xml:space="preserve"> </w:t>
      </w:r>
      <w:r>
        <w:t xml:space="preserve">harmonised harmonisable set of approximately 200 socio-demographic and</w:t>
      </w:r>
      <w:r>
        <w:t xml:space="preserve"> </w:t>
      </w:r>
      <w:r>
        <w:t xml:space="preserve">household indicators across the four DHS surveys (mother education,</w:t>
      </w:r>
      <w:r>
        <w:t xml:space="preserve"> </w:t>
      </w:r>
      <w:r>
        <w:t xml:space="preserve">household assets, water and sanitation, livelihoods, exposure to malaria</w:t>
      </w:r>
      <w:r>
        <w:t xml:space="preserve"> </w:t>
      </w:r>
      <w:r>
        <w:t xml:space="preserve">interventions). This set excludes biomarker survey items (the</w:t>
      </w:r>
      <w:r>
        <w:t xml:space="preserve"> </w:t>
      </w:r>
      <w:r>
        <w:rPr>
          <w:rStyle w:val="VerbatimChar"/>
        </w:rPr>
        <w:t xml:space="preserve">gw_</w:t>
      </w:r>
      <w:r>
        <w:t xml:space="preserve"> </w:t>
      </w:r>
      <w:r>
        <w:t xml:space="preserve">prefix in the analytic data dictionary) so that predictions can be made</w:t>
      </w:r>
      <w:r>
        <w:t xml:space="preserve"> </w:t>
      </w:r>
      <w:r>
        <w:t xml:space="preserve">in target populations that lack biomarker measurement.</w:t>
      </w:r>
    </w:p>
    <w:p>
      <w:pPr>
        <w:pStyle w:val="BodyText"/>
      </w:pPr>
      <w:r>
        <w:t xml:space="preserve">The</w:t>
      </w:r>
      <w:r>
        <w:t xml:space="preserve"> </w:t>
      </w:r>
      <w:r>
        <w:rPr>
          <w:b/>
          <w:bCs/>
        </w:rPr>
        <w:t xml:space="preserve">area-level</w:t>
      </w:r>
      <w:r>
        <w:t xml:space="preserve"> </w:t>
      </w:r>
      <w:r>
        <w:t xml:space="preserve">set comprised over 2,500 earth-observation aggregates</w:t>
      </w:r>
      <w:r>
        <w:t xml:space="preserve"> </w:t>
      </w:r>
      <w:r>
        <w:t xml:space="preserve">extracted from Google Earth Engine</w:t>
      </w:r>
      <w:r>
        <w:t xml:space="preserve"> </w:t>
      </w:r>
      <w:r>
        <w:t xml:space="preserve">(Gorelick et al. 2017)</w:t>
      </w:r>
      <w:r>
        <w:t xml:space="preserve"> </w:t>
      </w:r>
      <w:r>
        <w:t xml:space="preserve">for each</w:t>
      </w:r>
      <w:r>
        <w:t xml:space="preserve"> </w:t>
      </w:r>
      <w:r>
        <w:t xml:space="preserve">admin-2 polygon using exact-extract weighted by polygon overlap. Layers</w:t>
      </w:r>
      <w:r>
        <w:t xml:space="preserve"> </w:t>
      </w:r>
      <w:r>
        <w:t xml:space="preserve">included Worldpop population density, ESA WorldCover land use,</w:t>
      </w:r>
      <w:r>
        <w:t xml:space="preserve"> </w:t>
      </w:r>
      <w:r>
        <w:t xml:space="preserve">accessibility surfaces, NDVI/EVI temporal aggregates, atmospheric</w:t>
      </w:r>
      <w:r>
        <w:t xml:space="preserve"> </w:t>
      </w:r>
      <w:r>
        <w:t xml:space="preserve">parameters, elevation, and night-time lights. Variables present in fewer</w:t>
      </w:r>
      <w:r>
        <w:t xml:space="preserve"> </w:t>
      </w:r>
      <w:r>
        <w:t xml:space="preserve">than three countries’ GEE extracts were excluded from cross-country</w:t>
      </w:r>
      <w:r>
        <w:t xml:space="preserve"> </w:t>
      </w:r>
      <w:r>
        <w:t xml:space="preserve">analyses, producing a common-vocabulary set of 152 variables.</w:t>
      </w:r>
    </w:p>
    <w:bookmarkEnd w:id="23"/>
    <w:bookmarkStart w:id="24" w:name="estimation-strategies"/>
    <w:p>
      <w:pPr>
        <w:pStyle w:val="Heading2"/>
      </w:pPr>
      <w:r>
        <w:t xml:space="preserve">2.3 Estimation strategies</w:t>
      </w:r>
    </w:p>
    <w:p>
      <w:pPr>
        <w:pStyle w:val="FirstParagraph"/>
      </w:pPr>
      <w:r>
        <w:t xml:space="preserve">We compared estimation strategies spanning the machine-learning and</w:t>
      </w:r>
      <w:r>
        <w:t xml:space="preserve"> </w:t>
      </w:r>
      <w:r>
        <w:t xml:space="preserve">small-area-estimation traditions, organised into two families. The</w:t>
      </w:r>
      <w:r>
        <w:t xml:space="preserve"> </w:t>
      </w:r>
      <w:r>
        <w:rPr>
          <w:b/>
          <w:bCs/>
        </w:rPr>
        <w:t xml:space="preserve">area-level small-area estimation (SAE)</w:t>
      </w:r>
      <w:r>
        <w:t xml:space="preserve"> </w:t>
      </w:r>
      <w:r>
        <w:t xml:space="preserve">family fits one row per admin-2</w:t>
      </w:r>
      <w:r>
        <w:t xml:space="preserve"> </w:t>
      </w:r>
      <w:r>
        <w:t xml:space="preserve">polygon, with survey-weighted prevalence as the target: an area-level</w:t>
      </w:r>
      <w:r>
        <w:t xml:space="preserve"> </w:t>
      </w:r>
      <w:r>
        <w:t xml:space="preserve">SuperLearner on the polygon-aggregated covariates; frequentist baselines (a</w:t>
      </w:r>
      <w:r>
        <w:t xml:space="preserve"> </w:t>
      </w:r>
      <w:r>
        <w:t xml:space="preserve">country-mean floor, OLS, and cross-validated elastic-net); Bayesian areal</w:t>
      </w:r>
      <w:r>
        <w:t xml:space="preserve"> </w:t>
      </w:r>
      <w:r>
        <w:t xml:space="preserve">models (the Fay–Herriot model</w:t>
      </w:r>
      <w:r>
        <w:t xml:space="preserve"> </w:t>
      </w:r>
      <w:r>
        <w:t xml:space="preserve">(Fay and Herriot 1979; Mercer et al. 2015)</w:t>
      </w:r>
      <w:r>
        <w:t xml:space="preserve"> </w:t>
      </w:r>
      <w:r>
        <w:t xml:space="preserve">and the</w:t>
      </w:r>
      <w:r>
        <w:t xml:space="preserve"> </w:t>
      </w:r>
      <w:r>
        <w:t xml:space="preserve">BYM2 disease-mapping model fit by integrated nested Laplace approximation</w:t>
      </w:r>
      <w:r>
        <w:t xml:space="preserve"> </w:t>
      </w:r>
      <w:r>
        <w:t xml:space="preserve">(Riebler et al. 2016; Rue, Martino, and Chopin 2009)</w:t>
      </w:r>
      <w:r>
        <w:t xml:space="preserve">); and a set of</w:t>
      </w:r>
      <w:r>
        <w:t xml:space="preserve"> </w:t>
      </w:r>
      <w:r>
        <w:t xml:space="preserve">transportability-aware comparators (a country random-intercept model, a</w:t>
      </w:r>
      <w:r>
        <w:t xml:space="preserve"> </w:t>
      </w:r>
      <w:r>
        <w:t xml:space="preserve">two-stage country-mean-plus-within-country-deviation model, a forward</w:t>
      </w:r>
      <w:r>
        <w:t xml:space="preserve"> </w:t>
      </w:r>
      <w:r>
        <w:t xml:space="preserve">selection that optimises a leave-one-training-country-out criterion, a</w:t>
      </w:r>
      <w:r>
        <w:t xml:space="preserve"> </w:t>
      </w:r>
      <w:r>
        <w:t xml:space="preserve">spatial-spline GAM, a data-source group-lasso, and a stacked ensemble of</w:t>
      </w:r>
      <w:r>
        <w:t xml:space="preserve"> </w:t>
      </w:r>
      <w:r>
        <w:t xml:space="preserve">these). The</w:t>
      </w:r>
      <w:r>
        <w:t xml:space="preserve"> </w:t>
      </w:r>
      <w:r>
        <w:rPr>
          <w:b/>
          <w:bCs/>
        </w:rPr>
        <w:t xml:space="preserve">individual-level SuperLearner aggregated to admin-2</w:t>
      </w:r>
      <w:r>
        <w:t xml:space="preserve"> </w:t>
      </w:r>
      <w:r>
        <w:t xml:space="preserve">fits a</w:t>
      </w:r>
      <w:r>
        <w:t xml:space="preserve"> </w:t>
      </w:r>
      <w:r>
        <w:t xml:space="preserve">person-level ensemble and averages its predictions up to the district; it</w:t>
      </w:r>
      <w:r>
        <w:t xml:space="preserve"> </w:t>
      </w:r>
      <w:r>
        <w:t xml:space="preserve">shares the same inputs but is reported as a sensitivity analysis, because</w:t>
      </w:r>
      <w:r>
        <w:t xml:space="preserve"> </w:t>
      </w:r>
      <w:r>
        <w:t xml:space="preserve">aggregating shrunken person-level probabilities biases area means (Results).</w:t>
      </w:r>
    </w:p>
    <w:p>
      <w:pPr>
        <w:pStyle w:val="BodyText"/>
      </w:pPr>
      <w:r>
        <w:t xml:space="preserve">The full list of strategies with their loss functions and implementations is</w:t>
      </w:r>
      <w:r>
        <w:t xml:space="preserve"> </w:t>
      </w:r>
      <w:r>
        <w:t xml:space="preserve">given in Supplementary Appendix Table S1, and the complete modelling detail</w:t>
      </w:r>
      <w:r>
        <w:t xml:space="preserve"> </w:t>
      </w:r>
      <w:r>
        <w:t xml:space="preserve">(learner libraries and hyper-parameters, adjacency construction, post-hoc</w:t>
      </w:r>
      <w:r>
        <w:t xml:space="preserve"> </w:t>
      </w:r>
      <w:r>
        <w:t xml:space="preserve">calibration, outcome-aware feature augmentation, and the bootstrap interval</w:t>
      </w:r>
      <w:r>
        <w:t xml:space="preserve"> </w:t>
      </w:r>
      <w:r>
        <w:t xml:space="preserve">procedure) is in Supplementary Appendix Section S5.</w:t>
      </w:r>
    </w:p>
    <w:bookmarkEnd w:id="24"/>
    <w:bookmarkStart w:id="25" w:name="X8270b41fd5975bd7e5cc3725cf923372727e6bc"/>
    <w:p>
      <w:pPr>
        <w:pStyle w:val="Heading2"/>
      </w:pPr>
      <w:r>
        <w:t xml:space="preserve">2.4 Honest evaluation and the corrected-methods analysis of record</w:t>
      </w:r>
    </w:p>
    <w:p>
      <w:pPr>
        <w:pStyle w:val="FirstParagraph"/>
      </w:pPr>
      <w:r>
        <w:t xml:space="preserve">Initial benchmarking surfaced several ways an analysis at this scale can</w:t>
      </w:r>
      <w:r>
        <w:t xml:space="preserve"> </w:t>
      </w:r>
      <w:r>
        <w:t xml:space="preserve">flatter itself, so the headline results below come from a set of corrected,</w:t>
      </w:r>
      <w:r>
        <w:t xml:space="preserve"> </w:t>
      </w:r>
      <w:r>
        <w:t xml:space="preserve">leakage-free methods (referred to as the P1–P8 methods) that constitute the</w:t>
      </w:r>
      <w:r>
        <w:t xml:space="preserve"> </w:t>
      </w:r>
      <w:r>
        <w:t xml:space="preserve">analysis of record; the original production-pipeline equivalents are retained</w:t>
      </w:r>
      <w:r>
        <w:t xml:space="preserve"> </w:t>
      </w:r>
      <w:r>
        <w:t xml:space="preserve">as a sensitivity comparison. In brief, the corrected methods (i) perform all</w:t>
      </w:r>
      <w:r>
        <w:t xml:space="preserve"> </w:t>
      </w:r>
      <w:r>
        <w:t xml:space="preserve">preprocessing inside each cross-validation fold and form folds by survey</w:t>
      </w:r>
      <w:r>
        <w:t xml:space="preserve"> </w:t>
      </w:r>
      <w:r>
        <w:t xml:space="preserve">cluster and by spatial region, so that no information leaks from held-out</w:t>
      </w:r>
      <w:r>
        <w:t xml:space="preserve"> </w:t>
      </w:r>
      <w:r>
        <w:t xml:space="preserve">areas; (ii) recalibrate binary predictions out-of-fold rather than in-sample;</w:t>
      </w:r>
      <w:r>
        <w:t xml:space="preserve"> </w:t>
      </w:r>
      <w:r>
        <w:t xml:space="preserve">(iii) separate the component of admin-2 prediction error that is attributable</w:t>
      </w:r>
      <w:r>
        <w:t xml:space="preserve"> </w:t>
      </w:r>
      <w:r>
        <w:t xml:space="preserve">to survey sampling noise from genuine model error; (iv) attach</w:t>
      </w:r>
      <w:r>
        <w:t xml:space="preserve"> </w:t>
      </w:r>
      <w:r>
        <w:t xml:space="preserve">split-conformal prediction intervals and design-based survey intervals to each</w:t>
      </w:r>
      <w:r>
        <w:t xml:space="preserve"> </w:t>
      </w:r>
      <w:r>
        <w:t xml:space="preserve">district; (v) score the decision-relevant task of correctly ranking the</w:t>
      </w:r>
      <w:r>
        <w:t xml:space="preserve"> </w:t>
      </w:r>
      <w:r>
        <w:t xml:space="preserve">highest-burden districts; (vi) flag districts whose covariates fall outside the</w:t>
      </w:r>
      <w:r>
        <w:t xml:space="preserve"> </w:t>
      </w:r>
      <w:r>
        <w:t xml:space="preserve">surveyed training range as out-of-support; and (vii) produce partial-pooling</w:t>
      </w:r>
      <w:r>
        <w:t xml:space="preserve"> </w:t>
      </w:r>
      <w:r>
        <w:t xml:space="preserve">(empirical-Bayes) area estimates. The full specification is in Supplementary</w:t>
      </w:r>
      <w:r>
        <w:t xml:space="preserve"> </w:t>
      </w:r>
      <w:r>
        <w:t xml:space="preserve">Appendix Section S6.</w:t>
      </w:r>
    </w:p>
    <w:bookmarkEnd w:id="25"/>
    <w:bookmarkStart w:id="26" w:name="evaluation"/>
    <w:p>
      <w:pPr>
        <w:pStyle w:val="Heading2"/>
      </w:pPr>
      <w:r>
        <w:t xml:space="preserve">2.5 Evaluation</w:t>
      </w:r>
    </w:p>
    <w:p>
      <w:pPr>
        <w:pStyle w:val="FirstParagraph"/>
      </w:pPr>
      <w:r>
        <w:t xml:space="preserve">We evaluated two questions.</w:t>
      </w:r>
      <w:r>
        <w:t xml:space="preserve"> </w:t>
      </w:r>
      <w:r>
        <w:rPr>
          <w:b/>
          <w:bCs/>
        </w:rPr>
        <w:t xml:space="preserve">Within-country</w:t>
      </w:r>
      <w:r>
        <w:t xml:space="preserve"> </w:t>
      </w:r>
      <w:r>
        <w:t xml:space="preserve">spatial accuracy was</w:t>
      </w:r>
      <w:r>
        <w:t xml:space="preserve"> </w:t>
      </w:r>
      <w:r>
        <w:t xml:space="preserve">estimated by 5-fold cross-validation on each country’s admin-2 set,</w:t>
      </w:r>
      <w:r>
        <w:t xml:space="preserve"> </w:t>
      </w:r>
      <w:r>
        <w:t xml:space="preserve">with metrics computed on the union of out-of-fold predictions.</w:t>
      </w:r>
      <w:r>
        <w:t xml:space="preserve"> </w:t>
      </w:r>
      <w:r>
        <w:rPr>
          <w:b/>
          <w:bCs/>
        </w:rPr>
        <w:t xml:space="preserve">Cross-country transportability</w:t>
      </w:r>
      <w:r>
        <w:t xml:space="preserve"> </w:t>
      </w:r>
      <w:r>
        <w:t xml:space="preserve">was assessed by leave-one-country-out</w:t>
      </w:r>
      <w:r>
        <w:t xml:space="preserve"> </w:t>
      </w:r>
      <w:r>
        <w:t xml:space="preserve">(LOCO) holdout on the pooled admin-2 dataset: the model is trained on</w:t>
      </w:r>
      <w:r>
        <w:t xml:space="preserve"> </w:t>
      </w:r>
      <w:r>
        <w:t xml:space="preserve">three countries’ admin-2 areas (n = 119–192) and evaluated on the</w:t>
      </w:r>
      <w:r>
        <w:t xml:space="preserve"> </w:t>
      </w:r>
      <w:r>
        <w:t xml:space="preserve">fourth’s (n = 14–87). Metrics reported are Pearson and Spearman</w:t>
      </w:r>
      <w:r>
        <w:t xml:space="preserve"> </w:t>
      </w:r>
      <w:r>
        <w:t xml:space="preserve">correlation, mean absolute and root-mean-squared error in percentage</w:t>
      </w:r>
      <w:r>
        <w:t xml:space="preserve"> </w:t>
      </w:r>
      <w:r>
        <w:t xml:space="preserve">points, mean bias in percentage points, and calibration slope from a</w:t>
      </w:r>
      <w:r>
        <w:t xml:space="preserve"> </w:t>
      </w:r>
      <w:r>
        <w:t xml:space="preserve">linear regression of observed on predicted prevalence.</w:t>
      </w:r>
    </w:p>
    <w:p>
      <w:pPr>
        <w:pStyle w:val="BodyText"/>
      </w:pPr>
      <w:r>
        <w:t xml:space="preserve">For binary classifiers we additionally report area under the ROC curve</w:t>
      </w:r>
      <w:r>
        <w:t xml:space="preserve"> </w:t>
      </w:r>
      <w:r>
        <w:t xml:space="preserve">(AUC), Brier score and Brier skill score, expected and maximum</w:t>
      </w:r>
      <w:r>
        <w:t xml:space="preserve"> </w:t>
      </w:r>
      <w:r>
        <w:t xml:space="preserve">calibration error, and the calibration intercept and slope from a</w:t>
      </w:r>
      <w:r>
        <w:t xml:space="preserve"> </w:t>
      </w:r>
      <w:r>
        <w:t xml:space="preserve">Cox-style logistic recalibration. For continuous biomarker regressions</w:t>
      </w:r>
      <w:r>
        <w:t xml:space="preserve"> </w:t>
      </w:r>
      <w:r>
        <w:t xml:space="preserve">we report R² and Pearson r.</w:t>
      </w:r>
    </w:p>
    <w:p>
      <w:pPr>
        <w:pStyle w:val="BodyText"/>
      </w:pPr>
      <w:r>
        <w:t xml:space="preserve">All analyses were executed via the</w:t>
      </w:r>
      <w:r>
        <w:t xml:space="preserve"> </w:t>
      </w:r>
      <w:r>
        <w:rPr>
          <w:rStyle w:val="VerbatimChar"/>
        </w:rPr>
        <w:t xml:space="preserve">targets</w:t>
      </w:r>
      <w:r>
        <w:t xml:space="preserve"> </w:t>
      </w:r>
      <w:r>
        <w:t xml:space="preserve">R package</w:t>
      </w:r>
      <w:r>
        <w:t xml:space="preserve"> </w:t>
      </w:r>
      <w:r>
        <w:t xml:space="preserve">(Landau 2021)</w:t>
      </w:r>
      <w:r>
        <w:t xml:space="preserve"> </w:t>
      </w:r>
      <w:r>
        <w:t xml:space="preserve">for reproducible dependency-aware execution. Code</w:t>
      </w:r>
      <w:r>
        <w:t xml:space="preserve"> </w:t>
      </w:r>
      <w:r>
        <w:t xml:space="preserve">and pipeline definitions are available at</w:t>
      </w:r>
      <w:r>
        <w:t xml:space="preserve"> </w:t>
      </w:r>
      <w:r>
        <w:t xml:space="preserve">.</w:t>
      </w:r>
    </w:p>
    <w:bookmarkEnd w:id="26"/>
    <w:bookmarkEnd w:id="27"/>
    <w:bookmarkStart w:id="55" w:name="results"/>
    <w:p>
      <w:pPr>
        <w:pStyle w:val="Heading1"/>
      </w:pPr>
      <w:r>
        <w:t xml:space="preserve">3. Results</w:t>
      </w:r>
    </w:p>
    <w:bookmarkStart w:id="28" w:name="sample-characteristics"/>
    <w:p>
      <w:pPr>
        <w:pStyle w:val="Heading2"/>
      </w:pPr>
      <w:r>
        <w:t xml:space="preserve">3.1 Sample characteristics</w:t>
      </w:r>
    </w:p>
    <w:p>
      <w:pPr>
        <w:pStyle w:val="FirstParagraph"/>
      </w:pPr>
      <w:r>
        <w:t xml:space="preserve">The pooled admin-2 dataset comprised 206 administrative units across the</w:t>
      </w:r>
      <w:r>
        <w:t xml:space="preserve"> </w:t>
      </w:r>
      <w:r>
        <w:t xml:space="preserve">four countries (Gambia 30, Ghana 75, Sierra Leone 14, Malawi 87). Sample</w:t>
      </w:r>
      <w:r>
        <w:t xml:space="preserve"> </w:t>
      </w:r>
      <w:r>
        <w:t xml:space="preserve">sizes per country and biomarker are presented in</w:t>
      </w:r>
      <w:r>
        <w:t xml:space="preserve"> </w:t>
      </w:r>
      <w:hyperlink w:anchor="tbl-cohort">
        <w:r>
          <w:rPr>
            <w:rStyle w:val="Hyperlink"/>
          </w:rPr>
          <w:t xml:space="preserve">Table 1</w:t>
        </w:r>
      </w:hyperlink>
      <w:r>
        <w:t xml:space="preserve">. Observed</w:t>
      </w:r>
      <w:r>
        <w:t xml:space="preserve"> </w:t>
      </w:r>
      <w:r>
        <w:t xml:space="preserve">admin-2 deficiency prevalence varied widely across outcomes and</w:t>
      </w:r>
      <w:r>
        <w:t xml:space="preserve"> </w:t>
      </w:r>
      <w:r>
        <w:t xml:space="preserve">countries, with iron deficiency in children ranging from 5% (Sierra</w:t>
      </w:r>
      <w:r>
        <w:t xml:space="preserve"> </w:t>
      </w:r>
      <w:r>
        <w:t xml:space="preserve">Leone) to 64% (Gambia), and vitamin-A deficiency in women remaining</w:t>
      </w:r>
      <w:r>
        <w:t xml:space="preserve"> </w:t>
      </w:r>
      <w:r>
        <w:t xml:space="preserve">below 5% in most countries.</w:t>
      </w:r>
    </w:p>
    <w:bookmarkEnd w:id="28"/>
    <w:bookmarkStart w:id="30" w:name="within-country-admin-2-estimation"/>
    <w:p>
      <w:pPr>
        <w:pStyle w:val="Heading2"/>
      </w:pPr>
      <w:r>
        <w:t xml:space="preserve">3.2 Within-country admin-2 estimation</w:t>
      </w:r>
    </w:p>
    <w:p>
      <w:pPr>
        <w:pStyle w:val="FirstParagraph"/>
      </w:pPr>
      <w:r>
        <w:t xml:space="preserve">Under genuinely out-of-fold evaluation, within-country admin-2 ranking</w:t>
      </w:r>
      <w:r>
        <w:t xml:space="preserve"> </w:t>
      </w:r>
      <w:r>
        <w:t xml:space="preserve">was modest, and the apparent superiority of the directly-fit area-level</w:t>
      </w:r>
      <w:r>
        <w:t xml:space="preserve"> </w:t>
      </w:r>
      <w:r>
        <w:t xml:space="preserve">SuperLearner did not survive honest cross-validation (</w:t>
      </w:r>
      <w:hyperlink w:anchor="tbl-area-comparison">
        <w:r>
          <w:rPr>
            <w:rStyle w:val="Hyperlink"/>
          </w:rPr>
          <w:t xml:space="preserve">Table 2</w:t>
        </w:r>
      </w:hyperlink>
      <w:r>
        <w:t xml:space="preserve">).</w:t>
      </w:r>
      <w:r>
        <w:t xml:space="preserve"> </w:t>
      </w:r>
      <w:r>
        <w:t xml:space="preserve">The area-level SuperLearner reached a median out-of-fold Pearson r of only</w:t>
      </w:r>
      <w:r>
        <w:t xml:space="preserve"> </w:t>
      </w:r>
      <w:r>
        <w:t xml:space="preserve">0.12 (MSE loss; 0.14 for NLL) between predicted and survey-weighted admin-2</w:t>
      </w:r>
      <w:r>
        <w:t xml:space="preserve"> </w:t>
      </w:r>
      <w:r>
        <w:t xml:space="preserve">prevalence, with 0 of 24 evaluable country–outcome combinations exceeding</w:t>
      </w:r>
      <w:r>
        <w:t xml:space="preserve"> </w:t>
      </w:r>
      <w:r>
        <w:t xml:space="preserve">r ≥ 0.9 and roughly half at or below zero (range −0.57 to 0.61). In</w:t>
      </w:r>
      <w:r>
        <w:t xml:space="preserve"> </w:t>
      </w:r>
      <w:r>
        <w:t xml:space="preserve">contrast, aggregating the individual-level SuperLearner’s out-of-fold</w:t>
      </w:r>
      <w:r>
        <w:t xml:space="preserve"> </w:t>
      </w:r>
      <w:r>
        <w:t xml:space="preserve">predictions to admin-2 ranked districts substantially better (median r</w:t>
      </w:r>
      <w:r>
        <w:t xml:space="preserve"> </w:t>
      </w:r>
      <w:r>
        <w:t xml:space="preserve">0.53, range −0.39 to 0.87), albeit with larger negative biases for iron.</w:t>
      </w:r>
    </w:p>
    <w:p>
      <w:pPr>
        <w:pStyle w:val="BodyText"/>
      </w:pPr>
      <w:r>
        <w:t xml:space="preserve">This reversal reflects the area-level p ≫ n setting. Because the proxy</w:t>
      </w:r>
      <w:r>
        <w:t xml:space="preserve"> </w:t>
      </w:r>
      <w:r>
        <w:t xml:space="preserve">and earth-observation predictors are resolved at the admin-2 level, the</w:t>
      </w:r>
      <w:r>
        <w:t xml:space="preserve"> </w:t>
      </w:r>
      <w:r>
        <w:t xml:space="preserve">effective sample size for area-level fitting is the number of polygons —</w:t>
      </w:r>
      <w:r>
        <w:t xml:space="preserve"> </w:t>
      </w:r>
      <w:r>
        <w:t xml:space="preserve">14 in Sierra Leone, 30 in Gambia, 75 in Ghana, and 87 in Malawi — against</w:t>
      </w:r>
      <w:r>
        <w:t xml:space="preserve"> </w:t>
      </w:r>
      <w:r>
        <w:t xml:space="preserve">roughly 150 screened candidate covariates, leaving few residual degrees of</w:t>
      </w:r>
      <w:r>
        <w:t xml:space="preserve"> </w:t>
      </w:r>
      <w:r>
        <w:t xml:space="preserve">freedom. An earlier in-sample evaluation — predicting the training areas</w:t>
      </w:r>
      <w:r>
        <w:t xml:space="preserve"> </w:t>
      </w:r>
      <w:r>
        <w:t xml:space="preserve">from the fully-fitted ensemble — produced near-perfect correlations (r up</w:t>
      </w:r>
      <w:r>
        <w:t xml:space="preserve"> </w:t>
      </w:r>
      <w:r>
        <w:t xml:space="preserve">to 1.00), but these were overfitting artifacts rather than transportable</w:t>
      </w:r>
      <w:r>
        <w:t xml:space="preserve"> </w:t>
      </w:r>
      <w:r>
        <w:t xml:space="preserve">signal; the present numbers use genuine out-of-fold prediction. The</w:t>
      </w:r>
      <w:r>
        <w:t xml:space="preserve"> </w:t>
      </w:r>
      <w:r>
        <w:t xml:space="preserve">individual-level model, fit on hundreds to thousands of individuals,</w:t>
      </w:r>
      <w:r>
        <w:t xml:space="preserve"> </w:t>
      </w:r>
      <w:r>
        <w:t xml:space="preserve">generalises better once aggregated. We report the number of areas alongside</w:t>
      </w:r>
      <w:r>
        <w:t xml:space="preserve"> </w:t>
      </w:r>
      <w:r>
        <w:t xml:space="preserve">individual sample sizes throughout and treat the individual-level aggregate</w:t>
      </w:r>
      <w:r>
        <w:t xml:space="preserve"> </w:t>
      </w:r>
      <w:r>
        <w:t xml:space="preserve">as the more reliable within-country estimator.</w:t>
      </w:r>
    </w:p>
    <w:tbl>
      <w:tblPr>
        <w:tblStyle w:val="Table"/>
        <w:tblW w:type="pct" w:w="5000"/>
        <w:tblLayout w:type="fixed"/>
        <w:tblLook w:firstRow="0" w:lastRow="0" w:firstColumn="0" w:lastColumn="0" w:noHBand="0" w:noVBand="0" w:val="0000"/>
      </w:tblPr>
      <w:tblGrid>
        <w:gridCol w:w="7920"/>
      </w:tblGrid>
      <w:tr>
        <w:tc>
          <w:tcPr/>
          <w:bookmarkStart w:id="29" w:name="tbl-area-comparison"/>
          <w:p>
            <w:pPr>
              <w:jc w:val="center"/>
            </w:pPr>
            <w:pPr>
              <w:jc w:val="start"/>
              <w:spacing w:before="200"/>
              <w:pStyle w:val="ImageCaption"/>
            </w:pPr>
            <w:r>
              <w:t xml:space="preserve">Table 2: Within-country admin-2 prediction performance for three approaches: individual SuperLearner aggregated to admin-2, area-level SuperLearner with MSE loss, and area-level SuperLearner with NLL loss. Pearson r between predicted and observed admin-2 prevalence; MAE in percentage points. From results/tables/area_comparison_all.csv.</w:t>
            </w:r>
          </w:p>
          <w:tbl>
            <w:tblPr>
              <w:tblStyle w:val="Table"/>
              <w:tblW w:type="pct" w:w="5000"/>
              <w:tblLayout w:type="fixed"/>
              <w:tblLook w:firstRow="1" w:lastRow="0" w:firstColumn="0" w:lastColumn="0" w:noHBand="0" w:noVBand="0" w:val="0020"/>
            </w:tblPr>
            <w:tblGrid>
              <w:gridCol w:w="1560"/>
              <w:gridCol w:w="1560"/>
              <w:gridCol w:w="1680"/>
              <w:gridCol w:w="840"/>
              <w:gridCol w:w="1080"/>
              <w:gridCol w:w="120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Approach</w:t>
                  </w:r>
                </w:p>
              </w:tc>
              <w:tc>
                <w:tcPr/>
                <w:p>
                  <w:pPr>
                    <w:pStyle w:val="Compact"/>
                    <w:jc w:val="right"/>
                    <w:jc w:val="center"/>
                  </w:pPr>
                  <w:r>
                    <w:t xml:space="preserve">r</w:t>
                  </w:r>
                </w:p>
              </w:tc>
              <w:tc>
                <w:tcPr/>
                <w:p>
                  <w:pPr>
                    <w:pStyle w:val="Compact"/>
                    <w:jc w:val="right"/>
                    <w:jc w:val="center"/>
                  </w:pPr>
                  <w:r>
                    <w:t xml:space="preserve">MAE (pp)</w:t>
                  </w:r>
                </w:p>
              </w:tc>
              <w:tc>
                <w:tcPr/>
                <w:p>
                  <w:pPr>
                    <w:pStyle w:val="Compact"/>
                    <w:jc w:val="right"/>
                    <w:jc w:val="center"/>
                  </w:pPr>
                  <w:r>
                    <w:t xml:space="preserve">Bias (pp)</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0.196</w:t>
                  </w:r>
                </w:p>
              </w:tc>
              <w:tc>
                <w:tcPr/>
                <w:p>
                  <w:pPr>
                    <w:pStyle w:val="Compact"/>
                    <w:jc w:val="right"/>
                    <w:jc w:val="center"/>
                  </w:pPr>
                  <w:r>
                    <w:t xml:space="preserve">13.24</w:t>
                  </w:r>
                </w:p>
              </w:tc>
              <w:tc>
                <w:tcPr/>
                <w:p>
                  <w:pPr>
                    <w:pStyle w:val="Compact"/>
                    <w:jc w:val="right"/>
                    <w:jc w:val="center"/>
                  </w:pPr>
                  <w:r>
                    <w:t xml:space="preserve">-0.73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0.212</w:t>
                  </w:r>
                </w:p>
              </w:tc>
              <w:tc>
                <w:tcPr/>
                <w:p>
                  <w:pPr>
                    <w:pStyle w:val="Compact"/>
                    <w:jc w:val="right"/>
                    <w:jc w:val="center"/>
                  </w:pPr>
                  <w:r>
                    <w:t xml:space="preserve">13.19</w:t>
                  </w:r>
                </w:p>
              </w:tc>
              <w:tc>
                <w:tcPr/>
                <w:p>
                  <w:pPr>
                    <w:pStyle w:val="Compact"/>
                    <w:jc w:val="right"/>
                    <w:jc w:val="center"/>
                  </w:pPr>
                  <w:r>
                    <w:t xml:space="preserve">1.39</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0.528</w:t>
                  </w:r>
                </w:p>
              </w:tc>
              <w:tc>
                <w:tcPr/>
                <w:p>
                  <w:pPr>
                    <w:pStyle w:val="Compact"/>
                    <w:jc w:val="right"/>
                    <w:jc w:val="center"/>
                  </w:pPr>
                  <w:r>
                    <w:t xml:space="preserve">21.71</w:t>
                  </w:r>
                </w:p>
              </w:tc>
              <w:tc>
                <w:tcPr/>
                <w:p>
                  <w:pPr>
                    <w:pStyle w:val="Compact"/>
                    <w:jc w:val="right"/>
                    <w:jc w:val="center"/>
                  </w:pPr>
                  <w:r>
                    <w:t xml:space="preserve">-21.24</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0.400</w:t>
                  </w:r>
                </w:p>
              </w:tc>
              <w:tc>
                <w:tcPr/>
                <w:p>
                  <w:pPr>
                    <w:pStyle w:val="Compact"/>
                    <w:jc w:val="right"/>
                    <w:jc w:val="center"/>
                  </w:pPr>
                  <w:r>
                    <w:t xml:space="preserve">9.34</w:t>
                  </w:r>
                </w:p>
              </w:tc>
              <w:tc>
                <w:tcPr/>
                <w:p>
                  <w:pPr>
                    <w:pStyle w:val="Compact"/>
                    <w:jc w:val="right"/>
                    <w:jc w:val="center"/>
                  </w:pPr>
                  <w:r>
                    <w:t xml:space="preserve">0.05</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0.370</w:t>
                  </w:r>
                </w:p>
              </w:tc>
              <w:tc>
                <w:tcPr/>
                <w:p>
                  <w:pPr>
                    <w:pStyle w:val="Compact"/>
                    <w:jc w:val="right"/>
                    <w:jc w:val="center"/>
                  </w:pPr>
                  <w:r>
                    <w:t xml:space="preserve">9.89</w:t>
                  </w:r>
                </w:p>
              </w:tc>
              <w:tc>
                <w:tcPr/>
                <w:p>
                  <w:pPr>
                    <w:pStyle w:val="Compact"/>
                    <w:jc w:val="right"/>
                    <w:jc w:val="center"/>
                  </w:pPr>
                  <w:r>
                    <w:t xml:space="preserve">-4.78</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0.683</w:t>
                  </w:r>
                </w:p>
              </w:tc>
              <w:tc>
                <w:tcPr/>
                <w:p>
                  <w:pPr>
                    <w:pStyle w:val="Compact"/>
                    <w:jc w:val="right"/>
                    <w:jc w:val="center"/>
                  </w:pPr>
                  <w:r>
                    <w:t xml:space="preserve">8.00</w:t>
                  </w:r>
                </w:p>
              </w:tc>
              <w:tc>
                <w:tcPr/>
                <w:p>
                  <w:pPr>
                    <w:pStyle w:val="Compact"/>
                    <w:jc w:val="right"/>
                    <w:jc w:val="center"/>
                  </w:pPr>
                  <w:r>
                    <w:t xml:space="preserve">-1.40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0.622</w:t>
                  </w:r>
                </w:p>
              </w:tc>
              <w:tc>
                <w:tcPr/>
                <w:p>
                  <w:pPr>
                    <w:pStyle w:val="Compact"/>
                    <w:jc w:val="right"/>
                    <w:jc w:val="center"/>
                  </w:pPr>
                  <w:r>
                    <w:t xml:space="preserve">10.60</w:t>
                  </w:r>
                </w:p>
              </w:tc>
              <w:tc>
                <w:tcPr/>
                <w:p>
                  <w:pPr>
                    <w:pStyle w:val="Compact"/>
                    <w:jc w:val="right"/>
                    <w:jc w:val="center"/>
                  </w:pPr>
                  <w:r>
                    <w:t xml:space="preserve">-0.80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0.616</w:t>
                  </w:r>
                </w:p>
              </w:tc>
              <w:tc>
                <w:tcPr/>
                <w:p>
                  <w:pPr>
                    <w:pStyle w:val="Compact"/>
                    <w:jc w:val="right"/>
                    <w:jc w:val="center"/>
                  </w:pPr>
                  <w:r>
                    <w:t xml:space="preserve">10.63</w:t>
                  </w:r>
                </w:p>
              </w:tc>
              <w:tc>
                <w:tcPr/>
                <w:p>
                  <w:pPr>
                    <w:pStyle w:val="Compact"/>
                    <w:jc w:val="right"/>
                    <w:jc w:val="center"/>
                  </w:pPr>
                  <w:r>
                    <w:t xml:space="preserve">-0.54</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0.692</w:t>
                  </w:r>
                </w:p>
              </w:tc>
              <w:tc>
                <w:tcPr/>
                <w:p>
                  <w:pPr>
                    <w:pStyle w:val="Compact"/>
                    <w:jc w:val="right"/>
                    <w:jc w:val="center"/>
                  </w:pPr>
                  <w:r>
                    <w:t xml:space="preserve">17.89</w:t>
                  </w:r>
                </w:p>
              </w:tc>
              <w:tc>
                <w:tcPr/>
                <w:p>
                  <w:pPr>
                    <w:pStyle w:val="Compact"/>
                    <w:jc w:val="right"/>
                    <w:jc w:val="center"/>
                  </w:pPr>
                  <w:r>
                    <w:t xml:space="preserve">-17.89</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0.325</w:t>
                  </w:r>
                </w:p>
              </w:tc>
              <w:tc>
                <w:tcPr/>
                <w:p>
                  <w:pPr>
                    <w:pStyle w:val="Compact"/>
                    <w:jc w:val="right"/>
                    <w:jc w:val="center"/>
                  </w:pPr>
                  <w:r>
                    <w:t xml:space="preserve">3.55</w:t>
                  </w:r>
                </w:p>
              </w:tc>
              <w:tc>
                <w:tcPr/>
                <w:p>
                  <w:pPr>
                    <w:pStyle w:val="Compact"/>
                    <w:jc w:val="right"/>
                    <w:jc w:val="center"/>
                  </w:pPr>
                  <w:r>
                    <w:t xml:space="preserve">-0.16</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-0.014</w:t>
                  </w:r>
                </w:p>
              </w:tc>
              <w:tc>
                <w:tcPr/>
                <w:p>
                  <w:pPr>
                    <w:pStyle w:val="Compact"/>
                    <w:jc w:val="right"/>
                    <w:jc w:val="center"/>
                  </w:pPr>
                  <w:r>
                    <w:t xml:space="preserve">3.72</w:t>
                  </w:r>
                </w:p>
              </w:tc>
              <w:tc>
                <w:tcPr/>
                <w:p>
                  <w:pPr>
                    <w:pStyle w:val="Compact"/>
                    <w:jc w:val="right"/>
                    <w:jc w:val="center"/>
                  </w:pPr>
                  <w:r>
                    <w:t xml:space="preserve">-1.92</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0.510</w:t>
                  </w:r>
                </w:p>
              </w:tc>
              <w:tc>
                <w:tcPr/>
                <w:p>
                  <w:pPr>
                    <w:pStyle w:val="Compact"/>
                    <w:jc w:val="right"/>
                    <w:jc w:val="center"/>
                  </w:pPr>
                  <w:r>
                    <w:t xml:space="preserve">3.02</w:t>
                  </w:r>
                </w:p>
              </w:tc>
              <w:tc>
                <w:tcPr/>
                <w:p>
                  <w:pPr>
                    <w:pStyle w:val="Compact"/>
                    <w:jc w:val="right"/>
                    <w:jc w:val="center"/>
                  </w:pPr>
                  <w:r>
                    <w:t xml:space="preserve">-0.35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0.590</w:t>
                  </w:r>
                </w:p>
              </w:tc>
              <w:tc>
                <w:tcPr/>
                <w:p>
                  <w:pPr>
                    <w:pStyle w:val="Compact"/>
                    <w:jc w:val="right"/>
                    <w:jc w:val="center"/>
                  </w:pPr>
                  <w:r>
                    <w:t xml:space="preserve">11.35</w:t>
                  </w:r>
                </w:p>
              </w:tc>
              <w:tc>
                <w:tcPr/>
                <w:p>
                  <w:pPr>
                    <w:pStyle w:val="Compact"/>
                    <w:jc w:val="right"/>
                    <w:jc w:val="center"/>
                  </w:pPr>
                  <w:r>
                    <w:t xml:space="preserve">0.14</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0.544</w:t>
                  </w:r>
                </w:p>
              </w:tc>
              <w:tc>
                <w:tcPr/>
                <w:p>
                  <w:pPr>
                    <w:pStyle w:val="Compact"/>
                    <w:jc w:val="right"/>
                    <w:jc w:val="center"/>
                  </w:pPr>
                  <w:r>
                    <w:t xml:space="preserve">13.97</w:t>
                  </w:r>
                </w:p>
              </w:tc>
              <w:tc>
                <w:tcPr/>
                <w:p>
                  <w:pPr>
                    <w:pStyle w:val="Compact"/>
                    <w:jc w:val="right"/>
                    <w:jc w:val="center"/>
                  </w:pPr>
                  <w:r>
                    <w:t xml:space="preserve">-6.28</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0.736</w:t>
                  </w:r>
                </w:p>
              </w:tc>
              <w:tc>
                <w:tcPr/>
                <w:p>
                  <w:pPr>
                    <w:pStyle w:val="Compact"/>
                    <w:jc w:val="right"/>
                    <w:jc w:val="center"/>
                  </w:pPr>
                  <w:r>
                    <w:t xml:space="preserve">9.72</w:t>
                  </w:r>
                </w:p>
              </w:tc>
              <w:tc>
                <w:tcPr/>
                <w:p>
                  <w:pPr>
                    <w:pStyle w:val="Compact"/>
                    <w:jc w:val="right"/>
                    <w:jc w:val="center"/>
                  </w:pPr>
                  <w:r>
                    <w:t xml:space="preserve">0.83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0.289</w:t>
                  </w:r>
                </w:p>
              </w:tc>
              <w:tc>
                <w:tcPr/>
                <w:p>
                  <w:pPr>
                    <w:pStyle w:val="Compact"/>
                    <w:jc w:val="right"/>
                    <w:jc w:val="center"/>
                  </w:pPr>
                  <w:r>
                    <w:t xml:space="preserve">9.28</w:t>
                  </w:r>
                </w:p>
              </w:tc>
              <w:tc>
                <w:tcPr/>
                <w:p>
                  <w:pPr>
                    <w:pStyle w:val="Compact"/>
                    <w:jc w:val="right"/>
                    <w:jc w:val="center"/>
                  </w:pPr>
                  <w:r>
                    <w:t xml:space="preserve">0.40</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0.281</w:t>
                  </w:r>
                </w:p>
              </w:tc>
              <w:tc>
                <w:tcPr/>
                <w:p>
                  <w:pPr>
                    <w:pStyle w:val="Compact"/>
                    <w:jc w:val="right"/>
                    <w:jc w:val="center"/>
                  </w:pPr>
                  <w:r>
                    <w:t xml:space="preserve">11.02</w:t>
                  </w:r>
                </w:p>
              </w:tc>
              <w:tc>
                <w:tcPr/>
                <w:p>
                  <w:pPr>
                    <w:pStyle w:val="Compact"/>
                    <w:jc w:val="right"/>
                    <w:jc w:val="center"/>
                  </w:pPr>
                  <w:r>
                    <w:t xml:space="preserve">-7.60</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-0.326</w:t>
                  </w:r>
                </w:p>
              </w:tc>
              <w:tc>
                <w:tcPr/>
                <w:p>
                  <w:pPr>
                    <w:pStyle w:val="Compact"/>
                    <w:jc w:val="right"/>
                    <w:jc w:val="center"/>
                  </w:pPr>
                  <w:r>
                    <w:t xml:space="preserve">9.96</w:t>
                  </w:r>
                </w:p>
              </w:tc>
              <w:tc>
                <w:tcPr/>
                <w:p>
                  <w:pPr>
                    <w:pStyle w:val="Compact"/>
                    <w:jc w:val="right"/>
                    <w:jc w:val="center"/>
                  </w:pPr>
                  <w:r>
                    <w:t xml:space="preserve">1.44</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0.125</w:t>
                  </w:r>
                </w:p>
              </w:tc>
              <w:tc>
                <w:tcPr/>
                <w:p>
                  <w:pPr>
                    <w:pStyle w:val="Compact"/>
                    <w:jc w:val="right"/>
                    <w:jc w:val="center"/>
                  </w:pPr>
                  <w:r>
                    <w:t xml:space="preserve">12.21</w:t>
                  </w:r>
                </w:p>
              </w:tc>
              <w:tc>
                <w:tcPr/>
                <w:p>
                  <w:pPr>
                    <w:pStyle w:val="Compact"/>
                    <w:jc w:val="right"/>
                    <w:jc w:val="center"/>
                  </w:pPr>
                  <w:r>
                    <w:t xml:space="preserve">1.52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0.396</w:t>
                  </w:r>
                </w:p>
              </w:tc>
              <w:tc>
                <w:tcPr/>
                <w:p>
                  <w:pPr>
                    <w:pStyle w:val="Compact"/>
                    <w:jc w:val="right"/>
                    <w:jc w:val="center"/>
                  </w:pPr>
                  <w:r>
                    <w:t xml:space="preserve">8.95</w:t>
                  </w:r>
                </w:p>
              </w:tc>
              <w:tc>
                <w:tcPr/>
                <w:p>
                  <w:pPr>
                    <w:pStyle w:val="Compact"/>
                    <w:jc w:val="right"/>
                    <w:jc w:val="center"/>
                  </w:pPr>
                  <w:r>
                    <w:t xml:space="preserve">-7.13</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0.677</w:t>
                  </w:r>
                </w:p>
              </w:tc>
              <w:tc>
                <w:tcPr/>
                <w:p>
                  <w:pPr>
                    <w:pStyle w:val="Compact"/>
                    <w:jc w:val="right"/>
                    <w:jc w:val="center"/>
                  </w:pPr>
                  <w:r>
                    <w:t xml:space="preserve">8.59</w:t>
                  </w:r>
                </w:p>
              </w:tc>
              <w:tc>
                <w:tcPr/>
                <w:p>
                  <w:pPr>
                    <w:pStyle w:val="Compact"/>
                    <w:jc w:val="right"/>
                    <w:jc w:val="center"/>
                  </w:pPr>
                  <w:r>
                    <w:t xml:space="preserve">-1.07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0.428</w:t>
                  </w:r>
                </w:p>
              </w:tc>
              <w:tc>
                <w:tcPr/>
                <w:p>
                  <w:pPr>
                    <w:pStyle w:val="Compact"/>
                    <w:jc w:val="right"/>
                    <w:jc w:val="center"/>
                  </w:pPr>
                  <w:r>
                    <w:t xml:space="preserve">22.44</w:t>
                  </w:r>
                </w:p>
              </w:tc>
              <w:tc>
                <w:tcPr/>
                <w:p>
                  <w:pPr>
                    <w:pStyle w:val="Compact"/>
                    <w:jc w:val="right"/>
                    <w:jc w:val="center"/>
                  </w:pPr>
                  <w:r>
                    <w:t xml:space="preserve">1.48</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0.409</w:t>
                  </w:r>
                </w:p>
              </w:tc>
              <w:tc>
                <w:tcPr/>
                <w:p>
                  <w:pPr>
                    <w:pStyle w:val="Compact"/>
                    <w:jc w:val="right"/>
                    <w:jc w:val="center"/>
                  </w:pPr>
                  <w:r>
                    <w:t xml:space="preserve">23.77</w:t>
                  </w:r>
                </w:p>
              </w:tc>
              <w:tc>
                <w:tcPr/>
                <w:p>
                  <w:pPr>
                    <w:pStyle w:val="Compact"/>
                    <w:jc w:val="right"/>
                    <w:jc w:val="center"/>
                  </w:pPr>
                  <w:r>
                    <w:t xml:space="preserve">3.63</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0.504</w:t>
                  </w:r>
                </w:p>
              </w:tc>
              <w:tc>
                <w:tcPr/>
                <w:p>
                  <w:pPr>
                    <w:pStyle w:val="Compact"/>
                    <w:jc w:val="right"/>
                    <w:jc w:val="center"/>
                  </w:pPr>
                  <w:r>
                    <w:t xml:space="preserve">20.83</w:t>
                  </w:r>
                </w:p>
              </w:tc>
              <w:tc>
                <w:tcPr/>
                <w:p>
                  <w:pPr>
                    <w:pStyle w:val="Compact"/>
                    <w:jc w:val="right"/>
                    <w:jc w:val="center"/>
                  </w:pPr>
                  <w:r>
                    <w:t xml:space="preserve">-0.37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0.474</w:t>
                  </w:r>
                </w:p>
              </w:tc>
              <w:tc>
                <w:tcPr/>
                <w:p>
                  <w:pPr>
                    <w:pStyle w:val="Compact"/>
                    <w:jc w:val="right"/>
                    <w:jc w:val="center"/>
                  </w:pPr>
                  <w:r>
                    <w:t xml:space="preserve">8.46</w:t>
                  </w:r>
                </w:p>
              </w:tc>
              <w:tc>
                <w:tcPr/>
                <w:p>
                  <w:pPr>
                    <w:pStyle w:val="Compact"/>
                    <w:jc w:val="right"/>
                    <w:jc w:val="center"/>
                  </w:pPr>
                  <w:r>
                    <w:t xml:space="preserve">0.13</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0.326</w:t>
                  </w:r>
                </w:p>
              </w:tc>
              <w:tc>
                <w:tcPr/>
                <w:p>
                  <w:pPr>
                    <w:pStyle w:val="Compact"/>
                    <w:jc w:val="right"/>
                    <w:jc w:val="center"/>
                  </w:pPr>
                  <w:r>
                    <w:t xml:space="preserve">9.78</w:t>
                  </w:r>
                </w:p>
              </w:tc>
              <w:tc>
                <w:tcPr/>
                <w:p>
                  <w:pPr>
                    <w:pStyle w:val="Compact"/>
                    <w:jc w:val="right"/>
                    <w:jc w:val="center"/>
                  </w:pPr>
                  <w:r>
                    <w:t xml:space="preserve">-5.94</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0.510</w:t>
                  </w:r>
                </w:p>
              </w:tc>
              <w:tc>
                <w:tcPr/>
                <w:p>
                  <w:pPr>
                    <w:pStyle w:val="Compact"/>
                    <w:jc w:val="right"/>
                    <w:jc w:val="center"/>
                  </w:pPr>
                  <w:r>
                    <w:t xml:space="preserve">8.65</w:t>
                  </w:r>
                </w:p>
              </w:tc>
              <w:tc>
                <w:tcPr/>
                <w:p>
                  <w:pPr>
                    <w:pStyle w:val="Compact"/>
                    <w:jc w:val="right"/>
                    <w:jc w:val="center"/>
                  </w:pPr>
                  <w:r>
                    <w:t xml:space="preserve">-3.91</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-0.241</w:t>
                  </w:r>
                </w:p>
              </w:tc>
              <w:tc>
                <w:tcPr/>
                <w:p>
                  <w:pPr>
                    <w:pStyle w:val="Compact"/>
                    <w:jc w:val="right"/>
                    <w:jc w:val="center"/>
                  </w:pPr>
                  <w:r>
                    <w:t xml:space="preserve">2.85</w:t>
                  </w:r>
                </w:p>
              </w:tc>
              <w:tc>
                <w:tcPr/>
                <w:p>
                  <w:pPr>
                    <w:pStyle w:val="Compact"/>
                    <w:jc w:val="right"/>
                    <w:jc w:val="center"/>
                  </w:pPr>
                  <w:r>
                    <w:t xml:space="preserve">0.04</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-0.207</w:t>
                  </w:r>
                </w:p>
              </w:tc>
              <w:tc>
                <w:tcPr/>
                <w:p>
                  <w:pPr>
                    <w:pStyle w:val="Compact"/>
                    <w:jc w:val="right"/>
                    <w:jc w:val="center"/>
                  </w:pPr>
                  <w:r>
                    <w:t xml:space="preserve">1.89</w:t>
                  </w:r>
                </w:p>
              </w:tc>
              <w:tc>
                <w:tcPr/>
                <w:p>
                  <w:pPr>
                    <w:pStyle w:val="Compact"/>
                    <w:jc w:val="right"/>
                    <w:jc w:val="center"/>
                  </w:pPr>
                  <w:r>
                    <w:t xml:space="preserve">-1.29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-0.304</w:t>
                  </w:r>
                </w:p>
              </w:tc>
              <w:tc>
                <w:tcPr/>
                <w:p>
                  <w:pPr>
                    <w:pStyle w:val="Compact"/>
                    <w:jc w:val="right"/>
                    <w:jc w:val="center"/>
                  </w:pPr>
                  <w:r>
                    <w:t xml:space="preserve">2.72</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0.227</w:t>
                  </w:r>
                </w:p>
              </w:tc>
              <w:tc>
                <w:tcPr/>
                <w:p>
                  <w:pPr>
                    <w:pStyle w:val="Compact"/>
                    <w:jc w:val="right"/>
                    <w:jc w:val="center"/>
                  </w:pPr>
                  <w:r>
                    <w:t xml:space="preserve">11.53</w:t>
                  </w:r>
                </w:p>
              </w:tc>
              <w:tc>
                <w:tcPr/>
                <w:p>
                  <w:pPr>
                    <w:pStyle w:val="Compact"/>
                    <w:jc w:val="right"/>
                    <w:jc w:val="center"/>
                  </w:pPr>
                  <w:r>
                    <w:t xml:space="preserve">-0.40</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0.197</w:t>
                  </w:r>
                </w:p>
              </w:tc>
              <w:tc>
                <w:tcPr/>
                <w:p>
                  <w:pPr>
                    <w:pStyle w:val="Compact"/>
                    <w:jc w:val="right"/>
                    <w:jc w:val="center"/>
                  </w:pPr>
                  <w:r>
                    <w:t xml:space="preserve">13.56</w:t>
                  </w:r>
                </w:p>
              </w:tc>
              <w:tc>
                <w:tcPr/>
                <w:p>
                  <w:pPr>
                    <w:pStyle w:val="Compact"/>
                    <w:jc w:val="right"/>
                    <w:jc w:val="center"/>
                  </w:pPr>
                  <w:r>
                    <w:t xml:space="preserve">-6.98</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0.335</w:t>
                  </w:r>
                </w:p>
              </w:tc>
              <w:tc>
                <w:tcPr/>
                <w:p>
                  <w:pPr>
                    <w:pStyle w:val="Compact"/>
                    <w:jc w:val="right"/>
                    <w:jc w:val="center"/>
                  </w:pPr>
                  <w:r>
                    <w:t xml:space="preserve">12.46</w:t>
                  </w:r>
                </w:p>
              </w:tc>
              <w:tc>
                <w:tcPr/>
                <w:p>
                  <w:pPr>
                    <w:pStyle w:val="Compact"/>
                    <w:jc w:val="right"/>
                    <w:jc w:val="center"/>
                  </w:pPr>
                  <w:r>
                    <w:t xml:space="preserve">-9.12</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0.094</w:t>
                  </w:r>
                </w:p>
              </w:tc>
              <w:tc>
                <w:tcPr/>
                <w:p>
                  <w:pPr>
                    <w:pStyle w:val="Compact"/>
                    <w:jc w:val="right"/>
                    <w:jc w:val="center"/>
                  </w:pPr>
                  <w:r>
                    <w:t xml:space="preserve">8.52</w:t>
                  </w:r>
                </w:p>
              </w:tc>
              <w:tc>
                <w:tcPr/>
                <w:p>
                  <w:pPr>
                    <w:pStyle w:val="Compact"/>
                    <w:jc w:val="right"/>
                    <w:jc w:val="center"/>
                  </w:pPr>
                  <w:r>
                    <w:t xml:space="preserve">0.35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0.099</w:t>
                  </w:r>
                </w:p>
              </w:tc>
              <w:tc>
                <w:tcPr/>
                <w:p>
                  <w:pPr>
                    <w:pStyle w:val="Compact"/>
                    <w:jc w:val="right"/>
                    <w:jc w:val="center"/>
                  </w:pPr>
                  <w:r>
                    <w:t xml:space="preserve">8.23</w:t>
                  </w:r>
                </w:p>
              </w:tc>
              <w:tc>
                <w:tcPr/>
                <w:p>
                  <w:pPr>
                    <w:pStyle w:val="Compact"/>
                    <w:jc w:val="right"/>
                    <w:jc w:val="center"/>
                  </w:pPr>
                  <w:r>
                    <w:t xml:space="preserve">-6.23</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0.184</w:t>
                  </w:r>
                </w:p>
              </w:tc>
              <w:tc>
                <w:tcPr/>
                <w:p>
                  <w:pPr>
                    <w:pStyle w:val="Compact"/>
                    <w:jc w:val="right"/>
                    <w:jc w:val="center"/>
                  </w:pPr>
                  <w:r>
                    <w:t xml:space="preserve">8.19</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(MSE)</w:t>
                  </w:r>
                </w:p>
              </w:tc>
              <w:tc>
                <w:tcPr/>
                <w:p>
                  <w:pPr>
                    <w:pStyle w:val="Compact"/>
                    <w:jc w:val="right"/>
                    <w:jc w:val="center"/>
                  </w:pPr>
                  <w:r>
                    <w:t xml:space="preserve">-0.166</w:t>
                  </w:r>
                </w:p>
              </w:tc>
              <w:tc>
                <w:tcPr/>
                <w:p>
                  <w:pPr>
                    <w:pStyle w:val="Compact"/>
                    <w:jc w:val="right"/>
                    <w:jc w:val="center"/>
                  </w:pPr>
                  <w:r>
                    <w:t xml:space="preserve">21.79</w:t>
                  </w:r>
                </w:p>
              </w:tc>
              <w:tc>
                <w:tcPr/>
                <w:p>
                  <w:pPr>
                    <w:pStyle w:val="Compact"/>
                    <w:jc w:val="right"/>
                    <w:jc w:val="center"/>
                  </w:pPr>
                  <w:r>
                    <w:t xml:space="preserve">-0.50</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(NLL)</w:t>
                  </w:r>
                </w:p>
              </w:tc>
              <w:tc>
                <w:tcPr/>
                <w:p>
                  <w:pPr>
                    <w:pStyle w:val="Compact"/>
                    <w:jc w:val="right"/>
                    <w:jc w:val="center"/>
                  </w:pPr>
                  <w:r>
                    <w:t xml:space="preserve">-0.226</w:t>
                  </w:r>
                </w:p>
              </w:tc>
              <w:tc>
                <w:tcPr/>
                <w:p>
                  <w:pPr>
                    <w:pStyle w:val="Compact"/>
                    <w:jc w:val="right"/>
                    <w:jc w:val="center"/>
                  </w:pPr>
                  <w:r>
                    <w:t xml:space="preserve">24.03</w:t>
                  </w:r>
                </w:p>
              </w:tc>
              <w:tc>
                <w:tcPr/>
                <w:p>
                  <w:pPr>
                    <w:pStyle w:val="Compact"/>
                    <w:jc w:val="right"/>
                    <w:jc w:val="center"/>
                  </w:pPr>
                  <w:r>
                    <w:t xml:space="preserve">1.80</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Individual SL</w:t>
                  </w:r>
                </w:p>
              </w:tc>
              <w:tc>
                <w:tcPr/>
                <w:p>
                  <w:pPr>
                    <w:pStyle w:val="Compact"/>
                    <w:jc w:val="right"/>
                    <w:jc w:val="center"/>
                  </w:pPr>
                  <w:r>
                    <w:t xml:space="preserve">-0.223</w:t>
                  </w:r>
                </w:p>
              </w:tc>
              <w:tc>
                <w:tcPr/>
                <w:p>
                  <w:pPr>
                    <w:pStyle w:val="Compact"/>
                    <w:jc w:val="right"/>
                    <w:jc w:val="center"/>
                  </w:pPr>
                  <w:r>
                    <w:t xml:space="preserve">20.23</w:t>
                  </w:r>
                </w:p>
              </w:tc>
              <w:tc>
                <w:tcPr/>
                <w:p>
                  <w:pPr>
                    <w:pStyle w:val="Compact"/>
                    <w:jc w:val="right"/>
                    <w:jc w:val="center"/>
                  </w:pPr>
                  <w:r>
                    <w:t xml:space="preserve">0.50</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0.130</w:t>
                  </w:r>
                </w:p>
              </w:tc>
              <w:tc>
                <w:tcPr/>
                <w:p>
                  <w:pPr>
                    <w:pStyle w:val="Compact"/>
                    <w:jc w:val="right"/>
                    <w:jc w:val="center"/>
                  </w:pPr>
                  <w:r>
                    <w:t xml:space="preserve">4.54</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-0.063</w:t>
                  </w:r>
                </w:p>
              </w:tc>
              <w:tc>
                <w:tcPr/>
                <w:p>
                  <w:pPr>
                    <w:pStyle w:val="Compact"/>
                    <w:jc w:val="right"/>
                    <w:jc w:val="center"/>
                  </w:pPr>
                  <w:r>
                    <w:t xml:space="preserve">3.41</w:t>
                  </w:r>
                </w:p>
              </w:tc>
              <w:tc>
                <w:tcPr/>
                <w:p>
                  <w:pPr>
                    <w:pStyle w:val="Compact"/>
                    <w:jc w:val="right"/>
                    <w:jc w:val="center"/>
                  </w:pPr>
                  <w:r>
                    <w:t xml:space="preserve">-2.32</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0.402</w:t>
                  </w:r>
                </w:p>
              </w:tc>
              <w:tc>
                <w:tcPr/>
                <w:p>
                  <w:pPr>
                    <w:pStyle w:val="Compact"/>
                    <w:jc w:val="right"/>
                    <w:jc w:val="center"/>
                  </w:pPr>
                  <w:r>
                    <w:t xml:space="preserve">4.06</w:t>
                  </w:r>
                </w:p>
              </w:tc>
              <w:tc>
                <w:tcPr/>
                <w:p>
                  <w:pPr>
                    <w:pStyle w:val="Compact"/>
                    <w:jc w:val="right"/>
                    <w:jc w:val="center"/>
                  </w:pPr>
                  <w:r>
                    <w:t xml:space="preserve">0.40</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0.360</w:t>
                  </w:r>
                </w:p>
              </w:tc>
              <w:tc>
                <w:tcPr/>
                <w:p>
                  <w:pPr>
                    <w:pStyle w:val="Compact"/>
                    <w:jc w:val="right"/>
                    <w:jc w:val="center"/>
                  </w:pPr>
                  <w:r>
                    <w:t xml:space="preserve">15.53</w:t>
                  </w:r>
                </w:p>
              </w:tc>
              <w:tc>
                <w:tcPr/>
                <w:p>
                  <w:pPr>
                    <w:pStyle w:val="Compact"/>
                    <w:jc w:val="right"/>
                    <w:jc w:val="center"/>
                  </w:pPr>
                  <w:r>
                    <w:t xml:space="preserve">0.56</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0.283</w:t>
                  </w:r>
                </w:p>
              </w:tc>
              <w:tc>
                <w:tcPr/>
                <w:p>
                  <w:pPr>
                    <w:pStyle w:val="Compact"/>
                    <w:jc w:val="right"/>
                    <w:jc w:val="center"/>
                  </w:pPr>
                  <w:r>
                    <w:t xml:space="preserve">16.84</w:t>
                  </w:r>
                </w:p>
              </w:tc>
              <w:tc>
                <w:tcPr/>
                <w:p>
                  <w:pPr>
                    <w:pStyle w:val="Compact"/>
                    <w:jc w:val="right"/>
                    <w:jc w:val="center"/>
                  </w:pPr>
                  <w:r>
                    <w:t xml:space="preserve">-10.89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0.563</w:t>
                  </w:r>
                </w:p>
              </w:tc>
              <w:tc>
                <w:tcPr/>
                <w:p>
                  <w:pPr>
                    <w:pStyle w:val="Compact"/>
                    <w:jc w:val="right"/>
                    <w:jc w:val="center"/>
                  </w:pPr>
                  <w:r>
                    <w:t xml:space="preserve">12.95</w:t>
                  </w:r>
                </w:p>
              </w:tc>
              <w:tc>
                <w:tcPr/>
                <w:p>
                  <w:pPr>
                    <w:pStyle w:val="Compact"/>
                    <w:jc w:val="right"/>
                    <w:jc w:val="center"/>
                  </w:pPr>
                  <w:r>
                    <w:t xml:space="preserve">0.79</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0.109</w:t>
                  </w:r>
                </w:p>
              </w:tc>
              <w:tc>
                <w:tcPr/>
                <w:p>
                  <w:pPr>
                    <w:pStyle w:val="Compact"/>
                    <w:jc w:val="right"/>
                    <w:jc w:val="center"/>
                  </w:pPr>
                  <w:r>
                    <w:t xml:space="preserve">14.53</w:t>
                  </w:r>
                </w:p>
              </w:tc>
              <w:tc>
                <w:tcPr/>
                <w:p>
                  <w:pPr>
                    <w:pStyle w:val="Compact"/>
                    <w:jc w:val="right"/>
                    <w:jc w:val="center"/>
                  </w:pPr>
                  <w:r>
                    <w:t xml:space="preserve">0.27</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0.076</w:t>
                  </w:r>
                </w:p>
              </w:tc>
              <w:tc>
                <w:tcPr/>
                <w:p>
                  <w:pPr>
                    <w:pStyle w:val="Compact"/>
                    <w:jc w:val="right"/>
                    <w:jc w:val="center"/>
                  </w:pPr>
                  <w:r>
                    <w:t xml:space="preserve">15.36</w:t>
                  </w:r>
                </w:p>
              </w:tc>
              <w:tc>
                <w:tcPr/>
                <w:p>
                  <w:pPr>
                    <w:pStyle w:val="Compact"/>
                    <w:jc w:val="right"/>
                    <w:jc w:val="center"/>
                  </w:pPr>
                  <w:r>
                    <w:t xml:space="preserve">-11.31</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0.301</w:t>
                  </w:r>
                </w:p>
              </w:tc>
              <w:tc>
                <w:tcPr/>
                <w:p>
                  <w:pPr>
                    <w:pStyle w:val="Compact"/>
                    <w:jc w:val="right"/>
                    <w:jc w:val="center"/>
                  </w:pPr>
                  <w:r>
                    <w:t xml:space="preserve">13.48</w:t>
                  </w:r>
                </w:p>
              </w:tc>
              <w:tc>
                <w:tcPr/>
                <w:p>
                  <w:pPr>
                    <w:pStyle w:val="Compact"/>
                    <w:jc w:val="right"/>
                    <w:jc w:val="center"/>
                  </w:pPr>
                  <w:r>
                    <w:t xml:space="preserve">-7.97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-0.109</w:t>
                  </w:r>
                </w:p>
              </w:tc>
              <w:tc>
                <w:tcPr/>
                <w:p>
                  <w:pPr>
                    <w:pStyle w:val="Compact"/>
                    <w:jc w:val="right"/>
                    <w:jc w:val="center"/>
                  </w:pPr>
                  <w:r>
                    <w:t xml:space="preserve">3.03</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-0.109</w:t>
                  </w:r>
                </w:p>
              </w:tc>
              <w:tc>
                <w:tcPr/>
                <w:p>
                  <w:pPr>
                    <w:pStyle w:val="Compact"/>
                    <w:jc w:val="right"/>
                    <w:jc w:val="center"/>
                  </w:pPr>
                  <w:r>
                    <w:t xml:space="preserve">1.81</w:t>
                  </w:r>
                </w:p>
              </w:tc>
              <w:tc>
                <w:tcPr/>
                <w:p>
                  <w:pPr>
                    <w:pStyle w:val="Compact"/>
                    <w:jc w:val="right"/>
                    <w:jc w:val="center"/>
                  </w:pPr>
                  <w:r>
                    <w:t xml:space="preserve">-1.35</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0.116</w:t>
                  </w:r>
                </w:p>
              </w:tc>
              <w:tc>
                <w:tcPr/>
                <w:p>
                  <w:pPr>
                    <w:pStyle w:val="Compact"/>
                    <w:jc w:val="right"/>
                    <w:jc w:val="center"/>
                  </w:pPr>
                  <w:r>
                    <w:t xml:space="preserve">2.05</w:t>
                  </w:r>
                </w:p>
              </w:tc>
              <w:tc>
                <w:tcPr/>
                <w:p>
                  <w:pPr>
                    <w:pStyle w:val="Compact"/>
                    <w:jc w:val="right"/>
                    <w:jc w:val="center"/>
                  </w:pPr>
                  <w:r>
                    <w:t xml:space="preserve">-0.84</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(MSE)</w:t>
                  </w:r>
                </w:p>
              </w:tc>
              <w:tc>
                <w:tcPr/>
                <w:p>
                  <w:pPr>
                    <w:pStyle w:val="Compact"/>
                    <w:jc w:val="right"/>
                    <w:jc w:val="center"/>
                  </w:pPr>
                  <w:r>
                    <w:t xml:space="preserve">-0.288</w:t>
                  </w:r>
                </w:p>
              </w:tc>
              <w:tc>
                <w:tcPr/>
                <w:p>
                  <w:pPr>
                    <w:pStyle w:val="Compact"/>
                    <w:jc w:val="right"/>
                    <w:jc w:val="center"/>
                  </w:pPr>
                  <w:r>
                    <w:t xml:space="preserve">25.24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(NLL)</w:t>
                  </w:r>
                </w:p>
              </w:tc>
              <w:tc>
                <w:tcPr/>
                <w:p>
                  <w:pPr>
                    <w:pStyle w:val="Compact"/>
                    <w:jc w:val="right"/>
                    <w:jc w:val="center"/>
                  </w:pPr>
                  <w:r>
                    <w:t xml:space="preserve">-0.220</w:t>
                  </w:r>
                </w:p>
              </w:tc>
              <w:tc>
                <w:tcPr/>
                <w:p>
                  <w:pPr>
                    <w:pStyle w:val="Compact"/>
                    <w:jc w:val="right"/>
                    <w:jc w:val="center"/>
                  </w:pPr>
                  <w:r>
                    <w:t xml:space="preserve">28.03</w:t>
                  </w:r>
                </w:p>
              </w:tc>
              <w:tc>
                <w:tcPr/>
                <w:p>
                  <w:pPr>
                    <w:pStyle w:val="Compact"/>
                    <w:jc w:val="right"/>
                    <w:jc w:val="center"/>
                  </w:pPr>
                  <w:r>
                    <w:t xml:space="preserve">15.98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Individual SL</w:t>
                  </w:r>
                </w:p>
              </w:tc>
              <w:tc>
                <w:tcPr/>
                <w:p>
                  <w:pPr>
                    <w:pStyle w:val="Compact"/>
                    <w:jc w:val="right"/>
                    <w:jc w:val="center"/>
                  </w:pPr>
                  <w:r>
                    <w:t xml:space="preserve">0.148</w:t>
                  </w:r>
                </w:p>
              </w:tc>
              <w:tc>
                <w:tcPr/>
                <w:p>
                  <w:pPr>
                    <w:pStyle w:val="Compact"/>
                    <w:jc w:val="right"/>
                    <w:jc w:val="center"/>
                  </w:pPr>
                  <w:r>
                    <w:t xml:space="preserve">21.69</w:t>
                  </w:r>
                </w:p>
              </w:tc>
              <w:tc>
                <w:tcPr/>
                <w:p>
                  <w:pPr>
                    <w:pStyle w:val="Compact"/>
                    <w:jc w:val="right"/>
                    <w:jc w:val="center"/>
                  </w:pPr>
                  <w:r>
                    <w:t xml:space="preserve">-0.90</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-0.281</w:t>
                  </w:r>
                </w:p>
              </w:tc>
              <w:tc>
                <w:tcPr/>
                <w:p>
                  <w:pPr>
                    <w:pStyle w:val="Compact"/>
                    <w:jc w:val="right"/>
                    <w:jc w:val="center"/>
                  </w:pPr>
                  <w:r>
                    <w:t xml:space="preserve">4.57</w:t>
                  </w:r>
                </w:p>
              </w:tc>
              <w:tc>
                <w:tcPr/>
                <w:p>
                  <w:pPr>
                    <w:pStyle w:val="Compact"/>
                    <w:jc w:val="right"/>
                    <w:jc w:val="center"/>
                  </w:pPr>
                  <w:r>
                    <w:t xml:space="preserve">-0.22</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-0.293</w:t>
                  </w:r>
                </w:p>
              </w:tc>
              <w:tc>
                <w:tcPr/>
                <w:p>
                  <w:pPr>
                    <w:pStyle w:val="Compact"/>
                    <w:jc w:val="right"/>
                    <w:jc w:val="center"/>
                  </w:pPr>
                  <w:r>
                    <w:t xml:space="preserve">5.58</w:t>
                  </w:r>
                </w:p>
              </w:tc>
              <w:tc>
                <w:tcPr/>
                <w:p>
                  <w:pPr>
                    <w:pStyle w:val="Compact"/>
                    <w:jc w:val="right"/>
                    <w:jc w:val="center"/>
                  </w:pPr>
                  <w:r>
                    <w:t xml:space="preserve">-1.35</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0.594</w:t>
                  </w:r>
                </w:p>
              </w:tc>
              <w:tc>
                <w:tcPr/>
                <w:p>
                  <w:pPr>
                    <w:pStyle w:val="Compact"/>
                    <w:jc w:val="right"/>
                    <w:jc w:val="center"/>
                  </w:pPr>
                  <w:r>
                    <w:t xml:space="preserve">2.86</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-0.624</w:t>
                  </w:r>
                </w:p>
              </w:tc>
              <w:tc>
                <w:tcPr/>
                <w:p>
                  <w:pPr>
                    <w:pStyle w:val="Compact"/>
                    <w:jc w:val="right"/>
                    <w:jc w:val="center"/>
                  </w:pPr>
                  <w:r>
                    <w:t xml:space="preserve">6.42</w:t>
                  </w:r>
                </w:p>
              </w:tc>
              <w:tc>
                <w:tcPr/>
                <w:p>
                  <w:pPr>
                    <w:pStyle w:val="Compact"/>
                    <w:jc w:val="right"/>
                    <w:jc w:val="center"/>
                  </w:pPr>
                  <w:r>
                    <w:t xml:space="preserve">0.65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-0.246</w:t>
                  </w:r>
                </w:p>
              </w:tc>
              <w:tc>
                <w:tcPr/>
                <w:p>
                  <w:pPr>
                    <w:pStyle w:val="Compact"/>
                    <w:jc w:val="right"/>
                    <w:jc w:val="center"/>
                  </w:pPr>
                  <w:r>
                    <w:t xml:space="preserve">6.04</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0.569</w:t>
                  </w:r>
                </w:p>
              </w:tc>
              <w:tc>
                <w:tcPr/>
                <w:p>
                  <w:pPr>
                    <w:pStyle w:val="Compact"/>
                    <w:jc w:val="right"/>
                    <w:jc w:val="center"/>
                  </w:pPr>
                  <w:r>
                    <w:t xml:space="preserve">3.88</w:t>
                  </w:r>
                </w:p>
              </w:tc>
              <w:tc>
                <w:tcPr/>
                <w:p>
                  <w:pPr>
                    <w:pStyle w:val="Compact"/>
                    <w:jc w:val="right"/>
                    <w:jc w:val="center"/>
                  </w:pPr>
                  <w:r>
                    <w:t xml:space="preserve">1.27</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-0.572</w:t>
                  </w:r>
                </w:p>
              </w:tc>
              <w:tc>
                <w:tcPr/>
                <w:p>
                  <w:pPr>
                    <w:pStyle w:val="Compact"/>
                    <w:jc w:val="right"/>
                    <w:jc w:val="center"/>
                  </w:pPr>
                  <w:r>
                    <w:t xml:space="preserve">0.73</w:t>
                  </w:r>
                </w:p>
              </w:tc>
              <w:tc>
                <w:tcPr/>
                <w:p>
                  <w:pPr>
                    <w:pStyle w:val="Compact"/>
                    <w:jc w:val="right"/>
                    <w:jc w:val="center"/>
                  </w:pPr>
                  <w:r>
                    <w:t xml:space="preserve">0.08</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-0.438</w:t>
                  </w:r>
                </w:p>
              </w:tc>
              <w:tc>
                <w:tcPr/>
                <w:p>
                  <w:pPr>
                    <w:pStyle w:val="Compact"/>
                    <w:jc w:val="right"/>
                    <w:jc w:val="center"/>
                  </w:pPr>
                  <w:r>
                    <w:t xml:space="preserve">0.58</w:t>
                  </w:r>
                </w:p>
              </w:tc>
              <w:tc>
                <w:tcPr/>
                <w:p>
                  <w:pPr>
                    <w:pStyle w:val="Compact"/>
                    <w:jc w:val="right"/>
                    <w:jc w:val="center"/>
                  </w:pPr>
                  <w:r>
                    <w:t xml:space="preserve">-0.14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-0.290</w:t>
                  </w:r>
                </w:p>
              </w:tc>
              <w:tc>
                <w:tcPr/>
                <w:p>
                  <w:pPr>
                    <w:pStyle w:val="Compact"/>
                    <w:jc w:val="right"/>
                    <w:jc w:val="center"/>
                  </w:pPr>
                  <w:r>
                    <w:t xml:space="preserve">0.67</w:t>
                  </w:r>
                </w:p>
              </w:tc>
              <w:tc>
                <w:tcPr/>
                <w:p>
                  <w:pPr>
                    <w:pStyle w:val="Compact"/>
                    <w:jc w:val="right"/>
                    <w:jc w:val="center"/>
                  </w:pPr>
                  <w:r>
                    <w:t xml:space="preserve">0.10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-0.166</w:t>
                  </w:r>
                </w:p>
              </w:tc>
              <w:tc>
                <w:tcPr/>
                <w:p>
                  <w:pPr>
                    <w:pStyle w:val="Compact"/>
                    <w:jc w:val="right"/>
                    <w:jc w:val="center"/>
                  </w:pPr>
                  <w:r>
                    <w:t xml:space="preserve">10.37</w:t>
                  </w:r>
                </w:p>
              </w:tc>
              <w:tc>
                <w:tcPr/>
                <w:p>
                  <w:pPr>
                    <w:pStyle w:val="Compact"/>
                    <w:jc w:val="right"/>
                    <w:jc w:val="center"/>
                  </w:pPr>
                  <w:r>
                    <w:t xml:space="preserve">-1.90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0.218</w:t>
                  </w:r>
                </w:p>
              </w:tc>
              <w:tc>
                <w:tcPr/>
                <w:p>
                  <w:pPr>
                    <w:pStyle w:val="Compact"/>
                    <w:jc w:val="right"/>
                    <w:jc w:val="center"/>
                  </w:pPr>
                  <w:r>
                    <w:t xml:space="preserve">13.28</w:t>
                  </w:r>
                </w:p>
              </w:tc>
              <w:tc>
                <w:tcPr/>
                <w:p>
                  <w:pPr>
                    <w:pStyle w:val="Compact"/>
                    <w:jc w:val="right"/>
                    <w:jc w:val="center"/>
                  </w:pPr>
                  <w:r>
                    <w:t xml:space="preserve">-2.53</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0.871</w:t>
                  </w:r>
                </w:p>
              </w:tc>
              <w:tc>
                <w:tcPr/>
                <w:p>
                  <w:pPr>
                    <w:pStyle w:val="Compact"/>
                    <w:jc w:val="right"/>
                    <w:jc w:val="center"/>
                  </w:pPr>
                  <w:r>
                    <w:t xml:space="preserve">4.98</w:t>
                  </w:r>
                </w:p>
              </w:tc>
              <w:tc>
                <w:tcPr/>
                <w:p>
                  <w:pPr>
                    <w:pStyle w:val="Compact"/>
                    <w:jc w:val="right"/>
                    <w:jc w:val="center"/>
                  </w:pPr>
                  <w:r>
                    <w:t xml:space="preserve">-3.20</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-0.158</w:t>
                  </w:r>
                </w:p>
              </w:tc>
              <w:tc>
                <w:tcPr/>
                <w:p>
                  <w:pPr>
                    <w:pStyle w:val="Compact"/>
                    <w:jc w:val="right"/>
                    <w:jc w:val="center"/>
                  </w:pPr>
                  <w:r>
                    <w:t xml:space="preserve">7.80</w:t>
                  </w:r>
                </w:p>
              </w:tc>
              <w:tc>
                <w:tcPr/>
                <w:p>
                  <w:pPr>
                    <w:pStyle w:val="Compact"/>
                    <w:jc w:val="right"/>
                    <w:jc w:val="center"/>
                  </w:pPr>
                  <w:r>
                    <w:t xml:space="preserve">-2.36</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-0.235</w:t>
                  </w:r>
                </w:p>
              </w:tc>
              <w:tc>
                <w:tcPr/>
                <w:p>
                  <w:pPr>
                    <w:pStyle w:val="Compact"/>
                    <w:jc w:val="right"/>
                    <w:jc w:val="center"/>
                  </w:pPr>
                  <w:r>
                    <w:t xml:space="preserve">8.39</w:t>
                  </w:r>
                </w:p>
              </w:tc>
              <w:tc>
                <w:tcPr/>
                <w:p>
                  <w:pPr>
                    <w:pStyle w:val="Compact"/>
                    <w:jc w:val="right"/>
                    <w:jc w:val="center"/>
                  </w:pPr>
                  <w:r>
                    <w:t xml:space="preserve">-3.20</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0.542</w:t>
                  </w:r>
                </w:p>
              </w:tc>
              <w:tc>
                <w:tcPr/>
                <w:p>
                  <w:pPr>
                    <w:pStyle w:val="Compact"/>
                    <w:jc w:val="right"/>
                    <w:jc w:val="center"/>
                  </w:pPr>
                  <w:r>
                    <w:t xml:space="preserve">8.61</w:t>
                  </w:r>
                </w:p>
              </w:tc>
              <w:tc>
                <w:tcPr/>
                <w:p>
                  <w:pPr>
                    <w:pStyle w:val="Compact"/>
                    <w:jc w:val="right"/>
                    <w:jc w:val="center"/>
                  </w:pPr>
                  <w:r>
                    <w:t xml:space="preserve">-8.31</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-0.588</w:t>
                  </w:r>
                </w:p>
              </w:tc>
              <w:tc>
                <w:tcPr/>
                <w:p>
                  <w:pPr>
                    <w:pStyle w:val="Compact"/>
                    <w:jc w:val="right"/>
                    <w:jc w:val="center"/>
                  </w:pPr>
                  <w:r>
                    <w:t xml:space="preserve">1.46</w:t>
                  </w:r>
                </w:p>
              </w:tc>
              <w:tc>
                <w:tcPr/>
                <w:p>
                  <w:pPr>
                    <w:pStyle w:val="Compact"/>
                    <w:jc w:val="right"/>
                    <w:jc w:val="center"/>
                  </w:pPr>
                  <w:r>
                    <w:t xml:space="preserve">0.17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-0.633</w:t>
                  </w:r>
                </w:p>
              </w:tc>
              <w:tc>
                <w:tcPr/>
                <w:p>
                  <w:pPr>
                    <w:pStyle w:val="Compact"/>
                    <w:jc w:val="right"/>
                    <w:jc w:val="center"/>
                  </w:pPr>
                  <w:r>
                    <w:t xml:space="preserve">1.69</w:t>
                  </w:r>
                </w:p>
              </w:tc>
              <w:tc>
                <w:tcPr/>
                <w:p>
                  <w:pPr>
                    <w:pStyle w:val="Compact"/>
                    <w:jc w:val="right"/>
                    <w:jc w:val="center"/>
                  </w:pPr>
                  <w:r>
                    <w:t xml:space="preserve">-0.48</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0.549</w:t>
                  </w:r>
                </w:p>
              </w:tc>
              <w:tc>
                <w:tcPr/>
                <w:p>
                  <w:pPr>
                    <w:pStyle w:val="Compact"/>
                    <w:jc w:val="right"/>
                    <w:jc w:val="center"/>
                  </w:pPr>
                  <w:r>
                    <w:t xml:space="preserve">1.07</w:t>
                  </w:r>
                </w:p>
              </w:tc>
              <w:tc>
                <w:tcPr/>
                <w:p>
                  <w:pPr>
                    <w:pStyle w:val="Compact"/>
                    <w:jc w:val="right"/>
                    <w:jc w:val="center"/>
                  </w:pPr>
                  <w:r>
                    <w:t xml:space="preserve">0.38</w:t>
                  </w:r>
                </w:p>
              </w:tc>
            </w:tr>
          </w:tbl>
          <w:bookmarkEnd w:id="29"/>
          <w:p/>
        </w:tc>
      </w:tr>
    </w:tbl>
    <w:p>
      <w:pPr>
        <w:pStyle w:val="BodyText"/>
      </w:pPr>
      <w:r>
        <w:t xml:space="preserve">In contrast, the aggregated individual-level SuperLearner exhibited a</w:t>
      </w:r>
      <w:r>
        <w:t xml:space="preserve"> </w:t>
      </w:r>
      <w:r>
        <w:t xml:space="preserve">characteristic compression pattern: predictions correlated moderately</w:t>
      </w:r>
      <w:r>
        <w:t xml:space="preserve"> </w:t>
      </w:r>
      <w:r>
        <w:t xml:space="preserve">with admin-2 prevalence (median r ≈ 0.50) but were systematically pulled</w:t>
      </w:r>
      <w:r>
        <w:t xml:space="preserve"> </w:t>
      </w:r>
      <w:r>
        <w:t xml:space="preserve">toward the country mean. For high-prevalence outcomes this produced</w:t>
      </w:r>
      <w:r>
        <w:t xml:space="preserve"> </w:t>
      </w:r>
      <w:r>
        <w:t xml:space="preserve">large negative biases of 8 to 20 percentage points (e.g., Gambia</w:t>
      </w:r>
      <w:r>
        <w:t xml:space="preserve"> </w:t>
      </w:r>
      <w:r>
        <w:t xml:space="preserve">child-iron MAE 20.8 pp, bias −20.4 pp; women-iron MAE 18.0 pp, bias</w:t>
      </w:r>
      <w:r>
        <w:t xml:space="preserve"> </w:t>
      </w:r>
      <w:r>
        <w:t xml:space="preserve">−18.0 pp). The mechanism is straightforward and consistent with the</w:t>
      </w:r>
      <w:r>
        <w:t xml:space="preserve"> </w:t>
      </w:r>
      <w:r>
        <w:t xml:space="preserve">small-area-estimation literature</w:t>
      </w:r>
      <w:r>
        <w:t xml:space="preserve"> </w:t>
      </w:r>
      <w:r>
        <w:t xml:space="preserve">(Mercer et al. 2015; Wakefield, Okonek, and Pedersen 2020)</w:t>
      </w:r>
      <w:r>
        <w:t xml:space="preserve">: a probabilistic individual-level classifier under</w:t>
      </w:r>
      <w:r>
        <w:t xml:space="preserve"> </w:t>
      </w:r>
      <w:r>
        <w:t xml:space="preserve">uncertainty shrinks toward the marginal class probability, and naive</w:t>
      </w:r>
      <w:r>
        <w:t xml:space="preserve"> </w:t>
      </w:r>
      <w:r>
        <w:t xml:space="preserve">aggregation propagates this shrinkage to area-level means. The recipe</w:t>
      </w:r>
      <w:r>
        <w:t xml:space="preserve"> </w:t>
      </w:r>
      <w:r>
        <w:t xml:space="preserve">to avoid it —</w:t>
      </w:r>
      <w:r>
        <w:t xml:space="preserve"> </w:t>
      </w:r>
      <w:r>
        <w:rPr>
          <w:i/>
          <w:iCs/>
        </w:rPr>
        <w:t xml:space="preserve">fit at the unit of deliverable</w:t>
      </w:r>
      <w:r>
        <w:t xml:space="preserve"> </w:t>
      </w:r>
      <w:r>
        <w:t xml:space="preserve">— is the</w:t>
      </w:r>
      <w:r>
        <w:t xml:space="preserve"> </w:t>
      </w:r>
      <w:r>
        <w:t xml:space="preserve">small-area-estimation lesson.</w:t>
      </w:r>
    </w:p>
    <w:bookmarkEnd w:id="30"/>
    <w:bookmarkStart w:id="41" w:name="cross-country-transportability"/>
    <w:p>
      <w:pPr>
        <w:pStyle w:val="Heading2"/>
      </w:pPr>
      <w:r>
        <w:t xml:space="preserve">3.3 Cross-country transportability</w:t>
      </w:r>
    </w:p>
    <w:p>
      <w:pPr>
        <w:pStyle w:val="FirstParagraph"/>
      </w:pPr>
      <w:r>
        <w:t xml:space="preserve">LOCO holdout produced markedly weaker performance (</w:t>
      </w:r>
      <w:hyperlink w:anchor="tbl-loco">
        <w:r>
          <w:rPr>
            <w:rStyle w:val="Hyperlink"/>
          </w:rPr>
          <w:t xml:space="preserve">Table 3</w:t>
        </w:r>
      </w:hyperlink>
      <w:r>
        <w:t xml:space="preserve">;</w:t>
      </w:r>
      <w:r>
        <w:t xml:space="preserve"> </w:t>
      </w:r>
      <w:hyperlink w:anchor="fig-loco-scatter">
        <w:r>
          <w:rPr>
            <w:rStyle w:val="Hyperlink"/>
          </w:rPr>
          <w:t xml:space="preserve">Figure 1</w:t>
        </w:r>
      </w:hyperlink>
      <w:r>
        <w:t xml:space="preserve">). Pearson r across the 16 outcome–holdout</w:t>
      </w:r>
      <w:r>
        <w:t xml:space="preserve"> </w:t>
      </w:r>
      <w:r>
        <w:t xml:space="preserve">combinations had a median of 0.21 and ranged from −0.14 to 0.53 (one</w:t>
      </w:r>
      <w:r>
        <w:t xml:space="preserve"> </w:t>
      </w:r>
      <w:r>
        <w:t xml:space="preserve">holdout — women vitamin A in Gambia — was unestimable because no</w:t>
      </w:r>
      <w:r>
        <w:t xml:space="preserve"> </w:t>
      </w:r>
      <w:r>
        <w:t xml:space="preserve">covariate survived selection). Iron deficiency outcomes transported best</w:t>
      </w:r>
      <w:r>
        <w:t xml:space="preserve"> </w:t>
      </w:r>
      <w:r>
        <w:t xml:space="preserve">(median r 0.28), while vitamin-A deficiency in women essentially did not</w:t>
      </w:r>
      <w:r>
        <w:t xml:space="preserve"> </w:t>
      </w:r>
      <w:r>
        <w:t xml:space="preserve">transport across countries (median r ≈ −0.12, with anti-predictive</w:t>
      </w:r>
      <w:r>
        <w:t xml:space="preserve"> </w:t>
      </w:r>
      <w:r>
        <w:t xml:space="preserve">ordering in two of three estimable holdouts).</w:t>
      </w:r>
    </w:p>
    <w:tbl>
      <w:tblPr>
        <w:tblStyle w:val="Table"/>
        <w:tblW w:type="pct" w:w="5000"/>
        <w:tblLayout w:type="fixed"/>
        <w:tblLook w:firstRow="0" w:lastRow="0" w:firstColumn="0" w:lastColumn="0" w:noHBand="0" w:noVBand="0" w:val="0000"/>
      </w:tblPr>
      <w:tblGrid>
        <w:gridCol w:w="7920"/>
      </w:tblGrid>
      <w:tr>
        <w:tc>
          <w:tcPr/>
          <w:bookmarkStart w:id="31" w:name="tbl-loco"/>
          <w:p>
            <w:pPr>
              <w:jc w:val="center"/>
            </w:pPr>
            <w:pPr>
              <w:jc w:val="start"/>
              <w:spacing w:before="200"/>
              <w:pStyle w:val="ImageCaption"/>
            </w:pPr>
            <w:r>
              <w:t xml:space="preserve">Table 3: Leave-one-country-out (LOCO) transportability of the area-level SuperLearner. From results/tables/transportability_area_loco_metrics.csv.</w:t>
            </w:r>
          </w:p>
          <w:tbl>
            <w:tblPr>
              <w:tblStyle w:val="Table"/>
              <w:tblW w:type="pct" w:w="5000"/>
              <w:tblLayout w:type="fixed"/>
              <w:tblLook w:firstRow="1" w:lastRow="0" w:firstColumn="0" w:lastColumn="0" w:noHBand="0" w:noVBand="0" w:val="0020"/>
            </w:tblPr>
            <w:tblGrid>
              <w:gridCol w:w="1049"/>
              <w:gridCol w:w="1145"/>
              <w:gridCol w:w="763"/>
              <w:gridCol w:w="667"/>
              <w:gridCol w:w="667"/>
              <w:gridCol w:w="667"/>
              <w:gridCol w:w="858"/>
              <w:gridCol w:w="954"/>
              <w:gridCol w:w="1145"/>
            </w:tblGrid>
            <w:tr>
              <w:trPr>
                <w:tblHeader w:val="on"/>
              </w:trPr>
              <w:tc>
                <w:tcPr/>
                <w:p>
                  <w:pPr>
                    <w:pStyle w:val="Compact"/>
                    <w:jc w:val="left"/>
                    <w:jc w:val="center"/>
                  </w:pPr>
                  <w:r>
                    <w:t xml:space="preserve">Outcome</w:t>
                  </w:r>
                </w:p>
              </w:tc>
              <w:tc>
                <w:tcPr/>
                <w:p>
                  <w:pPr>
                    <w:pStyle w:val="Compact"/>
                    <w:jc w:val="left"/>
                    <w:jc w:val="center"/>
                  </w:pPr>
                  <w:r>
                    <w:t xml:space="preserve">Held out</w:t>
                  </w:r>
                </w:p>
              </w:tc>
              <w:tc>
                <w:tcPr/>
                <w:p>
                  <w:pPr>
                    <w:pStyle w:val="Compact"/>
                    <w:jc w:val="right"/>
                    <w:jc w:val="center"/>
                  </w:pPr>
                  <w:r>
                    <w:t xml:space="preserve">n train</w:t>
                  </w:r>
                </w:p>
              </w:tc>
              <w:tc>
                <w:tcPr/>
                <w:p>
                  <w:pPr>
                    <w:pStyle w:val="Compact"/>
                    <w:jc w:val="right"/>
                    <w:jc w:val="center"/>
                  </w:pPr>
                  <w:r>
                    <w:t xml:space="preserve">n test</w:t>
                  </w:r>
                </w:p>
              </w:tc>
              <w:tc>
                <w:tcPr/>
                <w:p>
                  <w:pPr>
                    <w:pStyle w:val="Compact"/>
                    <w:jc w:val="right"/>
                    <w:jc w:val="center"/>
                  </w:pPr>
                  <w:r>
                    <w:t xml:space="preserve">r</w:t>
                  </w:r>
                </w:p>
              </w:tc>
              <w:tc>
                <w:tcPr/>
                <w:p>
                  <w:pPr>
                    <w:pStyle w:val="Compact"/>
                    <w:jc w:val="right"/>
                    <w:jc w:val="center"/>
                  </w:pPr>
                  <w:r>
                    <w:t xml:space="preserve">ρ</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Calib slope</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0.309</w:t>
                  </w:r>
                </w:p>
              </w:tc>
              <w:tc>
                <w:tcPr/>
                <w:p>
                  <w:pPr>
                    <w:pStyle w:val="Compact"/>
                    <w:jc w:val="right"/>
                    <w:jc w:val="center"/>
                  </w:pPr>
                  <w:r>
                    <w:t xml:space="preserve">0.354</w:t>
                  </w:r>
                </w:p>
              </w:tc>
              <w:tc>
                <w:tcPr/>
                <w:p>
                  <w:pPr>
                    <w:pStyle w:val="Compact"/>
                    <w:jc w:val="right"/>
                    <w:jc w:val="center"/>
                  </w:pPr>
                  <w:r>
                    <w:t xml:space="preserve">11.73</w:t>
                  </w:r>
                </w:p>
              </w:tc>
              <w:tc>
                <w:tcPr/>
                <w:p>
                  <w:pPr>
                    <w:pStyle w:val="Compact"/>
                    <w:jc w:val="right"/>
                    <w:jc w:val="center"/>
                  </w:pPr>
                  <w:r>
                    <w:t xml:space="preserve">-8.20</w:t>
                  </w:r>
                </w:p>
              </w:tc>
              <w:tc>
                <w:tcPr/>
                <w:p>
                  <w:pPr>
                    <w:pStyle w:val="Compact"/>
                    <w:jc w:val="right"/>
                    <w:jc w:val="center"/>
                  </w:pPr>
                  <w:r>
                    <w:t xml:space="preserve">3.14</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0.345</w:t>
                  </w:r>
                </w:p>
              </w:tc>
              <w:tc>
                <w:tcPr/>
                <w:p>
                  <w:pPr>
                    <w:pStyle w:val="Compact"/>
                    <w:jc w:val="right"/>
                    <w:jc w:val="center"/>
                  </w:pPr>
                  <w:r>
                    <w:t xml:space="preserve">0.330</w:t>
                  </w:r>
                </w:p>
              </w:tc>
              <w:tc>
                <w:tcPr/>
                <w:p>
                  <w:pPr>
                    <w:pStyle w:val="Compact"/>
                    <w:jc w:val="right"/>
                    <w:jc w:val="center"/>
                  </w:pPr>
                  <w:r>
                    <w:t xml:space="preserve">9.93</w:t>
                  </w:r>
                </w:p>
              </w:tc>
              <w:tc>
                <w:tcPr/>
                <w:p>
                  <w:pPr>
                    <w:pStyle w:val="Compact"/>
                    <w:jc w:val="right"/>
                    <w:jc w:val="center"/>
                  </w:pPr>
                  <w:r>
                    <w:t xml:space="preserve">-5.81</w:t>
                  </w:r>
                </w:p>
              </w:tc>
              <w:tc>
                <w:tcPr/>
                <w:p>
                  <w:pPr>
                    <w:pStyle w:val="Compact"/>
                    <w:jc w:val="right"/>
                    <w:jc w:val="center"/>
                  </w:pPr>
                  <w:r>
                    <w:t xml:space="preserve">1.14</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0.065</w:t>
                  </w:r>
                </w:p>
              </w:tc>
              <w:tc>
                <w:tcPr/>
                <w:p>
                  <w:pPr>
                    <w:pStyle w:val="Compact"/>
                    <w:jc w:val="right"/>
                    <w:jc w:val="center"/>
                  </w:pPr>
                  <w:r>
                    <w:t xml:space="preserve">0.077</w:t>
                  </w:r>
                </w:p>
              </w:tc>
              <w:tc>
                <w:tcPr/>
                <w:p>
                  <w:pPr>
                    <w:pStyle w:val="Compact"/>
                    <w:jc w:val="right"/>
                    <w:jc w:val="center"/>
                  </w:pPr>
                  <w:r>
                    <w:t xml:space="preserve">5.67</w:t>
                  </w:r>
                </w:p>
              </w:tc>
              <w:tc>
                <w:tcPr/>
                <w:p>
                  <w:pPr>
                    <w:pStyle w:val="Compact"/>
                    <w:jc w:val="right"/>
                    <w:jc w:val="center"/>
                  </w:pPr>
                  <w:r>
                    <w:t xml:space="preserve">-3.97</w:t>
                  </w:r>
                </w:p>
              </w:tc>
              <w:tc>
                <w:tcPr/>
                <w:p>
                  <w:pPr>
                    <w:pStyle w:val="Compact"/>
                    <w:jc w:val="right"/>
                    <w:jc w:val="center"/>
                  </w:pPr>
                  <w:r>
                    <w:t xml:space="preserve">0.45</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-0.159</w:t>
                  </w:r>
                </w:p>
              </w:tc>
              <w:tc>
                <w:tcPr/>
                <w:p>
                  <w:pPr>
                    <w:pStyle w:val="Compact"/>
                    <w:jc w:val="right"/>
                    <w:jc w:val="center"/>
                  </w:pPr>
                  <w:r>
                    <w:t xml:space="preserve">-0.007</w:t>
                  </w:r>
                </w:p>
              </w:tc>
              <w:tc>
                <w:tcPr/>
                <w:p>
                  <w:pPr>
                    <w:pStyle w:val="Compact"/>
                    <w:jc w:val="right"/>
                    <w:jc w:val="center"/>
                  </w:pPr>
                  <w:r>
                    <w:t xml:space="preserve">8.55</w:t>
                  </w:r>
                </w:p>
              </w:tc>
              <w:tc>
                <w:tcPr/>
                <w:p>
                  <w:pPr>
                    <w:pStyle w:val="Compact"/>
                    <w:jc w:val="right"/>
                    <w:jc w:val="center"/>
                  </w:pPr>
                  <w:r>
                    <w:t xml:space="preserve">-6.99</w:t>
                  </w:r>
                </w:p>
              </w:tc>
              <w:tc>
                <w:tcPr/>
                <w:p>
                  <w:pPr>
                    <w:pStyle w:val="Compact"/>
                    <w:jc w:val="right"/>
                    <w:jc w:val="center"/>
                  </w:pPr>
                  <w:r>
                    <w:t xml:space="preserve">-0.97</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3.43</w:t>
                  </w:r>
                </w:p>
              </w:tc>
              <w:tc>
                <w:tcPr/>
                <w:p>
                  <w:pPr>
                    <w:pStyle w:val="Compact"/>
                    <w:jc w:val="right"/>
                    <w:jc w:val="center"/>
                  </w:pPr>
                  <w:r>
                    <w:t xml:space="preserve">-2.61</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0.171</w:t>
                  </w:r>
                </w:p>
              </w:tc>
              <w:tc>
                <w:tcPr/>
                <w:p>
                  <w:pPr>
                    <w:pStyle w:val="Compact"/>
                    <w:jc w:val="right"/>
                    <w:jc w:val="center"/>
                  </w:pPr>
                  <w:r>
                    <w:t xml:space="preserve">0.201</w:t>
                  </w:r>
                </w:p>
              </w:tc>
              <w:tc>
                <w:tcPr/>
                <w:p>
                  <w:pPr>
                    <w:pStyle w:val="Compact"/>
                    <w:jc w:val="right"/>
                    <w:jc w:val="center"/>
                  </w:pPr>
                  <w:r>
                    <w:t xml:space="preserve">2.40</w:t>
                  </w:r>
                </w:p>
              </w:tc>
              <w:tc>
                <w:tcPr/>
                <w:p>
                  <w:pPr>
                    <w:pStyle w:val="Compact"/>
                    <w:jc w:val="right"/>
                    <w:jc w:val="center"/>
                  </w:pPr>
                  <w:r>
                    <w:t xml:space="preserve">-0.45</w:t>
                  </w:r>
                </w:p>
              </w:tc>
              <w:tc>
                <w:tcPr/>
                <w:p>
                  <w:pPr>
                    <w:pStyle w:val="Compact"/>
                    <w:jc w:val="right"/>
                    <w:jc w:val="center"/>
                  </w:pPr>
                  <w:r>
                    <w:t xml:space="preserve">6.91</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-0.359</w:t>
                  </w:r>
                </w:p>
              </w:tc>
              <w:tc>
                <w:tcPr/>
                <w:p>
                  <w:pPr>
                    <w:pStyle w:val="Compact"/>
                    <w:jc w:val="right"/>
                    <w:jc w:val="center"/>
                  </w:pPr>
                  <w:r>
                    <w:t xml:space="preserve">-0.169</w:t>
                  </w:r>
                </w:p>
              </w:tc>
              <w:tc>
                <w:tcPr/>
                <w:p>
                  <w:pPr>
                    <w:pStyle w:val="Compact"/>
                    <w:jc w:val="right"/>
                    <w:jc w:val="center"/>
                  </w:pPr>
                  <w:r>
                    <w:t xml:space="preserve">1.24</w:t>
                  </w:r>
                </w:p>
              </w:tc>
              <w:tc>
                <w:tcPr/>
                <w:p>
                  <w:pPr>
                    <w:pStyle w:val="Compact"/>
                    <w:jc w:val="right"/>
                    <w:jc w:val="center"/>
                  </w:pPr>
                  <w:r>
                    <w:t xml:space="preserve">-0.88</w:t>
                  </w:r>
                </w:p>
              </w:tc>
              <w:tc>
                <w:tcPr/>
                <w:p>
                  <w:pPr>
                    <w:pStyle w:val="Compact"/>
                    <w:jc w:val="right"/>
                    <w:jc w:val="center"/>
                  </w:pPr>
                  <w:r>
                    <w:t xml:space="preserve">-10.52</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-0.154</w:t>
                  </w:r>
                </w:p>
              </w:tc>
              <w:tc>
                <w:tcPr/>
                <w:p>
                  <w:pPr>
                    <w:pStyle w:val="Compact"/>
                    <w:jc w:val="right"/>
                    <w:jc w:val="center"/>
                  </w:pPr>
                  <w:r>
                    <w:t xml:space="preserve">-0.159</w:t>
                  </w:r>
                </w:p>
              </w:tc>
              <w:tc>
                <w:tcPr/>
                <w:p>
                  <w:pPr>
                    <w:pStyle w:val="Compact"/>
                    <w:jc w:val="right"/>
                    <w:jc w:val="center"/>
                  </w:pPr>
                  <w:r>
                    <w:t xml:space="preserve">3.85</w:t>
                  </w:r>
                </w:p>
              </w:tc>
              <w:tc>
                <w:tcPr/>
                <w:p>
                  <w:pPr>
                    <w:pStyle w:val="Compact"/>
                    <w:jc w:val="right"/>
                    <w:jc w:val="center"/>
                  </w:pPr>
                  <w:r>
                    <w:t xml:space="preserve">1.21</w:t>
                  </w:r>
                </w:p>
              </w:tc>
              <w:tc>
                <w:tcPr/>
                <w:p>
                  <w:pPr>
                    <w:pStyle w:val="Compact"/>
                    <w:jc w:val="right"/>
                    <w:jc w:val="center"/>
                  </w:pPr>
                  <w:r>
                    <w:t xml:space="preserve">-0.50</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0.520</w:t>
                  </w:r>
                </w:p>
              </w:tc>
              <w:tc>
                <w:tcPr/>
                <w:p>
                  <w:pPr>
                    <w:pStyle w:val="Compact"/>
                    <w:jc w:val="right"/>
                    <w:jc w:val="center"/>
                  </w:pPr>
                  <w:r>
                    <w:t xml:space="preserve">0.476</w:t>
                  </w:r>
                </w:p>
              </w:tc>
              <w:tc>
                <w:tcPr/>
                <w:p>
                  <w:pPr>
                    <w:pStyle w:val="Compact"/>
                    <w:jc w:val="right"/>
                    <w:jc w:val="center"/>
                  </w:pPr>
                  <w:r>
                    <w:t xml:space="preserve">43.87</w:t>
                  </w:r>
                </w:p>
              </w:tc>
              <w:tc>
                <w:tcPr/>
                <w:p>
                  <w:pPr>
                    <w:pStyle w:val="Compact"/>
                    <w:jc w:val="right"/>
                    <w:jc w:val="center"/>
                  </w:pPr>
                  <w:r>
                    <w:t xml:space="preserve">-43.87</w:t>
                  </w:r>
                </w:p>
              </w:tc>
              <w:tc>
                <w:tcPr/>
                <w:p>
                  <w:pPr>
                    <w:pStyle w:val="Compact"/>
                    <w:jc w:val="right"/>
                    <w:jc w:val="center"/>
                  </w:pPr>
                  <w:r>
                    <w:t xml:space="preserve">1.06</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0.535</w:t>
                  </w:r>
                </w:p>
              </w:tc>
              <w:tc>
                <w:tcPr/>
                <w:p>
                  <w:pPr>
                    <w:pStyle w:val="Compact"/>
                    <w:jc w:val="right"/>
                    <w:jc w:val="center"/>
                  </w:pPr>
                  <w:r>
                    <w:t xml:space="preserve">0.510</w:t>
                  </w:r>
                </w:p>
              </w:tc>
              <w:tc>
                <w:tcPr/>
                <w:p>
                  <w:pPr>
                    <w:pStyle w:val="Compact"/>
                    <w:jc w:val="right"/>
                    <w:jc w:val="center"/>
                  </w:pPr>
                  <w:r>
                    <w:t xml:space="preserve">13.04</w:t>
                  </w:r>
                </w:p>
              </w:tc>
              <w:tc>
                <w:tcPr/>
                <w:p>
                  <w:pPr>
                    <w:pStyle w:val="Compact"/>
                    <w:jc w:val="right"/>
                    <w:jc w:val="center"/>
                  </w:pPr>
                  <w:r>
                    <w:t xml:space="preserve">0.50</w:t>
                  </w:r>
                </w:p>
              </w:tc>
              <w:tc>
                <w:tcPr/>
                <w:p>
                  <w:pPr>
                    <w:pStyle w:val="Compact"/>
                    <w:jc w:val="right"/>
                    <w:jc w:val="center"/>
                  </w:pPr>
                  <w:r>
                    <w:t xml:space="preserve">0.67</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-0.119</w:t>
                  </w:r>
                </w:p>
              </w:tc>
              <w:tc>
                <w:tcPr/>
                <w:p>
                  <w:pPr>
                    <w:pStyle w:val="Compact"/>
                    <w:jc w:val="right"/>
                    <w:jc w:val="center"/>
                  </w:pPr>
                  <w:r>
                    <w:t xml:space="preserve">-0.046</w:t>
                  </w:r>
                </w:p>
              </w:tc>
              <w:tc>
                <w:tcPr/>
                <w:p>
                  <w:pPr>
                    <w:pStyle w:val="Compact"/>
                    <w:jc w:val="right"/>
                    <w:jc w:val="center"/>
                  </w:pPr>
                  <w:r>
                    <w:t xml:space="preserve">6.29</w:t>
                  </w:r>
                </w:p>
              </w:tc>
              <w:tc>
                <w:tcPr/>
                <w:p>
                  <w:pPr>
                    <w:pStyle w:val="Compact"/>
                    <w:jc w:val="right"/>
                    <w:jc w:val="center"/>
                  </w:pPr>
                  <w:r>
                    <w:t xml:space="preserve">4.43</w:t>
                  </w:r>
                </w:p>
              </w:tc>
              <w:tc>
                <w:tcPr/>
                <w:p>
                  <w:pPr>
                    <w:pStyle w:val="Compact"/>
                    <w:jc w:val="right"/>
                    <w:jc w:val="center"/>
                  </w:pPr>
                  <w:r>
                    <w:t xml:space="preserve">-0.20</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0.096</w:t>
                  </w:r>
                </w:p>
              </w:tc>
              <w:tc>
                <w:tcPr/>
                <w:p>
                  <w:pPr>
                    <w:pStyle w:val="Compact"/>
                    <w:jc w:val="right"/>
                    <w:jc w:val="center"/>
                  </w:pPr>
                  <w:r>
                    <w:t xml:space="preserve">-0.020</w:t>
                  </w:r>
                </w:p>
              </w:tc>
              <w:tc>
                <w:tcPr/>
                <w:p>
                  <w:pPr>
                    <w:pStyle w:val="Compact"/>
                    <w:jc w:val="right"/>
                    <w:jc w:val="center"/>
                  </w:pPr>
                  <w:r>
                    <w:t xml:space="preserve">14.17</w:t>
                  </w:r>
                </w:p>
              </w:tc>
              <w:tc>
                <w:tcPr/>
                <w:p>
                  <w:pPr>
                    <w:pStyle w:val="Compact"/>
                    <w:jc w:val="right"/>
                    <w:jc w:val="center"/>
                  </w:pPr>
                  <w:r>
                    <w:t xml:space="preserve">-11.18</w:t>
                  </w:r>
                </w:p>
              </w:tc>
              <w:tc>
                <w:tcPr/>
                <w:p>
                  <w:pPr>
                    <w:pStyle w:val="Compact"/>
                    <w:jc w:val="right"/>
                    <w:jc w:val="center"/>
                  </w:pPr>
                  <w:r>
                    <w:t xml:space="preserve">0.28</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0.772</w:t>
                  </w:r>
                </w:p>
              </w:tc>
              <w:tc>
                <w:tcPr/>
                <w:p>
                  <w:pPr>
                    <w:pStyle w:val="Compact"/>
                    <w:jc w:val="right"/>
                    <w:jc w:val="center"/>
                  </w:pPr>
                  <w:r>
                    <w:t xml:space="preserve">0.793</w:t>
                  </w:r>
                </w:p>
              </w:tc>
              <w:tc>
                <w:tcPr/>
                <w:p>
                  <w:pPr>
                    <w:pStyle w:val="Compact"/>
                    <w:jc w:val="right"/>
                    <w:jc w:val="center"/>
                  </w:pPr>
                  <w:r>
                    <w:t xml:space="preserve">33.28</w:t>
                  </w:r>
                </w:p>
              </w:tc>
              <w:tc>
                <w:tcPr/>
                <w:p>
                  <w:pPr>
                    <w:pStyle w:val="Compact"/>
                    <w:jc w:val="right"/>
                    <w:jc w:val="center"/>
                  </w:pPr>
                  <w:r>
                    <w:t xml:space="preserve">-33.28</w:t>
                  </w:r>
                </w:p>
              </w:tc>
              <w:tc>
                <w:tcPr/>
                <w:p>
                  <w:pPr>
                    <w:pStyle w:val="Compact"/>
                    <w:jc w:val="right"/>
                    <w:jc w:val="center"/>
                  </w:pPr>
                  <w:r>
                    <w:t xml:space="preserve">3.53</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0.396</w:t>
                  </w:r>
                </w:p>
              </w:tc>
              <w:tc>
                <w:tcPr/>
                <w:p>
                  <w:pPr>
                    <w:pStyle w:val="Compact"/>
                    <w:jc w:val="right"/>
                    <w:jc w:val="center"/>
                  </w:pPr>
                  <w:r>
                    <w:t xml:space="preserve">0.397</w:t>
                  </w:r>
                </w:p>
              </w:tc>
              <w:tc>
                <w:tcPr/>
                <w:p>
                  <w:pPr>
                    <w:pStyle w:val="Compact"/>
                    <w:jc w:val="right"/>
                    <w:jc w:val="center"/>
                  </w:pPr>
                  <w:r>
                    <w:t xml:space="preserve">24.44</w:t>
                  </w:r>
                </w:p>
              </w:tc>
              <w:tc>
                <w:tcPr/>
                <w:p>
                  <w:pPr>
                    <w:pStyle w:val="Compact"/>
                    <w:jc w:val="right"/>
                    <w:jc w:val="center"/>
                  </w:pPr>
                  <w:r>
                    <w:t xml:space="preserve">24.22</w:t>
                  </w:r>
                </w:p>
              </w:tc>
              <w:tc>
                <w:tcPr/>
                <w:p>
                  <w:pPr>
                    <w:pStyle w:val="Compact"/>
                    <w:jc w:val="right"/>
                    <w:jc w:val="center"/>
                  </w:pPr>
                  <w:r>
                    <w:t xml:space="preserve">0.52</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-0.073</w:t>
                  </w:r>
                </w:p>
              </w:tc>
              <w:tc>
                <w:tcPr/>
                <w:p>
                  <w:pPr>
                    <w:pStyle w:val="Compact"/>
                    <w:jc w:val="right"/>
                    <w:jc w:val="center"/>
                  </w:pPr>
                  <w:r>
                    <w:t xml:space="preserve">-0.059</w:t>
                  </w:r>
                </w:p>
              </w:tc>
              <w:tc>
                <w:tcPr/>
                <w:p>
                  <w:pPr>
                    <w:pStyle w:val="Compact"/>
                    <w:jc w:val="right"/>
                    <w:jc w:val="center"/>
                  </w:pPr>
                  <w:r>
                    <w:t xml:space="preserve">10.36</w:t>
                  </w:r>
                </w:p>
              </w:tc>
              <w:tc>
                <w:tcPr/>
                <w:p>
                  <w:pPr>
                    <w:pStyle w:val="Compact"/>
                    <w:jc w:val="right"/>
                    <w:jc w:val="center"/>
                  </w:pPr>
                  <w:r>
                    <w:t xml:space="preserve">-9.80</w:t>
                  </w:r>
                </w:p>
              </w:tc>
              <w:tc>
                <w:tcPr/>
                <w:p>
                  <w:pPr>
                    <w:pStyle w:val="Compact"/>
                    <w:jc w:val="right"/>
                    <w:jc w:val="center"/>
                  </w:pPr>
                  <w:r>
                    <w:t xml:space="preserve">-0.16</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0.018</w:t>
                  </w:r>
                </w:p>
              </w:tc>
              <w:tc>
                <w:tcPr/>
                <w:p>
                  <w:pPr>
                    <w:pStyle w:val="Compact"/>
                    <w:jc w:val="right"/>
                    <w:jc w:val="center"/>
                  </w:pPr>
                  <w:r>
                    <w:t xml:space="preserve">0.037</w:t>
                  </w:r>
                </w:p>
              </w:tc>
              <w:tc>
                <w:tcPr/>
                <w:p>
                  <w:pPr>
                    <w:pStyle w:val="Compact"/>
                    <w:jc w:val="right"/>
                    <w:jc w:val="center"/>
                  </w:pPr>
                  <w:r>
                    <w:t xml:space="preserve">13.86</w:t>
                  </w:r>
                </w:p>
              </w:tc>
              <w:tc>
                <w:tcPr/>
                <w:p>
                  <w:pPr>
                    <w:pStyle w:val="Compact"/>
                    <w:jc w:val="right"/>
                    <w:jc w:val="center"/>
                  </w:pPr>
                  <w:r>
                    <w:t xml:space="preserve">-2.91</w:t>
                  </w:r>
                </w:p>
              </w:tc>
              <w:tc>
                <w:tcPr/>
                <w:p>
                  <w:pPr>
                    <w:pStyle w:val="Compact"/>
                    <w:jc w:val="right"/>
                    <w:jc w:val="center"/>
                  </w:pPr>
                  <w:r>
                    <w:t xml:space="preserve">0.06</w:t>
                  </w:r>
                </w:p>
              </w:tc>
            </w:tr>
          </w:tbl>
          <w:bookmarkEnd w:id="31"/>
          <w:p/>
        </w:tc>
      </w:tr>
    </w:tbl>
    <w:tbl>
      <w:tblPr>
        <w:tblStyle w:val="Table"/>
        <w:tblW w:type="pct" w:w="5000"/>
        <w:tblLayout w:type="fixed"/>
        <w:tblLook w:firstRow="0" w:lastRow="0" w:firstColumn="0" w:lastColumn="0" w:noHBand="0" w:noVBand="0" w:val="0000"/>
      </w:tblPr>
      <w:tblGrid>
        <w:gridCol w:w="7920"/>
      </w:tblGrid>
      <w:tr>
        <w:tc>
          <w:tcPr/>
          <w:bookmarkStart w:id="35" w:name="fig-loco-scatter"/>
          <w:p>
            <w:pPr>
              <w:pStyle w:val="Compact"/>
              <w:jc w:val="center"/>
            </w:pPr>
            <w:r>
              <w:drawing>
                <wp:inline>
                  <wp:extent cx="5334000" cy="5053263"/>
                  <wp:effectExtent b="0" l="0" r="0" t="0"/>
                  <wp:docPr descr="" title="" id="33" name="Picture"/>
                  <a:graphic>
                    <a:graphicData uri="http://schemas.openxmlformats.org/drawingml/2006/picture">
                      <pic:pic>
                        <pic:nvPicPr>
                          <pic:cNvPr descr="../results/figures/loco_scatter.png" id="34" name="Picture"/>
                          <pic:cNvPicPr>
                            <a:picLocks noChangeArrowheads="1" noChangeAspect="1"/>
                          </pic:cNvPicPr>
                        </pic:nvPicPr>
                        <pic:blipFill>
                          <a:blip r:embed="rId32"/>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Observed vs predicted admin-2 deficiency prevalence under leave-one-country-out cross-validation, by outcome and held-out country. The reference line is y = x. Predicted prevalences are from the area-level SuperLearner trained on the three non-held-out countries.</w:t>
            </w:r>
          </w:p>
          <w:bookmarkEnd w:id="35"/>
        </w:tc>
      </w:tr>
    </w:tbl>
    <w:p>
      <w:pPr>
        <w:pStyle w:val="BodyText"/>
      </w:pPr>
      <w:r>
        <w:t xml:space="preserve">Spatial patterns transport more readily within the West African</w:t>
      </w:r>
      <w:r>
        <w:t xml:space="preserve"> </w:t>
      </w:r>
      <w:r>
        <w:t xml:space="preserve">geography. Holding out Malawi — the only training country outside West</w:t>
      </w:r>
      <w:r>
        <w:t xml:space="preserve"> </w:t>
      </w:r>
      <w:r>
        <w:t xml:space="preserve">Africa — produced anti-correlated predictions for three of four</w:t>
      </w:r>
      <w:r>
        <w:t xml:space="preserve"> </w:t>
      </w:r>
      <w:r>
        <w:t xml:space="preserve">outcomes, suggesting a regional generalisation gap. Held-out Ghana</w:t>
      </w:r>
      <w:r>
        <w:t xml:space="preserve"> </w:t>
      </w:r>
      <w:r>
        <w:t xml:space="preserve">provided the most favourable LOCO performance (median r 0.36),</w:t>
      </w:r>
      <w:r>
        <w:t xml:space="preserve"> </w:t>
      </w:r>
      <w:r>
        <w:t xml:space="preserve">plausibly because its admin-2 covariate distribution is well-represented</w:t>
      </w:r>
      <w:r>
        <w:t xml:space="preserve"> </w:t>
      </w:r>
      <w:r>
        <w:t xml:space="preserve">in the remaining three countries’ training data.</w:t>
      </w:r>
    </w:p>
    <w:p>
      <w:pPr>
        <w:pStyle w:val="BodyText"/>
      </w:pPr>
      <w:r>
        <w:t xml:space="preserve">National-level aggregation is consistently more accurate than admin-2.</w:t>
      </w:r>
      <w:r>
        <w:t xml:space="preserve"> </w:t>
      </w:r>
      <w:r>
        <w:t xml:space="preserve">National prevalence estimates were within ±5 percentage points of</w:t>
      </w:r>
      <w:r>
        <w:t xml:space="preserve"> </w:t>
      </w:r>
      <w:r>
        <w:t xml:space="preserve">observed for all 24 country–outcome combinations</w:t>
      </w:r>
      <w:r>
        <w:t xml:space="preserve"> </w:t>
      </w:r>
      <w:r>
        <w:t xml:space="preserve">(</w:t>
      </w:r>
      <w:hyperlink w:anchor="tbl-national-estimates">
        <w:r>
          <w:rPr>
            <w:rStyle w:val="Hyperlink"/>
          </w:rPr>
          <w:t xml:space="preserve">Table 4</w:t>
        </w:r>
      </w:hyperlink>
      <w:r>
        <w:t xml:space="preserve">), with a median absolute difference of 0.4</w:t>
      </w:r>
      <w:r>
        <w:t xml:space="preserve"> </w:t>
      </w:r>
      <w:r>
        <w:t xml:space="preserve">percentage points (median relative difference 3.8%). The</w:t>
      </w:r>
      <w:r>
        <w:t xml:space="preserve"> </w:t>
      </w:r>
      <w:r>
        <w:t xml:space="preserve">within-country individual-level SL therefore remains useful at the</w:t>
      </w:r>
      <w:r>
        <w:t xml:space="preserve"> </w:t>
      </w:r>
      <w:r>
        <w:t xml:space="preserve">national level even where it fails at admin-2 resolution.</w:t>
      </w:r>
    </w:p>
    <w:p>
      <w:pPr>
        <w:pStyle w:val="BodyText"/>
      </w:pPr>
      <w:r>
        <w:t xml:space="preserve">However, when the model is</w:t>
      </w:r>
      <w:r>
        <w:t xml:space="preserve"> </w:t>
      </w:r>
      <w:r>
        <w:rPr>
          <w:i/>
          <w:iCs/>
        </w:rPr>
        <w:t xml:space="preserve">transported</w:t>
      </w:r>
      <w:r>
        <w:t xml:space="preserve"> </w:t>
      </w:r>
      <w:r>
        <w:t xml:space="preserve">across countries the held-out</w:t>
      </w:r>
      <w:r>
        <w:t xml:space="preserve"> </w:t>
      </w:r>
      <w:r>
        <w:t xml:space="preserve">national estimate is systematically biased toward the pooled training</w:t>
      </w:r>
      <w:r>
        <w:t xml:space="preserve"> </w:t>
      </w:r>
      <w:r>
        <w:t xml:space="preserve">mean (</w:t>
      </w:r>
      <w:hyperlink w:anchor="fig-transport-calibration">
        <w:r>
          <w:rPr>
            <w:rStyle w:val="Hyperlink"/>
          </w:rPr>
          <w:t xml:space="preserve">Figure 2</w:t>
        </w:r>
      </w:hyperlink>
      <w:r>
        <w:t xml:space="preserve">). The bias is outcome-specific and</w:t>
      </w:r>
      <w:r>
        <w:t xml:space="preserve"> </w:t>
      </w:r>
      <w:r>
        <w:t xml:space="preserve">concerns the national</w:t>
      </w:r>
      <w:r>
        <w:t xml:space="preserve"> </w:t>
      </w:r>
      <w:r>
        <w:rPr>
          <w:i/>
          <w:iCs/>
        </w:rPr>
        <w:t xml:space="preserve">level</w:t>
      </w:r>
      <w:r>
        <w:t xml:space="preserve">, not the within-country admin-2 ranking</w:t>
      </w:r>
      <w:r>
        <w:t xml:space="preserve"> </w:t>
      </w:r>
      <w:r>
        <w:t xml:space="preserve">of</w:t>
      </w:r>
      <w:r>
        <w:t xml:space="preserve"> </w:t>
      </w:r>
      <w:hyperlink w:anchor="tbl-loco">
        <w:r>
          <w:rPr>
            <w:rStyle w:val="Hyperlink"/>
          </w:rPr>
          <w:t xml:space="preserve">Table 3</w:t>
        </w:r>
      </w:hyperlink>
      <w:r>
        <w:t xml:space="preserve">. Two outcomes transport with broadly correct calibration:</w:t>
      </w:r>
      <w:r>
        <w:t xml:space="preserve"> </w:t>
      </w:r>
      <w:r>
        <w:t xml:space="preserve">vitamin-A deficiency, whose national prevalence sits close to the</w:t>
      </w:r>
      <w:r>
        <w:t xml:space="preserve"> </w:t>
      </w:r>
      <w:r>
        <w:t xml:space="preserve">cross-country mean in every survey (per-outcome calibration slope 0.93</w:t>
      </w:r>
      <w:r>
        <w:t xml:space="preserve"> </w:t>
      </w:r>
      <w:r>
        <w:t xml:space="preserve">in children, 0.65 in women), and — once its cutoff is harmonised to the</w:t>
      </w:r>
      <w:r>
        <w:t xml:space="preserve"> </w:t>
      </w:r>
      <w:r>
        <w:t xml:space="preserve">common serum definition (folate &lt; 10 nmol/L; Malawi’s native &lt; 3 ng/mL</w:t>
      </w:r>
      <w:r>
        <w:t xml:space="preserve"> </w:t>
      </w:r>
      <w:r>
        <w:t xml:space="preserve">rule is otherwise non-comparable) — folate deficiency, whose held-out</w:t>
      </w:r>
      <w:r>
        <w:t xml:space="preserve"> </w:t>
      </w:r>
      <w:r>
        <w:t xml:space="preserve">prevalence preserves the correct ordering though compressed in magnitude</w:t>
      </w:r>
      <w:r>
        <w:t xml:space="preserve"> </w:t>
      </w:r>
      <w:r>
        <w:t xml:space="preserve">(slope 0.37; Ghana 55%→18%, Sierra Leone 79%→30%, Malawi 2%→1%). The</w:t>
      </w:r>
      <w:r>
        <w:t xml:space="preserve"> </w:t>
      </w:r>
      <w:r>
        <w:t xml:space="preserve">remaining outcomes fail. Iron deficiency, whose national prevalence</w:t>
      </w:r>
      <w:r>
        <w:t xml:space="preserve"> </w:t>
      </w:r>
      <w:r>
        <w:t xml:space="preserve">ranges from 6% (Sierra Leone children) to 64% (Gambia children), is</w:t>
      </w:r>
      <w:r>
        <w:t xml:space="preserve"> </w:t>
      </w:r>
      <w:r>
        <w:t xml:space="preserve">pulled to the training mean so strongly that the ordering inverts</w:t>
      </w:r>
      <w:r>
        <w:t xml:space="preserve"> </w:t>
      </w:r>
      <w:r>
        <w:t xml:space="preserve">(per-outcome slope −0.72 in children, −0.18 in women), over-predicting</w:t>
      </w:r>
      <w:r>
        <w:t xml:space="preserve"> </w:t>
      </w:r>
      <w:r>
        <w:t xml:space="preserve">low-prevalence countries (Sierra Leone children 6%→40%, Malawi 10%→51%)</w:t>
      </w:r>
      <w:r>
        <w:t xml:space="preserve"> </w:t>
      </w:r>
      <w:r>
        <w:t xml:space="preserve">and under-predicting high-prevalence ones (Gambia children 64%→22%).</w:t>
      </w:r>
      <w:r>
        <w:t xml:space="preserve"> </w:t>
      </w:r>
      <w:r>
        <w:t xml:space="preserve">Vitamin B12 — despite being the strongest</w:t>
      </w:r>
      <w:r>
        <w:t xml:space="preserve"> </w:t>
      </w:r>
      <w:r>
        <w:rPr>
          <w:i/>
          <w:iCs/>
        </w:rPr>
        <w:t xml:space="preserve">within-country</w:t>
      </w:r>
      <w:r>
        <w:t xml:space="preserve"> </w:t>
      </w:r>
      <w:r>
        <w:t xml:space="preserve">signal</w:t>
      </w:r>
      <w:r>
        <w:t xml:space="preserve"> </w:t>
      </w:r>
      <w:r>
        <w:t xml:space="preserve">(continuous cross-validated R² up to 0.23 in Malawi) — does not</w:t>
      </w:r>
      <w:r>
        <w:t xml:space="preserve"> </w:t>
      </w:r>
      <w:r>
        <w:t xml:space="preserve">transport at all: held-out discrimination falls to near chance</w:t>
      </w:r>
      <w:r>
        <w:t xml:space="preserve"> </w:t>
      </w:r>
      <w:r>
        <w:t xml:space="preserve">(AUC 0.53–0.59) and prediction becomes unstable under the rare-outcome</w:t>
      </w:r>
      <w:r>
        <w:t xml:space="preserve"> </w:t>
      </w:r>
      <w:r>
        <w:t xml:space="preserve">class-weighting (held-out Malawi predicted at 80% against a true 2.8%).</w:t>
      </w:r>
      <w:r>
        <w:t xml:space="preserve"> </w:t>
      </w:r>
      <w:r>
        <w:t xml:space="preserve">Cross-country transport failure is therefore a level-calibration error</w:t>
      </w:r>
      <w:r>
        <w:t xml:space="preserve"> </w:t>
      </w:r>
      <w:r>
        <w:t xml:space="preserve">driven by between-country prevalence heterogeneity — most severe for the</w:t>
      </w:r>
      <w:r>
        <w:t xml:space="preserve"> </w:t>
      </w:r>
      <w:r>
        <w:t xml:space="preserve">outcomes and countries that differ most from the training distribution —</w:t>
      </w:r>
      <w:r>
        <w:t xml:space="preserve"> </w:t>
      </w:r>
      <w:r>
        <w:t xml:space="preserve">and within-country accuracy is a poor guide to which outcomes transport.</w:t>
      </w:r>
    </w:p>
    <w:tbl>
      <w:tblPr>
        <w:tblStyle w:val="Table"/>
        <w:tblW w:type="pct" w:w="5000"/>
        <w:tblLayout w:type="fixed"/>
        <w:tblLook w:firstRow="0" w:lastRow="0" w:firstColumn="0" w:lastColumn="0" w:noHBand="0" w:noVBand="0" w:val="0000"/>
      </w:tblPr>
      <w:tblGrid>
        <w:gridCol w:w="7920"/>
      </w:tblGrid>
      <w:tr>
        <w:tc>
          <w:tcPr/>
          <w:bookmarkStart w:id="39" w:name="fig-transport-calibration"/>
          <w:p>
            <w:pPr>
              <w:pStyle w:val="Compact"/>
              <w:jc w:val="center"/>
            </w:pPr>
            <w:r>
              <w:drawing>
                <wp:inline>
                  <wp:extent cx="5334000" cy="6756400"/>
                  <wp:effectExtent b="0" l="0" r="0" t="0"/>
                  <wp:docPr descr="" title="" id="37" name="Picture"/>
                  <a:graphic>
                    <a:graphicData uri="http://schemas.openxmlformats.org/drawingml/2006/picture">
                      <pic:pic>
                        <pic:nvPicPr>
                          <pic:cNvPr descr="../results/figures/transport_calibration_loco_faceted.png" id="38" name="Picture"/>
                          <pic:cNvPicPr>
                            <a:picLocks noChangeArrowheads="1" noChangeAspect="1"/>
                          </pic:cNvPicPr>
                        </pic:nvPicPr>
                        <pic:blipFill>
                          <a:blip r:embed="rId36"/>
                          <a:stretch>
                            <a:fillRect/>
                          </a:stretch>
                        </pic:blipFill>
                        <pic:spPr bwMode="auto">
                          <a:xfrm>
                            <a:off x="0" y="0"/>
                            <a:ext cx="5334000" cy="6756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Cross-country transport calibration. Predicted versus true national deficiency prevalence for the pooled individual-level SuperLearner under leave-one-country-out (LOCO) holdout — one panel per outcome, one point per held-out country (trained on the remaining countries), panels ordered worst to best calibration. The dashed line is perfect calibration (y = x); each panel header reports the fitted calibration slope (1.0 = perfectly calibrated; &lt;1 = predictions compressed toward the cross-country mean; &lt;0 = inverted ordering). Vertical segments mark each fold’s calibration gap. Vitamin-A national prevalence, close to the cross-country mean, is well recovered and folate (harmonised to a common serum &lt; 10 nmol/L cutoff) preserves the correct ordering; iron is pulled to the training mean and inverts, and vitamin B12 does not transport (near-chance discrimination, with unstable prediction under rare-outcome class-weighting). Folate and B12 are women-only and available in three countries; zinc is Malawi-only and cannot be assessed for transport. From results/tables/transportability_loco_results.csv.</w:t>
            </w:r>
          </w:p>
          <w:bookmarkEnd w:id="39"/>
        </w:tc>
      </w:tr>
    </w:tbl>
    <w:p>
      <w:pPr>
        <w:pStyle w:val="BodyText"/>
      </w:pPr>
      <w:r>
        <w:rPr>
          <w:b/>
          <w:bCs/>
        </w:rPr>
        <w:t xml:space="preserve">Parsimonious model with soil micronutrient predictors.</w:t>
      </w:r>
      <w:r>
        <w:t xml:space="preserve"> </w:t>
      </w:r>
      <w:r>
        <w:t xml:space="preserve">A series of</w:t>
      </w:r>
      <w:r>
        <w:t xml:space="preserve"> </w:t>
      </w:r>
      <w:r>
        <w:t xml:space="preserve">post-hoc analyses confirmed that the strongest transportable signal in</w:t>
      </w:r>
      <w:r>
        <w:t xml:space="preserve"> </w:t>
      </w:r>
      <w:r>
        <w:t xml:space="preserve">the existing 152-variable GEE feature pool is concentrated in the</w:t>
      </w:r>
      <w:r>
        <w:t xml:space="preserve"> </w:t>
      </w:r>
      <w:r>
        <w:t xml:space="preserve">SoilGrids covariates. Univariate leave-one-country-out scoring of each</w:t>
      </w:r>
      <w:r>
        <w:t xml:space="preserve"> </w:t>
      </w:r>
      <w:r>
        <w:t xml:space="preserve">of the 152 GEE features identified eight SoilGrids variables (soil</w:t>
      </w:r>
      <w:r>
        <w:t xml:space="preserve"> </w:t>
      </w:r>
      <w:r>
        <w:t xml:space="preserve">aluminium and calcium standard deviation at two depth profiles, soil</w:t>
      </w:r>
      <w:r>
        <w:t xml:space="preserve"> </w:t>
      </w:r>
      <w:r>
        <w:t xml:space="preserve">magnesium standard deviation, soil zinc mean and standard deviation,</w:t>
      </w:r>
      <w:r>
        <w:t xml:space="preserve"> </w:t>
      </w:r>
      <w:r>
        <w:t xml:space="preserve">soil total carbon mean) as the most consistently transportable single</w:t>
      </w:r>
      <w:r>
        <w:t xml:space="preserve"> </w:t>
      </w:r>
      <w:r>
        <w:t xml:space="preserve">predictors; no NDVI, accessibility, night-lights, or population-density</w:t>
      </w:r>
      <w:r>
        <w:t xml:space="preserve"> </w:t>
      </w:r>
      <w:r>
        <w:t xml:space="preserve">variable cracked the top eight in the per-variable LOCO ranking. A</w:t>
      </w:r>
      <w:r>
        <w:t xml:space="preserve"> </w:t>
      </w:r>
      <w:r>
        <w:t xml:space="preserve">weighted generalised additive model with a thin-plate spline on</w:t>
      </w:r>
      <w:r>
        <w:t xml:space="preserve"> </w:t>
      </w:r>
      <w:r>
        <w:t xml:space="preserve">admin-2 polygon centroid coordinates plus these eight soil features as</w:t>
      </w:r>
      <w:r>
        <w:t xml:space="preserve"> </w:t>
      </w:r>
      <w:r>
        <w:t xml:space="preserve">linear terms achieved mean LOCO Pearson r = 0.330 across 16</w:t>
      </w:r>
      <w:r>
        <w:t xml:space="preserve"> </w:t>
      </w:r>
      <w:r>
        <w:t xml:space="preserve">outcome–holdout combinations on the four main outcomes — substantially</w:t>
      </w:r>
      <w:r>
        <w:t xml:space="preserve"> </w:t>
      </w:r>
      <w:r>
        <w:t xml:space="preserve">above any other parsimonious comparator we tested and roughly</w:t>
      </w:r>
      <w:r>
        <w:t xml:space="preserve"> </w:t>
      </w:r>
      <w:r>
        <w:t xml:space="preserve">comparable to the area-level SuperLearner ensemble at a fraction of</w:t>
      </w:r>
      <w:r>
        <w:t xml:space="preserve"> </w:t>
      </w:r>
      <w:r>
        <w:t xml:space="preserve">the compute cost. Bootstrap 95% confidence intervals on the</w:t>
      </w:r>
      <w:r>
        <w:t xml:space="preserve"> </w:t>
      </w:r>
      <w:r>
        <w:t xml:space="preserve">combination’s Pearson r were strictly above zero for seven of the</w:t>
      </w:r>
      <w:r>
        <w:t xml:space="preserve"> </w:t>
      </w:r>
      <w:r>
        <w:t xml:space="preserve">sixteen holdouts, with the wins concentrated on iron and vitamin A</w:t>
      </w:r>
      <w:r>
        <w:t xml:space="preserve"> </w:t>
      </w:r>
      <w:r>
        <w:t xml:space="preserve">in Gambia and Ghana. We caveat that the eight-feature recipe and the</w:t>
      </w:r>
      <w:r>
        <w:t xml:space="preserve"> </w:t>
      </w:r>
      <w:r>
        <w:t xml:space="preserve">spatial gradient information may not generalise outside the West</w:t>
      </w:r>
      <w:r>
        <w:t xml:space="preserve"> </w:t>
      </w:r>
      <w:r>
        <w:t xml:space="preserve">African training footprint — extending the training set to East and</w:t>
      </w:r>
      <w:r>
        <w:t xml:space="preserve"> </w:t>
      </w:r>
      <w:r>
        <w:t xml:space="preserve">Southern Africa is the most important external-validity step.</w:t>
      </w:r>
    </w:p>
    <w:p>
      <w:pPr>
        <w:pStyle w:val="BodyText"/>
      </w:pPr>
      <w:r>
        <w:rPr>
          <w:b/>
          <w:bCs/>
        </w:rPr>
        <w:t xml:space="preserve">Sierra Leone testing power at admin-3 resolution.</w:t>
      </w:r>
      <w:r>
        <w:t xml:space="preserve"> </w:t>
      </w:r>
      <w:r>
        <w:t xml:space="preserve">The admin-2</w:t>
      </w:r>
      <w:r>
        <w:t xml:space="preserve"> </w:t>
      </w:r>
      <w:r>
        <w:t xml:space="preserve">Sierra Leone LOCO sample (n = 14 districts) is small enough that the</w:t>
      </w:r>
      <w:r>
        <w:t xml:space="preserve"> </w:t>
      </w:r>
      <w:r>
        <w:t xml:space="preserve">holdout estimates are dominated by sampling noise; we documented this</w:t>
      </w:r>
      <w:r>
        <w:t xml:space="preserve"> </w:t>
      </w:r>
      <w:r>
        <w:t xml:space="preserve">by re-running the analysis at admin-3 (chiefdom) resolution after</w:t>
      </w:r>
      <w:r>
        <w:t xml:space="preserve"> </w:t>
      </w:r>
      <w:r>
        <w:t xml:space="preserve">spatial-joining DHS cluster coordinates to GADM admin-3 polygons. At</w:t>
      </w:r>
      <w:r>
        <w:t xml:space="preserve"> </w:t>
      </w:r>
      <w:r>
        <w:t xml:space="preserve">admin-3 resolution, Sierra Leone has 44 chiefdoms with biomarker</w:t>
      </w:r>
      <w:r>
        <w:t xml:space="preserve"> </w:t>
      </w:r>
      <w:r>
        <w:t xml:space="preserve">measurements (a 3.1-fold increase over admin-2). With Sierra Leone</w:t>
      </w:r>
      <w:r>
        <w:t xml:space="preserve"> </w:t>
      </w:r>
      <w:r>
        <w:t xml:space="preserve">held out as the test country and the other three countries as training</w:t>
      </w:r>
      <w:r>
        <w:t xml:space="preserve"> </w:t>
      </w:r>
      <w:r>
        <w:t xml:space="preserve">at admin-2 resolution, LOCO Spearman correlations on the four</w:t>
      </w:r>
      <w:r>
        <w:t xml:space="preserve"> </w:t>
      </w:r>
      <w:r>
        <w:t xml:space="preserve">continuous biomarker outcomes (child / women vitamin A, women B12,</w:t>
      </w:r>
      <w:r>
        <w:t xml:space="preserve"> </w:t>
      </w:r>
      <w:r>
        <w:t xml:space="preserve">women folate) moved from a range of −0.07 to −0.35 at admin-2 toward</w:t>
      </w:r>
      <w:r>
        <w:t xml:space="preserve"> </w:t>
      </w:r>
      <w:r>
        <w:t xml:space="preserve">or above zero at admin-3, including a meaningfully positive +0.30 for</w:t>
      </w:r>
      <w:r>
        <w:t xml:space="preserve"> </w:t>
      </w:r>
      <w:r>
        <w:t xml:space="preserve">women’s vitamin B12. We interpret the headline admin-2 anti-predictive</w:t>
      </w:r>
      <w:r>
        <w:t xml:space="preserve"> </w:t>
      </w:r>
      <w:r>
        <w:t xml:space="preserve">estimates for Sierra Leone as primarily a small-sample artefact and</w:t>
      </w:r>
      <w:r>
        <w:t xml:space="preserve"> </w:t>
      </w:r>
      <w:r>
        <w:t xml:space="preserve">not as evidence of fundamental non-transportability.</w:t>
      </w:r>
    </w:p>
    <w:tbl>
      <w:tblPr>
        <w:tblStyle w:val="Table"/>
        <w:tblW w:type="pct" w:w="5000"/>
        <w:tblLayout w:type="fixed"/>
        <w:tblLook w:firstRow="0" w:lastRow="0" w:firstColumn="0" w:lastColumn="0" w:noHBand="0" w:noVBand="0" w:val="0000"/>
      </w:tblPr>
      <w:tblGrid>
        <w:gridCol w:w="7920"/>
      </w:tblGrid>
      <w:tr>
        <w:tc>
          <w:tcPr/>
          <w:bookmarkStart w:id="40" w:name="tbl-national-estimates"/>
          <w:p>
            <w:pPr>
              <w:jc w:val="center"/>
            </w:pPr>
            <w:pPr>
              <w:jc w:val="start"/>
              <w:spacing w:before="200"/>
              <w:pStyle w:val="ImageCaption"/>
            </w:pPr>
            <w:r>
              <w:t xml:space="preserve">Table 4: National prevalence: model-derived vs survey-derived. From results/tables/national_estimates_all.csv.</w:t>
            </w:r>
          </w:p>
          <w:tbl>
            <w:tblPr>
              <w:tblStyle w:val="Table"/>
              <w:tblW w:type="pct" w:w="5000"/>
              <w:tblLayout w:type="fixed"/>
              <w:tblLook w:firstRow="1" w:lastRow="0" w:firstColumn="0" w:lastColumn="0" w:noHBand="0" w:noVBand="0" w:val="0020"/>
            </w:tblPr>
            <w:tblGrid>
              <w:gridCol w:w="1514"/>
              <w:gridCol w:w="1514"/>
              <w:gridCol w:w="2096"/>
              <w:gridCol w:w="1164"/>
              <w:gridCol w:w="163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Observed (95% CI)</w:t>
                  </w:r>
                </w:p>
              </w:tc>
              <w:tc>
                <w:tcPr/>
                <w:p>
                  <w:pPr>
                    <w:pStyle w:val="Compact"/>
                    <w:jc w:val="left"/>
                    <w:jc w:val="center"/>
                  </w:pPr>
                  <w:r>
                    <w:t xml:space="preserve">Predicted</w:t>
                  </w:r>
                </w:p>
              </w:tc>
              <w:tc>
                <w:tcPr/>
                <w:p>
                  <w:pPr>
                    <w:pStyle w:val="Compact"/>
                    <w:jc w:val="right"/>
                    <w:jc w:val="center"/>
                  </w:pPr>
                  <w:r>
                    <w:t xml:space="preserve">Abs diff (pp)</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17.3 (13.0–21.5)%</w:t>
                  </w:r>
                </w:p>
              </w:tc>
              <w:tc>
                <w:tcPr/>
                <w:p>
                  <w:pPr>
                    <w:pStyle w:val="Compact"/>
                    <w:jc w:val="left"/>
                    <w:jc w:val="center"/>
                  </w:pPr>
                  <w:r>
                    <w:t xml:space="preserve">17.5%</w:t>
                  </w:r>
                </w:p>
              </w:tc>
              <w:tc>
                <w:tcPr/>
                <w:p>
                  <w:pPr>
                    <w:pStyle w:val="Compact"/>
                    <w:jc w:val="right"/>
                    <w:jc w:val="center"/>
                  </w:pPr>
                  <w:r>
                    <w:t xml:space="preserve">0.3</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1.7 (0.8–2.6)%</w:t>
                  </w:r>
                </w:p>
              </w:tc>
              <w:tc>
                <w:tcPr/>
                <w:p>
                  <w:pPr>
                    <w:pStyle w:val="Compact"/>
                    <w:jc w:val="left"/>
                    <w:jc w:val="center"/>
                  </w:pPr>
                  <w:r>
                    <w:t xml:space="preserve">2.0%</w:t>
                  </w:r>
                </w:p>
              </w:tc>
              <w:tc>
                <w:tcPr/>
                <w:p>
                  <w:pPr>
                    <w:pStyle w:val="Compact"/>
                    <w:jc w:val="right"/>
                    <w:jc w:val="center"/>
                  </w:pPr>
                  <w:r>
                    <w:t xml:space="preserve">0.3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37.5 (32.0–43.0)%</w:t>
                  </w:r>
                </w:p>
              </w:tc>
              <w:tc>
                <w:tcPr/>
                <w:p>
                  <w:pPr>
                    <w:pStyle w:val="Compact"/>
                    <w:jc w:val="left"/>
                    <w:jc w:val="center"/>
                  </w:pPr>
                  <w:r>
                    <w:t xml:space="preserve">39.9%</w:t>
                  </w:r>
                </w:p>
              </w:tc>
              <w:tc>
                <w:tcPr/>
                <w:p>
                  <w:pPr>
                    <w:pStyle w:val="Compact"/>
                    <w:jc w:val="right"/>
                    <w:jc w:val="center"/>
                  </w:pPr>
                  <w:r>
                    <w:t xml:space="preserve">2.3</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28.2 (24.2–32.2)%</w:t>
                  </w:r>
                </w:p>
              </w:tc>
              <w:tc>
                <w:tcPr/>
                <w:p>
                  <w:pPr>
                    <w:pStyle w:val="Compact"/>
                    <w:jc w:val="left"/>
                    <w:jc w:val="center"/>
                  </w:pPr>
                  <w:r>
                    <w:t xml:space="preserve">26.6%</w:t>
                  </w:r>
                </w:p>
              </w:tc>
              <w:tc>
                <w:tcPr/>
                <w:p>
                  <w:pPr>
                    <w:pStyle w:val="Compact"/>
                    <w:jc w:val="right"/>
                    <w:jc w:val="center"/>
                  </w:pPr>
                  <w:r>
                    <w:t xml:space="preserve">1.6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13.2 (10.9–15.5)%</w:t>
                  </w:r>
                </w:p>
              </w:tc>
              <w:tc>
                <w:tcPr/>
                <w:p>
                  <w:pPr>
                    <w:pStyle w:val="Compact"/>
                    <w:jc w:val="left"/>
                    <w:jc w:val="center"/>
                  </w:pPr>
                  <w:r>
                    <w:t xml:space="preserve">15.0%</w:t>
                  </w:r>
                </w:p>
              </w:tc>
              <w:tc>
                <w:tcPr/>
                <w:p>
                  <w:pPr>
                    <w:pStyle w:val="Compact"/>
                    <w:jc w:val="right"/>
                    <w:jc w:val="center"/>
                  </w:pPr>
                  <w:r>
                    <w:t xml:space="preserve">1.8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1.2 (0.4–1.9)%</w:t>
                  </w:r>
                </w:p>
              </w:tc>
              <w:tc>
                <w:tcPr/>
                <w:p>
                  <w:pPr>
                    <w:pStyle w:val="Compact"/>
                    <w:jc w:val="left"/>
                    <w:jc w:val="center"/>
                  </w:pPr>
                  <w:r>
                    <w:t xml:space="preserve">1.5%</w:t>
                  </w:r>
                </w:p>
              </w:tc>
              <w:tc>
                <w:tcPr/>
                <w:p>
                  <w:pPr>
                    <w:pStyle w:val="Compact"/>
                    <w:jc w:val="right"/>
                    <w:jc w:val="center"/>
                  </w:pPr>
                  <w:r>
                    <w:t xml:space="preserve">0.4</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20.2 (16.9–23.5)%</w:t>
                  </w:r>
                </w:p>
              </w:tc>
              <w:tc>
                <w:tcPr/>
                <w:p>
                  <w:pPr>
                    <w:pStyle w:val="Compact"/>
                    <w:jc w:val="left"/>
                    <w:jc w:val="center"/>
                  </w:pPr>
                  <w:r>
                    <w:t xml:space="preserve">20.4%</w:t>
                  </w:r>
                </w:p>
              </w:tc>
              <w:tc>
                <w:tcPr/>
                <w:p>
                  <w:pPr>
                    <w:pStyle w:val="Compact"/>
                    <w:jc w:val="right"/>
                    <w:jc w:val="center"/>
                  </w:pPr>
                  <w:r>
                    <w:t xml:space="preserve">0.2</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7.6 (5.9–9.2)%</w:t>
                  </w:r>
                </w:p>
              </w:tc>
              <w:tc>
                <w:tcPr/>
                <w:p>
                  <w:pPr>
                    <w:pStyle w:val="Compact"/>
                    <w:jc w:val="left"/>
                    <w:jc w:val="center"/>
                  </w:pPr>
                  <w:r>
                    <w:t xml:space="preserve">8.3%</w:t>
                  </w:r>
                </w:p>
              </w:tc>
              <w:tc>
                <w:tcPr/>
                <w:p>
                  <w:pPr>
                    <w:pStyle w:val="Compact"/>
                    <w:jc w:val="right"/>
                    <w:jc w:val="center"/>
                  </w:pPr>
                  <w:r>
                    <w:t xml:space="preserve">0.7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54.6 (48.5–60.6)%</w:t>
                  </w:r>
                </w:p>
              </w:tc>
              <w:tc>
                <w:tcPr/>
                <w:p>
                  <w:pPr>
                    <w:pStyle w:val="Compact"/>
                    <w:jc w:val="left"/>
                    <w:jc w:val="center"/>
                  </w:pPr>
                  <w:r>
                    <w:t xml:space="preserve">54.4%</w:t>
                  </w:r>
                </w:p>
              </w:tc>
              <w:tc>
                <w:tcPr/>
                <w:p>
                  <w:pPr>
                    <w:pStyle w:val="Compact"/>
                    <w:jc w:val="right"/>
                    <w:jc w:val="center"/>
                  </w:pPr>
                  <w:r>
                    <w:t xml:space="preserve">0.2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7.0 (4.7–9.3)%</w:t>
                  </w:r>
                </w:p>
              </w:tc>
              <w:tc>
                <w:tcPr/>
                <w:p>
                  <w:pPr>
                    <w:pStyle w:val="Compact"/>
                    <w:jc w:val="left"/>
                    <w:jc w:val="center"/>
                  </w:pPr>
                  <w:r>
                    <w:t xml:space="preserve">6.7%</w:t>
                  </w:r>
                </w:p>
              </w:tc>
              <w:tc>
                <w:tcPr/>
                <w:p>
                  <w:pPr>
                    <w:pStyle w:val="Compact"/>
                    <w:jc w:val="right"/>
                    <w:jc w:val="center"/>
                  </w:pPr>
                  <w:r>
                    <w:t xml:space="preserve">0.3</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12.0 (8.6–15.4)%</w:t>
                  </w:r>
                </w:p>
              </w:tc>
              <w:tc>
                <w:tcPr/>
                <w:p>
                  <w:pPr>
                    <w:pStyle w:val="Compact"/>
                    <w:jc w:val="left"/>
                    <w:jc w:val="center"/>
                  </w:pPr>
                  <w:r>
                    <w:t xml:space="preserve">13.1%</w:t>
                  </w:r>
                </w:p>
              </w:tc>
              <w:tc>
                <w:tcPr/>
                <w:p>
                  <w:pPr>
                    <w:pStyle w:val="Compact"/>
                    <w:jc w:val="right"/>
                    <w:jc w:val="center"/>
                  </w:pPr>
                  <w:r>
                    <w:t xml:space="preserve">1.0</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1.4 (0.6–2.3)%</w:t>
                  </w:r>
                </w:p>
              </w:tc>
              <w:tc>
                <w:tcPr/>
                <w:p>
                  <w:pPr>
                    <w:pStyle w:val="Compact"/>
                    <w:jc w:val="left"/>
                    <w:jc w:val="center"/>
                  </w:pPr>
                  <w:r>
                    <w:t xml:space="preserve">1.7%</w:t>
                  </w:r>
                </w:p>
              </w:tc>
              <w:tc>
                <w:tcPr/>
                <w:p>
                  <w:pPr>
                    <w:pStyle w:val="Compact"/>
                    <w:jc w:val="right"/>
                    <w:jc w:val="center"/>
                  </w:pPr>
                  <w:r>
                    <w:t xml:space="preserve">0.2</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5.1 (3.0–7.3)%</w:t>
                  </w:r>
                </w:p>
              </w:tc>
              <w:tc>
                <w:tcPr/>
                <w:p>
                  <w:pPr>
                    <w:pStyle w:val="Compact"/>
                    <w:jc w:val="left"/>
                    <w:jc w:val="center"/>
                  </w:pPr>
                  <w:r>
                    <w:t xml:space="preserve">5.4%</w:t>
                  </w:r>
                </w:p>
              </w:tc>
              <w:tc>
                <w:tcPr/>
                <w:p>
                  <w:pPr>
                    <w:pStyle w:val="Compact"/>
                    <w:jc w:val="right"/>
                    <w:jc w:val="center"/>
                  </w:pPr>
                  <w:r>
                    <w:t xml:space="preserve">0.3</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9.6 (6.6–12.6)%</w:t>
                  </w:r>
                </w:p>
              </w:tc>
              <w:tc>
                <w:tcPr/>
                <w:p>
                  <w:pPr>
                    <w:pStyle w:val="Compact"/>
                    <w:jc w:val="left"/>
                    <w:jc w:val="center"/>
                  </w:pPr>
                  <w:r>
                    <w:t xml:space="preserve">9.3%</w:t>
                  </w:r>
                </w:p>
              </w:tc>
              <w:tc>
                <w:tcPr/>
                <w:p>
                  <w:pPr>
                    <w:pStyle w:val="Compact"/>
                    <w:jc w:val="right"/>
                    <w:jc w:val="center"/>
                  </w:pPr>
                  <w:r>
                    <w:t xml:space="preserve">0.3</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79.2 (74.5–83.8)%</w:t>
                  </w:r>
                </w:p>
              </w:tc>
              <w:tc>
                <w:tcPr/>
                <w:p>
                  <w:pPr>
                    <w:pStyle w:val="Compact"/>
                    <w:jc w:val="left"/>
                    <w:jc w:val="center"/>
                  </w:pPr>
                  <w:r>
                    <w:t xml:space="preserve">77.0%</w:t>
                  </w:r>
                </w:p>
              </w:tc>
              <w:tc>
                <w:tcPr/>
                <w:p>
                  <w:pPr>
                    <w:pStyle w:val="Compact"/>
                    <w:jc w:val="right"/>
                    <w:jc w:val="center"/>
                  </w:pPr>
                  <w:r>
                    <w:t xml:space="preserve">2.1</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 (-0.0–1.1)%</w:t>
                  </w:r>
                </w:p>
              </w:tc>
              <w:tc>
                <w:tcPr/>
                <w:p>
                  <w:pPr>
                    <w:pStyle w:val="Compact"/>
                    <w:jc w:val="left"/>
                    <w:jc w:val="center"/>
                  </w:pPr>
                  <w:r>
                    <w:t xml:space="preserve">0.5%</w:t>
                  </w:r>
                </w:p>
              </w:tc>
              <w:tc>
                <w:tcPr/>
                <w:p>
                  <w:pPr>
                    <w:pStyle w:val="Compact"/>
                    <w:jc w:val="right"/>
                    <w:jc w:val="center"/>
                  </w:pPr>
                  <w:r>
                    <w:t xml:space="preserve">0.0</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10.3 (6.9–13.7)%</w:t>
                  </w:r>
                </w:p>
              </w:tc>
              <w:tc>
                <w:tcPr/>
                <w:p>
                  <w:pPr>
                    <w:pStyle w:val="Compact"/>
                    <w:jc w:val="left"/>
                    <w:jc w:val="center"/>
                  </w:pPr>
                  <w:r>
                    <w:t xml:space="preserve">9.0%</w:t>
                  </w:r>
                </w:p>
              </w:tc>
              <w:tc>
                <w:tcPr/>
                <w:p>
                  <w:pPr>
                    <w:pStyle w:val="Compact"/>
                    <w:jc w:val="right"/>
                    <w:jc w:val="center"/>
                  </w:pPr>
                  <w:r>
                    <w:t xml:space="preserve">1.3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2.3 (0.6–4.0)%</w:t>
                  </w:r>
                </w:p>
              </w:tc>
              <w:tc>
                <w:tcPr/>
                <w:p>
                  <w:pPr>
                    <w:pStyle w:val="Compact"/>
                    <w:jc w:val="left"/>
                    <w:jc w:val="center"/>
                  </w:pPr>
                  <w:r>
                    <w:t xml:space="preserve">0.8%</w:t>
                  </w:r>
                </w:p>
              </w:tc>
              <w:tc>
                <w:tcPr/>
                <w:p>
                  <w:pPr>
                    <w:pStyle w:val="Compact"/>
                    <w:jc w:val="right"/>
                    <w:jc w:val="center"/>
                  </w:pPr>
                  <w:r>
                    <w:t xml:space="preserve">1.5</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10.6 (6.5–14.6)%</w:t>
                  </w:r>
                </w:p>
              </w:tc>
              <w:tc>
                <w:tcPr/>
                <w:p>
                  <w:pPr>
                    <w:pStyle w:val="Compact"/>
                    <w:jc w:val="left"/>
                    <w:jc w:val="center"/>
                  </w:pPr>
                  <w:r>
                    <w:t xml:space="preserve">11.2%</w:t>
                  </w:r>
                </w:p>
              </w:tc>
              <w:tc>
                <w:tcPr/>
                <w:p>
                  <w:pPr>
                    <w:pStyle w:val="Compact"/>
                    <w:jc w:val="right"/>
                    <w:jc w:val="center"/>
                  </w:pPr>
                  <w:r>
                    <w:t xml:space="preserve">0.6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7.7 (5.6–9.9)%</w:t>
                  </w:r>
                </w:p>
              </w:tc>
              <w:tc>
                <w:tcPr/>
                <w:p>
                  <w:pPr>
                    <w:pStyle w:val="Compact"/>
                    <w:jc w:val="left"/>
                    <w:jc w:val="center"/>
                  </w:pPr>
                  <w:r>
                    <w:t xml:space="preserve">8.5%</w:t>
                  </w:r>
                </w:p>
              </w:tc>
              <w:tc>
                <w:tcPr/>
                <w:p>
                  <w:pPr>
                    <w:pStyle w:val="Compact"/>
                    <w:jc w:val="right"/>
                    <w:jc w:val="center"/>
                  </w:pPr>
                  <w:r>
                    <w:t xml:space="preserve">0.8</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18.5 (13.6–23.5)%</w:t>
                  </w:r>
                </w:p>
              </w:tc>
              <w:tc>
                <w:tcPr/>
                <w:p>
                  <w:pPr>
                    <w:pStyle w:val="Compact"/>
                    <w:jc w:val="left"/>
                    <w:jc w:val="center"/>
                  </w:pPr>
                  <w:r>
                    <w:t xml:space="preserve">20.3%</w:t>
                  </w:r>
                </w:p>
              </w:tc>
              <w:tc>
                <w:tcPr/>
                <w:p>
                  <w:pPr>
                    <w:pStyle w:val="Compact"/>
                    <w:jc w:val="right"/>
                    <w:jc w:val="center"/>
                  </w:pPr>
                  <w:r>
                    <w:t xml:space="preserve">1.8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2.4 (1.1–3.7)%</w:t>
                  </w:r>
                </w:p>
              </w:tc>
              <w:tc>
                <w:tcPr/>
                <w:p>
                  <w:pPr>
                    <w:pStyle w:val="Compact"/>
                    <w:jc w:val="left"/>
                    <w:jc w:val="center"/>
                  </w:pPr>
                  <w:r>
                    <w:t xml:space="preserve">3.3%</w:t>
                  </w:r>
                </w:p>
              </w:tc>
              <w:tc>
                <w:tcPr/>
                <w:p>
                  <w:pPr>
                    <w:pStyle w:val="Compact"/>
                    <w:jc w:val="right"/>
                    <w:jc w:val="center"/>
                  </w:pPr>
                  <w:r>
                    <w:t xml:space="preserve">0.9</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60.4 (54.4–66.4)%</w:t>
                  </w:r>
                </w:p>
              </w:tc>
              <w:tc>
                <w:tcPr/>
                <w:p>
                  <w:pPr>
                    <w:pStyle w:val="Compact"/>
                    <w:jc w:val="left"/>
                    <w:jc w:val="center"/>
                  </w:pPr>
                  <w:r>
                    <w:t xml:space="preserve">58.8%</w:t>
                  </w:r>
                </w:p>
              </w:tc>
              <w:tc>
                <w:tcPr/>
                <w:p>
                  <w:pPr>
                    <w:pStyle w:val="Compact"/>
                    <w:jc w:val="right"/>
                    <w:jc w:val="center"/>
                  </w:pPr>
                  <w:r>
                    <w:t xml:space="preserve">1.6</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64.3 (57.5–71.1)%</w:t>
                  </w:r>
                </w:p>
              </w:tc>
              <w:tc>
                <w:tcPr/>
                <w:p>
                  <w:pPr>
                    <w:pStyle w:val="Compact"/>
                    <w:jc w:val="left"/>
                    <w:jc w:val="center"/>
                  </w:pPr>
                  <w:r>
                    <w:t xml:space="preserve">64.8%</w:t>
                  </w:r>
                </w:p>
              </w:tc>
              <w:tc>
                <w:tcPr/>
                <w:p>
                  <w:pPr>
                    <w:pStyle w:val="Compact"/>
                    <w:jc w:val="right"/>
                    <w:jc w:val="center"/>
                  </w:pPr>
                  <w:r>
                    <w:t xml:space="preserve">0.5</w:t>
                  </w:r>
                </w:p>
              </w:tc>
            </w:tr>
          </w:tbl>
          <w:bookmarkEnd w:id="40"/>
          <w:p/>
        </w:tc>
      </w:tr>
    </w:tbl>
    <w:bookmarkEnd w:id="41"/>
    <w:bookmarkStart w:id="43" w:name="Xd5671671c5e6012cba754b7c6de7f0569ea75d6"/>
    <w:p>
      <w:pPr>
        <w:pStyle w:val="Heading2"/>
      </w:pPr>
      <w:r>
        <w:t xml:space="preserve">3.4 Benchmark comparison against canonical methods</w:t>
      </w:r>
    </w:p>
    <w:p>
      <w:pPr>
        <w:pStyle w:val="FirstParagraph"/>
      </w:pPr>
      <w:r>
        <w:t xml:space="preserve">Five comparator methods were evaluated alongside the area-level</w:t>
      </w:r>
      <w:r>
        <w:t xml:space="preserve"> </w:t>
      </w:r>
      <w:r>
        <w:t xml:space="preserve">SuperLearner: country-mean baseline, OLS with up to 8 covariates,</w:t>
      </w:r>
      <w:r>
        <w:t xml:space="preserve"> </w:t>
      </w:r>
      <w:r>
        <w:t xml:space="preserve">elastic-net penalised regression, Fay–Herriot, and the BYM2 disease</w:t>
      </w:r>
      <w:r>
        <w:t xml:space="preserve"> </w:t>
      </w:r>
      <w:r>
        <w:t xml:space="preserve">mapping model fit in INLA (</w:t>
      </w:r>
      <w:hyperlink w:anchor="tbl-benchmarks">
        <w:r>
          <w:rPr>
            <w:rStyle w:val="Hyperlink"/>
          </w:rPr>
          <w:t xml:space="preserve">Table 5</w:t>
        </w:r>
      </w:hyperlink>
      <w:r>
        <w:t xml:space="preserve">). Results across the four</w:t>
      </w:r>
      <w:r>
        <w:t xml:space="preserve"> </w:t>
      </w:r>
      <w:r>
        <w:t xml:space="preserve">primary LOCO outcomes indicate that the prescreened SuperLearner</w:t>
      </w:r>
      <w:r>
        <w:t xml:space="preserve"> </w:t>
      </w:r>
      <w:r>
        <w:t xml:space="preserve">ensemble does not consistently outperform simpler methods, and in fact</w:t>
      </w:r>
      <w:r>
        <w:t xml:space="preserve"> </w:t>
      </w:r>
      <w:r>
        <w:t xml:space="preserve">loses to them on most splits. Among the 13 outcome–holdout splits for</w:t>
      </w:r>
      <w:r>
        <w:t xml:space="preserve"> </w:t>
      </w:r>
      <w:r>
        <w:t xml:space="preserve">which both the prescreened ensemble and at least one canonical benchmark</w:t>
      </w:r>
      <w:r>
        <w:t xml:space="preserve"> </w:t>
      </w:r>
      <w:r>
        <w:t xml:space="preserve">(country-mean baseline, OLS, elastic-net, Fay–Herriot, or BYM2) were</w:t>
      </w:r>
      <w:r>
        <w:t xml:space="preserve"> </w:t>
      </w:r>
      <w:r>
        <w:t xml:space="preserve">estimable, the best benchmark method beat the ensemble on 10 and the</w:t>
      </w:r>
      <w:r>
        <w:t xml:space="preserve"> </w:t>
      </w:r>
      <w:r>
        <w:t xml:space="preserve">ensemble won 3 by Pearson r. The most dramatic disagreement was for</w:t>
      </w:r>
      <w:r>
        <w:t xml:space="preserve"> </w:t>
      </w:r>
      <w:r>
        <w:t xml:space="preserve">child iron deficiency with Sierra Leone held out, where the ensemble</w:t>
      </w:r>
      <w:r>
        <w:t xml:space="preserve"> </w:t>
      </w:r>
      <w:r>
        <w:t xml:space="preserve">produced anti-predictive ordering (r = −0.19) while a full-covariate</w:t>
      </w:r>
      <w:r>
        <w:t xml:space="preserve"> </w:t>
      </w:r>
      <w:r>
        <w:t xml:space="preserve">OLS recovered the signal (r = 0.51).</w:t>
      </w:r>
    </w:p>
    <w:p>
      <w:pPr>
        <w:pStyle w:val="BodyText"/>
      </w:pPr>
      <w:r>
        <w:t xml:space="preserve">The ensemble’s few wins were concentrated on outcomes with non-linear</w:t>
      </w:r>
      <w:r>
        <w:t xml:space="preserve"> </w:t>
      </w:r>
      <w:r>
        <w:t xml:space="preserve">spatial signal — most clearly women-iron deficiency with Gambia held out</w:t>
      </w:r>
      <w:r>
        <w:t xml:space="preserve"> </w:t>
      </w:r>
      <w:r>
        <w:t xml:space="preserve">(ensemble r = 0.59, versus 0.51 for elastic-net and −0.03 for OLS) and</w:t>
      </w:r>
      <w:r>
        <w:t xml:space="preserve"> </w:t>
      </w:r>
      <w:r>
        <w:t xml:space="preserve">with Ghana held out (ensemble r = 0.40 versus 0.27 for elastic-net) — and</w:t>
      </w:r>
      <w:r>
        <w:t xml:space="preserve"> </w:t>
      </w:r>
      <w:r>
        <w:t xml:space="preserve">in these cases ranger was the winning base learner in the ensemble.</w:t>
      </w:r>
      <w:r>
        <w:t xml:space="preserve"> </w:t>
      </w:r>
      <w:r>
        <w:t xml:space="preserve">Bayesian SAE models (Fay–Herriot, BYM2)</w:t>
      </w:r>
      <w:r>
        <w:t xml:space="preserve"> </w:t>
      </w:r>
      <w:r>
        <w:t xml:space="preserve">provided small additional gains in calibration but did not</w:t>
      </w:r>
      <w:r>
        <w:t xml:space="preserve"> </w:t>
      </w:r>
      <w:r>
        <w:t xml:space="preserve">substantially shift the Pearson r ranking, consistent with the</w:t>
      </w:r>
      <w:r>
        <w:t xml:space="preserve"> </w:t>
      </w:r>
      <w:r>
        <w:t xml:space="preserve">observation that these methods derive most of their advantage from</w:t>
      </w:r>
      <w:r>
        <w:t xml:space="preserve"> </w:t>
      </w:r>
      <w:r>
        <w:t xml:space="preserve">within-country spatial smoothing, which is partially lost in LOCO</w:t>
      </w:r>
      <w:r>
        <w:t xml:space="preserve"> </w:t>
      </w:r>
      <w:r>
        <w:t xml:space="preserve">holdout when the held-out country contributes no observed data to the</w:t>
      </w:r>
      <w:r>
        <w:t xml:space="preserve"> </w:t>
      </w:r>
      <w:r>
        <w:t xml:space="preserve">graph.</w:t>
      </w:r>
    </w:p>
    <w:tbl>
      <w:tblPr>
        <w:tblStyle w:val="Table"/>
        <w:tblW w:type="pct" w:w="5000"/>
        <w:tblLayout w:type="fixed"/>
        <w:tblLook w:firstRow="0" w:lastRow="0" w:firstColumn="0" w:lastColumn="0" w:noHBand="0" w:noVBand="0" w:val="0000"/>
      </w:tblPr>
      <w:tblGrid>
        <w:gridCol w:w="7920"/>
      </w:tblGrid>
      <w:tr>
        <w:tc>
          <w:tcPr/>
          <w:bookmarkStart w:id="42" w:name="tbl-benchmarks"/>
          <w:p>
            <w:pPr>
              <w:jc w:val="center"/>
            </w:pPr>
            <w:pPr>
              <w:jc w:val="start"/>
              <w:spacing w:before="200"/>
              <w:pStyle w:val="ImageCaption"/>
            </w:pPr>
            <w:r>
              <w:t xml:space="preserve">Table 5: LOCO transportability: prescreened SuperLearner vs benchmark methods. Pearson r between predicted and observed admin-2 prevalence. From results/tables/benchmarks_all.csv.</w:t>
            </w:r>
          </w:p>
          <w:tbl>
            <w:tblPr>
              <w:tblStyle w:val="Table"/>
              <w:tblW w:type="pct" w:w="5000"/>
              <w:tblLayout w:type="fixed"/>
              <w:tblLook w:firstRow="1" w:lastRow="0" w:firstColumn="0" w:lastColumn="0" w:noHBand="0" w:noVBand="0" w:val="0020"/>
            </w:tblPr>
            <w:tblGrid>
              <w:gridCol w:w="354"/>
              <w:gridCol w:w="386"/>
              <w:gridCol w:w="289"/>
              <w:gridCol w:w="225"/>
              <w:gridCol w:w="321"/>
              <w:gridCol w:w="225"/>
              <w:gridCol w:w="225"/>
              <w:gridCol w:w="321"/>
              <w:gridCol w:w="257"/>
              <w:gridCol w:w="225"/>
              <w:gridCol w:w="257"/>
              <w:gridCol w:w="450"/>
              <w:gridCol w:w="225"/>
              <w:gridCol w:w="579"/>
              <w:gridCol w:w="515"/>
              <w:gridCol w:w="482"/>
              <w:gridCol w:w="515"/>
              <w:gridCol w:w="579"/>
              <w:gridCol w:w="482"/>
              <w:gridCol w:w="225"/>
              <w:gridCol w:w="225"/>
              <w:gridCol w:w="289"/>
              <w:gridCol w:w="257"/>
            </w:tblGrid>
            <w:tr>
              <w:trPr>
                <w:tblHeader w:val="on"/>
              </w:trPr>
              <w:tc>
                <w:tcPr/>
                <w:p>
                  <w:pPr>
                    <w:pStyle w:val="Compact"/>
                    <w:jc w:val="left"/>
                    <w:jc w:val="center"/>
                  </w:pPr>
                  <w:r>
                    <w:t xml:space="preserve">outcome</w:t>
                  </w:r>
                </w:p>
              </w:tc>
              <w:tc>
                <w:tcPr/>
                <w:p>
                  <w:pPr>
                    <w:pStyle w:val="Compact"/>
                    <w:jc w:val="left"/>
                    <w:jc w:val="center"/>
                  </w:pPr>
                  <w:r>
                    <w:t xml:space="preserve">held_out</w:t>
                  </w:r>
                </w:p>
              </w:tc>
              <w:tc>
                <w:tcPr/>
                <w:p>
                  <w:pPr>
                    <w:pStyle w:val="Compact"/>
                    <w:jc w:val="right"/>
                    <w:jc w:val="center"/>
                  </w:pPr>
                  <w:r>
                    <w:t xml:space="preserve">baseline</w:t>
                  </w:r>
                </w:p>
              </w:tc>
              <w:tc>
                <w:tcPr/>
                <w:p>
                  <w:pPr>
                    <w:pStyle w:val="Compact"/>
                    <w:jc w:val="right"/>
                    <w:jc w:val="center"/>
                  </w:pPr>
                  <w:r>
                    <w:t xml:space="preserve">glm</w:t>
                  </w:r>
                </w:p>
              </w:tc>
              <w:tc>
                <w:tcPr/>
                <w:p>
                  <w:pPr>
                    <w:pStyle w:val="Compact"/>
                    <w:jc w:val="right"/>
                    <w:jc w:val="center"/>
                  </w:pPr>
                  <w:r>
                    <w:t xml:space="preserve">penalized</w:t>
                  </w:r>
                </w:p>
              </w:tc>
              <w:tc>
                <w:tcPr/>
                <w:p>
                  <w:pPr>
                    <w:pStyle w:val="Compact"/>
                    <w:jc w:val="right"/>
                    <w:jc w:val="center"/>
                  </w:pPr>
                  <w:r>
                    <w:t xml:space="preserve">bym2</w:t>
                  </w:r>
                </w:p>
              </w:tc>
              <w:tc>
                <w:tcPr/>
                <w:p>
                  <w:pPr>
                    <w:pStyle w:val="Compact"/>
                    <w:jc w:val="right"/>
                    <w:jc w:val="center"/>
                  </w:pPr>
                  <w:r>
                    <w:t xml:space="preserve">mixed</w:t>
                  </w:r>
                </w:p>
              </w:tc>
              <w:tc>
                <w:tcPr/>
                <w:p>
                  <w:pPr>
                    <w:pStyle w:val="Compact"/>
                    <w:jc w:val="right"/>
                    <w:jc w:val="center"/>
                  </w:pPr>
                  <w:r>
                    <w:t xml:space="preserve">two_stage</w:t>
                  </w:r>
                </w:p>
              </w:tc>
              <w:tc>
                <w:tcPr/>
                <w:p>
                  <w:pPr>
                    <w:pStyle w:val="Compact"/>
                    <w:jc w:val="right"/>
                    <w:jc w:val="center"/>
                  </w:pPr>
                  <w:r>
                    <w:t xml:space="preserve">forward</w:t>
                  </w:r>
                </w:p>
              </w:tc>
              <w:tc>
                <w:tcPr/>
                <w:p>
                  <w:pPr>
                    <w:pStyle w:val="Compact"/>
                    <w:jc w:val="right"/>
                    <w:jc w:val="center"/>
                  </w:pPr>
                  <w:r>
                    <w:t xml:space="preserve">gam</w:t>
                  </w:r>
                </w:p>
              </w:tc>
              <w:tc>
                <w:tcPr/>
                <w:p>
                  <w:pPr>
                    <w:pStyle w:val="Compact"/>
                    <w:jc w:val="right"/>
                    <w:jc w:val="center"/>
                  </w:pPr>
                  <w:r>
                    <w:t xml:space="preserve">stacked</w:t>
                  </w:r>
                </w:p>
              </w:tc>
              <w:tc>
                <w:tcPr/>
                <w:p>
                  <w:pPr>
                    <w:pStyle w:val="Compact"/>
                    <w:jc w:val="right"/>
                    <w:jc w:val="center"/>
                  </w:pPr>
                  <w:r>
                    <w:t xml:space="preserve">quasibinomial</w:t>
                  </w:r>
                </w:p>
              </w:tc>
              <w:tc>
                <w:tcPr/>
                <w:p>
                  <w:pPr>
                    <w:pStyle w:val="Compact"/>
                    <w:jc w:val="right"/>
                    <w:jc w:val="center"/>
                  </w:pPr>
                  <w:r>
                    <w:t xml:space="preserve">dag</w:t>
                  </w:r>
                </w:p>
              </w:tc>
              <w:tc>
                <w:tcPr/>
                <w:p>
                  <w:pPr>
                    <w:pStyle w:val="Compact"/>
                    <w:jc w:val="right"/>
                    <w:jc w:val="center"/>
                  </w:pPr>
                  <w:r>
                    <w:t xml:space="preserve">invariance_filter</w:t>
                  </w:r>
                </w:p>
              </w:tc>
              <w:tc>
                <w:tcPr/>
                <w:p>
                  <w:pPr>
                    <w:pStyle w:val="Compact"/>
                    <w:jc w:val="right"/>
                    <w:jc w:val="center"/>
                  </w:pPr>
                  <w:r>
                    <w:t xml:space="preserve">combined_filter</w:t>
                  </w:r>
                </w:p>
              </w:tc>
              <w:tc>
                <w:tcPr/>
                <w:p>
                  <w:pPr>
                    <w:pStyle w:val="Compact"/>
                    <w:jc w:val="right"/>
                    <w:jc w:val="center"/>
                  </w:pPr>
                  <w:r>
                    <w:t xml:space="preserve">spatial_coords</w:t>
                  </w:r>
                </w:p>
              </w:tc>
              <w:tc>
                <w:tcPr/>
                <w:p>
                  <w:pPr>
                    <w:pStyle w:val="Compact"/>
                    <w:jc w:val="right"/>
                    <w:jc w:val="center"/>
                  </w:pPr>
                  <w:r>
                    <w:t xml:space="preserve">spatial_plus_h6</w:t>
                  </w:r>
                </w:p>
              </w:tc>
              <w:tc>
                <w:tcPr/>
                <w:p>
                  <w:pPr>
                    <w:pStyle w:val="Compact"/>
                    <w:jc w:val="right"/>
                    <w:jc w:val="center"/>
                  </w:pPr>
                  <w:r>
                    <w:t xml:space="preserve">spatial_plus_soil</w:t>
                  </w:r>
                </w:p>
              </w:tc>
              <w:tc>
                <w:tcPr/>
                <w:p>
                  <w:pPr>
                    <w:pStyle w:val="Compact"/>
                    <w:jc w:val="right"/>
                    <w:jc w:val="center"/>
                  </w:pPr>
                  <w:r>
                    <w:t xml:space="preserve">sl_prescreened</w:t>
                  </w:r>
                </w:p>
              </w:tc>
              <w:tc>
                <w:tcPr/>
                <w:p>
                  <w:pPr>
                    <w:pStyle w:val="Compact"/>
                    <w:jc w:val="right"/>
                    <w:jc w:val="center"/>
                  </w:pPr>
                  <w:r>
                    <w:t xml:space="preserve">coral</w:t>
                  </w:r>
                </w:p>
              </w:tc>
              <w:tc>
                <w:tcPr/>
                <w:p>
                  <w:pPr>
                    <w:pStyle w:val="Compact"/>
                    <w:jc w:val="right"/>
                    <w:jc w:val="center"/>
                  </w:pPr>
                  <w:r>
                    <w:t xml:space="preserve">fh</w:t>
                  </w:r>
                </w:p>
              </w:tc>
              <w:tc>
                <w:tcPr/>
                <w:p>
                  <w:pPr>
                    <w:pStyle w:val="Compact"/>
                    <w:jc w:val="right"/>
                    <w:jc w:val="center"/>
                  </w:pPr>
                  <w:r>
                    <w:t xml:space="preserve">quantile</w:t>
                  </w:r>
                </w:p>
              </w:tc>
              <w:tc>
                <w:tcPr/>
                <w:p>
                  <w:pPr>
                    <w:pStyle w:val="Compact"/>
                    <w:jc w:val="right"/>
                    <w:jc w:val="center"/>
                  </w:pPr>
                  <w:r>
                    <w:t xml:space="preserve">betareg</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-0.556</w:t>
                  </w:r>
                </w:p>
              </w:tc>
              <w:tc>
                <w:tcPr/>
                <w:p>
                  <w:pPr>
                    <w:pStyle w:val="Compact"/>
                    <w:jc w:val="right"/>
                    <w:jc w:val="center"/>
                  </w:pPr>
                  <w:r>
                    <w:t xml:space="preserve">0.212</w:t>
                  </w:r>
                </w:p>
              </w:tc>
              <w:tc>
                <w:tcPr/>
                <w:p>
                  <w:pPr>
                    <w:pStyle w:val="Compact"/>
                    <w:jc w:val="right"/>
                    <w:jc w:val="center"/>
                  </w:pPr>
                  <w:r>
                    <w:t xml:space="preserve">-0.171</w:t>
                  </w:r>
                </w:p>
              </w:tc>
              <w:tc>
                <w:tcPr/>
                <w:p>
                  <w:pPr>
                    <w:pStyle w:val="Compact"/>
                    <w:jc w:val="right"/>
                    <w:jc w:val="center"/>
                  </w:pPr>
                  <w:r>
                    <w:t xml:space="preserve">-0.478</w:t>
                  </w:r>
                </w:p>
              </w:tc>
              <w:tc>
                <w:tcPr/>
                <w:p>
                  <w:pPr>
                    <w:pStyle w:val="Compact"/>
                    <w:jc w:val="right"/>
                    <w:jc w:val="center"/>
                  </w:pPr>
                  <w:r>
                    <w:t xml:space="preserve">0.180</w:t>
                  </w:r>
                </w:p>
              </w:tc>
              <w:tc>
                <w:tcPr/>
                <w:p>
                  <w:pPr>
                    <w:pStyle w:val="Compact"/>
                    <w:jc w:val="right"/>
                    <w:jc w:val="center"/>
                  </w:pPr>
                  <w:r>
                    <w:t xml:space="preserve">-0.238</w:t>
                  </w:r>
                </w:p>
              </w:tc>
              <w:tc>
                <w:tcPr/>
                <w:p>
                  <w:pPr>
                    <w:pStyle w:val="Compact"/>
                    <w:jc w:val="right"/>
                    <w:jc w:val="center"/>
                  </w:pPr>
                  <w:r>
                    <w:t xml:space="preserve">-0.579</w:t>
                  </w:r>
                </w:p>
              </w:tc>
              <w:tc>
                <w:tcPr/>
                <w:p>
                  <w:pPr>
                    <w:pStyle w:val="Compact"/>
                    <w:jc w:val="right"/>
                    <w:jc w:val="center"/>
                  </w:pPr>
                  <w:r>
                    <w:t xml:space="preserve">-0.478</w:t>
                  </w:r>
                </w:p>
              </w:tc>
              <w:tc>
                <w:tcPr/>
                <w:p>
                  <w:pPr>
                    <w:pStyle w:val="Compact"/>
                    <w:jc w:val="right"/>
                    <w:jc w:val="center"/>
                  </w:pPr>
                  <w:r>
                    <w:t xml:space="preserve">-0.495</w:t>
                  </w:r>
                </w:p>
              </w:tc>
              <w:tc>
                <w:tcPr/>
                <w:p>
                  <w:pPr>
                    <w:pStyle w:val="Compact"/>
                    <w:jc w:val="right"/>
                    <w:jc w:val="center"/>
                  </w:pPr>
                  <w:r>
                    <w:t xml:space="preserve">0.125</w:t>
                  </w:r>
                </w:p>
              </w:tc>
              <w:tc>
                <w:tcPr/>
                <w:p>
                  <w:pPr>
                    <w:pStyle w:val="Compact"/>
                    <w:jc w:val="right"/>
                    <w:jc w:val="center"/>
                  </w:pPr>
                  <w:r>
                    <w:t xml:space="preserve">-0.359</w:t>
                  </w:r>
                </w:p>
              </w:tc>
              <w:tc>
                <w:tcPr/>
                <w:p>
                  <w:pPr>
                    <w:pStyle w:val="Compact"/>
                    <w:jc w:val="right"/>
                    <w:jc w:val="center"/>
                  </w:pPr>
                  <w:r>
                    <w:t xml:space="preserve">-0.323</w:t>
                  </w:r>
                </w:p>
              </w:tc>
              <w:tc>
                <w:tcPr/>
                <w:p>
                  <w:pPr>
                    <w:pStyle w:val="Compact"/>
                    <w:jc w:val="right"/>
                    <w:jc w:val="center"/>
                  </w:pPr>
                  <w:r>
                    <w:t xml:space="preserve">0.572</w:t>
                  </w:r>
                </w:p>
              </w:tc>
              <w:tc>
                <w:tcPr/>
                <w:p>
                  <w:pPr>
                    <w:pStyle w:val="Compact"/>
                    <w:jc w:val="right"/>
                    <w:jc w:val="center"/>
                  </w:pPr>
                  <w:r>
                    <w:t xml:space="preserve">-0.298</w:t>
                  </w:r>
                </w:p>
              </w:tc>
              <w:tc>
                <w:tcPr/>
                <w:p>
                  <w:pPr>
                    <w:pStyle w:val="Compact"/>
                    <w:jc w:val="right"/>
                    <w:jc w:val="center"/>
                  </w:pPr>
                  <w:r>
                    <w:t xml:space="preserve">0.556</w:t>
                  </w:r>
                </w:p>
              </w:tc>
              <w:tc>
                <w:tcPr/>
                <w:p>
                  <w:pPr>
                    <w:pStyle w:val="Compact"/>
                    <w:jc w:val="right"/>
                    <w:jc w:val="center"/>
                  </w:pPr>
                  <w:r>
                    <w:t xml:space="preserve">-0.212</w:t>
                  </w:r>
                </w:p>
              </w:tc>
              <w:tc>
                <w:tcPr/>
                <w:p>
                  <w:pPr>
                    <w:pStyle w:val="Compact"/>
                    <w:jc w:val="right"/>
                    <w:jc w:val="center"/>
                  </w:pPr>
                  <w:r>
                    <w:t xml:space="preserve">-0.023</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-0.064</w:t>
                  </w:r>
                </w:p>
              </w:tc>
              <w:tc>
                <w:tcPr/>
                <w:p>
                  <w:pPr>
                    <w:pStyle w:val="Compact"/>
                    <w:jc w:val="right"/>
                    <w:jc w:val="center"/>
                  </w:pPr>
                  <w:r>
                    <w:t xml:space="preserve">-0.036</w:t>
                  </w:r>
                </w:p>
              </w:tc>
              <w:tc>
                <w:tcPr/>
                <w:p>
                  <w:pPr>
                    <w:pStyle w:val="Compact"/>
                    <w:jc w:val="right"/>
                    <w:jc w:val="center"/>
                  </w:pPr>
                  <w:r>
                    <w:t xml:space="preserve">-0.021</w:t>
                  </w:r>
                </w:p>
              </w:tc>
              <w:tc>
                <w:tcPr/>
                <w:p>
                  <w:pPr>
                    <w:pStyle w:val="Compact"/>
                    <w:jc w:val="right"/>
                    <w:jc w:val="center"/>
                  </w:pPr>
                  <w:r>
                    <w:t xml:space="preserve">-0.108</w:t>
                  </w:r>
                </w:p>
              </w:tc>
              <w:tc>
                <w:tcPr/>
                <w:p>
                  <w:pPr>
                    <w:pStyle w:val="Compact"/>
                    <w:jc w:val="right"/>
                    <w:jc w:val="center"/>
                  </w:pPr>
                  <w:r>
                    <w:t xml:space="preserve">0.171</w:t>
                  </w:r>
                </w:p>
              </w:tc>
              <w:tc>
                <w:tcPr/>
                <w:p>
                  <w:pPr>
                    <w:pStyle w:val="Compact"/>
                    <w:jc w:val="right"/>
                    <w:jc w:val="center"/>
                  </w:pPr>
                  <w:r>
                    <w:t xml:space="preserve">-0.057</w:t>
                  </w:r>
                </w:p>
              </w:tc>
              <w:tc>
                <w:tcPr/>
                <w:p>
                  <w:pPr>
                    <w:pStyle w:val="Compact"/>
                    <w:jc w:val="right"/>
                    <w:jc w:val="center"/>
                  </w:pPr>
                  <w:r>
                    <w:t xml:space="preserve">-0.033</w:t>
                  </w:r>
                </w:p>
              </w:tc>
              <w:tc>
                <w:tcPr/>
                <w:p>
                  <w:pPr>
                    <w:pStyle w:val="Compact"/>
                    <w:jc w:val="right"/>
                    <w:jc w:val="center"/>
                  </w:pPr>
                  <w:r>
                    <w:t xml:space="preserve">-0.043</w:t>
                  </w:r>
                </w:p>
              </w:tc>
              <w:tc>
                <w:tcPr/>
                <w:p>
                  <w:pPr>
                    <w:pStyle w:val="Compact"/>
                    <w:jc w:val="right"/>
                    <w:jc w:val="center"/>
                  </w:pPr>
                  <w:r>
                    <w:t xml:space="preserve">-0.067</w:t>
                  </w:r>
                </w:p>
              </w:tc>
              <w:tc>
                <w:tcPr/>
                <w:p>
                  <w:pPr>
                    <w:pStyle w:val="Compact"/>
                    <w:jc w:val="right"/>
                    <w:jc w:val="center"/>
                  </w:pPr>
                  <w:r>
                    <w:t xml:space="preserve">0.252</w:t>
                  </w:r>
                </w:p>
              </w:tc>
              <w:tc>
                <w:tcPr/>
                <w:p>
                  <w:pPr>
                    <w:pStyle w:val="Compact"/>
                    <w:jc w:val="right"/>
                    <w:jc w:val="center"/>
                  </w:pPr>
                  <w:r>
                    <w:t xml:space="preserve">0.334</w:t>
                  </w:r>
                </w:p>
              </w:tc>
              <w:tc>
                <w:tcPr/>
                <w:p>
                  <w:pPr>
                    <w:pStyle w:val="Compact"/>
                    <w:jc w:val="right"/>
                    <w:jc w:val="center"/>
                  </w:pPr>
                  <w:r>
                    <w:t xml:space="preserve">0.322</w:t>
                  </w:r>
                </w:p>
              </w:tc>
              <w:tc>
                <w:tcPr/>
                <w:p>
                  <w:pPr>
                    <w:pStyle w:val="Compact"/>
                    <w:jc w:val="right"/>
                    <w:jc w:val="center"/>
                  </w:pPr>
                  <w:r>
                    <w:t xml:space="preserve">0.346</w:t>
                  </w:r>
                </w:p>
              </w:tc>
              <w:tc>
                <w:tcPr/>
                <w:p>
                  <w:pPr>
                    <w:pStyle w:val="Compact"/>
                    <w:jc w:val="right"/>
                    <w:jc w:val="center"/>
                  </w:pPr>
                  <w:r>
                    <w:t xml:space="preserve">0.346</w:t>
                  </w:r>
                </w:p>
              </w:tc>
              <w:tc>
                <w:tcPr/>
                <w:p>
                  <w:pPr>
                    <w:pStyle w:val="Compact"/>
                    <w:jc w:val="right"/>
                    <w:jc w:val="center"/>
                  </w:pPr>
                  <w:r>
                    <w:t xml:space="preserve">0.363</w:t>
                  </w:r>
                </w:p>
              </w:tc>
              <w:tc>
                <w:tcPr/>
                <w:p>
                  <w:pPr>
                    <w:pStyle w:val="Compact"/>
                    <w:jc w:val="right"/>
                    <w:jc w:val="center"/>
                  </w:pPr>
                  <w:r>
                    <w:t xml:space="preserve">0.341</w:t>
                  </w:r>
                </w:p>
              </w:tc>
              <w:tc>
                <w:tcPr/>
                <w:p>
                  <w:pPr>
                    <w:pStyle w:val="Compact"/>
                    <w:jc w:val="right"/>
                    <w:jc w:val="center"/>
                  </w:pPr>
                  <w:r>
                    <w:t xml:space="preserve">-0.025</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-0.228</w:t>
                  </w:r>
                </w:p>
              </w:tc>
              <w:tc>
                <w:tcPr/>
                <w:p>
                  <w:pPr>
                    <w:pStyle w:val="Compact"/>
                    <w:jc w:val="right"/>
                    <w:jc w:val="center"/>
                  </w:pPr>
                  <w:r>
                    <w:t xml:space="preserve">0.007</w:t>
                  </w:r>
                </w:p>
              </w:tc>
              <w:tc>
                <w:tcPr/>
                <w:p>
                  <w:pPr>
                    <w:pStyle w:val="Compact"/>
                    <w:jc w:val="right"/>
                    <w:jc w:val="center"/>
                  </w:pPr>
                  <w:r>
                    <w:t xml:space="preserve">-0.007</w:t>
                  </w:r>
                </w:p>
              </w:tc>
              <w:tc>
                <w:tcPr/>
                <w:p>
                  <w:pPr>
                    <w:pStyle w:val="Compact"/>
                    <w:jc w:val="right"/>
                    <w:jc w:val="center"/>
                  </w:pPr>
                  <w:r>
                    <w:t xml:space="preserve">-0.046</w:t>
                  </w:r>
                </w:p>
              </w:tc>
              <w:tc>
                <w:tcPr/>
                <w:p>
                  <w:pPr>
                    <w:pStyle w:val="Compact"/>
                    <w:jc w:val="right"/>
                    <w:jc w:val="center"/>
                  </w:pPr>
                  <w:r>
                    <w:t xml:space="preserve">NA</w:t>
                  </w:r>
                </w:p>
              </w:tc>
              <w:tc>
                <w:tcPr/>
                <w:p>
                  <w:pPr>
                    <w:pStyle w:val="Compact"/>
                    <w:jc w:val="right"/>
                    <w:jc w:val="center"/>
                  </w:pPr>
                  <w:r>
                    <w:t xml:space="preserve">-0.042</w:t>
                  </w:r>
                </w:p>
              </w:tc>
              <w:tc>
                <w:tcPr/>
                <w:p>
                  <w:pPr>
                    <w:pStyle w:val="Compact"/>
                    <w:jc w:val="right"/>
                    <w:jc w:val="center"/>
                  </w:pPr>
                  <w:r>
                    <w:t xml:space="preserve">-0.057</w:t>
                  </w:r>
                </w:p>
              </w:tc>
              <w:tc>
                <w:tcPr/>
                <w:p>
                  <w:pPr>
                    <w:pStyle w:val="Compact"/>
                    <w:jc w:val="right"/>
                    <w:jc w:val="center"/>
                  </w:pPr>
                  <w:r>
                    <w:t xml:space="preserve">-0.049</w:t>
                  </w:r>
                </w:p>
              </w:tc>
              <w:tc>
                <w:tcPr/>
                <w:p>
                  <w:pPr>
                    <w:pStyle w:val="Compact"/>
                    <w:jc w:val="right"/>
                    <w:jc w:val="center"/>
                  </w:pPr>
                  <w:r>
                    <w:t xml:space="preserve">-0.253</w:t>
                  </w:r>
                </w:p>
              </w:tc>
              <w:tc>
                <w:tcPr/>
                <w:p>
                  <w:pPr>
                    <w:pStyle w:val="Compact"/>
                    <w:jc w:val="right"/>
                    <w:jc w:val="center"/>
                  </w:pPr>
                  <w:r>
                    <w:t xml:space="preserve">-0.100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0.137</w:t>
                  </w:r>
                </w:p>
              </w:tc>
              <w:tc>
                <w:tcPr/>
                <w:p>
                  <w:pPr>
                    <w:pStyle w:val="Compact"/>
                    <w:jc w:val="right"/>
                    <w:jc w:val="center"/>
                  </w:pPr>
                  <w:r>
                    <w:t xml:space="preserve">0.137</w:t>
                  </w:r>
                </w:p>
              </w:tc>
              <w:tc>
                <w:tcPr/>
                <w:p>
                  <w:pPr>
                    <w:pStyle w:val="Compact"/>
                    <w:jc w:val="right"/>
                    <w:jc w:val="center"/>
                  </w:pPr>
                  <w:r>
                    <w:t xml:space="preserve">0.103</w:t>
                  </w:r>
                </w:p>
              </w:tc>
              <w:tc>
                <w:tcPr/>
                <w:p>
                  <w:pPr>
                    <w:pStyle w:val="Compact"/>
                    <w:jc w:val="right"/>
                    <w:jc w:val="center"/>
                  </w:pPr>
                  <w:r>
                    <w:t xml:space="preserve">-0.102</w:t>
                  </w:r>
                </w:p>
              </w:tc>
              <w:tc>
                <w:tcPr/>
                <w:p>
                  <w:pPr>
                    <w:pStyle w:val="Compact"/>
                    <w:jc w:val="right"/>
                    <w:jc w:val="center"/>
                  </w:pPr>
                  <w:r>
                    <w:t xml:space="preserve">-0.244</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-0.015</w:t>
                  </w:r>
                </w:p>
              </w:tc>
              <w:tc>
                <w:tcPr/>
                <w:p>
                  <w:pPr>
                    <w:pStyle w:val="Compact"/>
                    <w:jc w:val="right"/>
                    <w:jc w:val="center"/>
                  </w:pPr>
                  <w:r>
                    <w:t xml:space="preserve">0.099</w:t>
                  </w:r>
                </w:p>
              </w:tc>
              <w:tc>
                <w:tcPr/>
                <w:p>
                  <w:pPr>
                    <w:pStyle w:val="Compact"/>
                    <w:jc w:val="right"/>
                    <w:jc w:val="center"/>
                  </w:pPr>
                  <w:r>
                    <w:t xml:space="preserve">0.022</w:t>
                  </w:r>
                </w:p>
              </w:tc>
              <w:tc>
                <w:tcPr/>
                <w:p>
                  <w:pPr>
                    <w:pStyle w:val="Compact"/>
                    <w:jc w:val="right"/>
                    <w:jc w:val="center"/>
                  </w:pPr>
                  <w:r>
                    <w:t xml:space="preserve">-0.015</w:t>
                  </w:r>
                </w:p>
              </w:tc>
              <w:tc>
                <w:tcPr/>
                <w:p>
                  <w:pPr>
                    <w:pStyle w:val="Compact"/>
                    <w:jc w:val="right"/>
                    <w:jc w:val="center"/>
                  </w:pPr>
                  <w:r>
                    <w:t xml:space="preserve">0.060</w:t>
                  </w:r>
                </w:p>
              </w:tc>
              <w:tc>
                <w:tcPr/>
                <w:p>
                  <w:pPr>
                    <w:pStyle w:val="Compact"/>
                    <w:jc w:val="right"/>
                    <w:jc w:val="center"/>
                  </w:pPr>
                  <w:r>
                    <w:t xml:space="preserve">-0.006</w:t>
                  </w:r>
                </w:p>
              </w:tc>
              <w:tc>
                <w:tcPr/>
                <w:p>
                  <w:pPr>
                    <w:pStyle w:val="Compact"/>
                    <w:jc w:val="right"/>
                    <w:jc w:val="center"/>
                  </w:pPr>
                  <w:r>
                    <w:t xml:space="preserve">-0.197</w:t>
                  </w:r>
                </w:p>
              </w:tc>
              <w:tc>
                <w:tcPr/>
                <w:p>
                  <w:pPr>
                    <w:pStyle w:val="Compact"/>
                    <w:jc w:val="right"/>
                    <w:jc w:val="center"/>
                  </w:pPr>
                  <w:r>
                    <w:t xml:space="preserve">-0.125</w:t>
                  </w:r>
                </w:p>
              </w:tc>
              <w:tc>
                <w:tcPr/>
                <w:p>
                  <w:pPr>
                    <w:pStyle w:val="Compact"/>
                    <w:jc w:val="right"/>
                    <w:jc w:val="center"/>
                  </w:pPr>
                  <w:r>
                    <w:t xml:space="preserve">-0.060</w:t>
                  </w:r>
                </w:p>
              </w:tc>
              <w:tc>
                <w:tcPr/>
                <w:p>
                  <w:pPr>
                    <w:pStyle w:val="Compact"/>
                    <w:jc w:val="right"/>
                    <w:jc w:val="center"/>
                  </w:pPr>
                  <w:r>
                    <w:t xml:space="preserve">0.175</w:t>
                  </w:r>
                </w:p>
              </w:tc>
              <w:tc>
                <w:tcPr/>
                <w:p>
                  <w:pPr>
                    <w:pStyle w:val="Compact"/>
                    <w:jc w:val="right"/>
                    <w:jc w:val="center"/>
                  </w:pPr>
                  <w:r>
                    <w:t xml:space="preserve">0.104</w:t>
                  </w:r>
                </w:p>
              </w:tc>
              <w:tc>
                <w:tcPr/>
                <w:p>
                  <w:pPr>
                    <w:pStyle w:val="Compact"/>
                    <w:jc w:val="right"/>
                    <w:jc w:val="center"/>
                  </w:pPr>
                  <w:r>
                    <w:t xml:space="preserve">0.105</w:t>
                  </w:r>
                </w:p>
              </w:tc>
              <w:tc>
                <w:tcPr/>
                <w:p>
                  <w:pPr>
                    <w:pStyle w:val="Compact"/>
                    <w:jc w:val="right"/>
                    <w:jc w:val="center"/>
                  </w:pPr>
                  <w:r>
                    <w:t xml:space="preserve">-0.123</w:t>
                  </w:r>
                </w:p>
              </w:tc>
              <w:tc>
                <w:tcPr/>
                <w:p>
                  <w:pPr>
                    <w:pStyle w:val="Compact"/>
                    <w:jc w:val="right"/>
                    <w:jc w:val="center"/>
                  </w:pPr>
                  <w:r>
                    <w:t xml:space="preserve">-0.123</w:t>
                  </w:r>
                </w:p>
              </w:tc>
              <w:tc>
                <w:tcPr/>
                <w:p>
                  <w:pPr>
                    <w:pStyle w:val="Compact"/>
                    <w:jc w:val="right"/>
                    <w:jc w:val="center"/>
                  </w:pPr>
                  <w:r>
                    <w:t xml:space="preserve">0.005</w:t>
                  </w:r>
                </w:p>
              </w:tc>
              <w:tc>
                <w:tcPr/>
                <w:p>
                  <w:pPr>
                    <w:pStyle w:val="Compact"/>
                    <w:jc w:val="right"/>
                    <w:jc w:val="center"/>
                  </w:pPr>
                  <w:r>
                    <w:t xml:space="preserve">0.072</w:t>
                  </w:r>
                </w:p>
              </w:tc>
              <w:tc>
                <w:tcPr/>
                <w:p>
                  <w:pPr>
                    <w:pStyle w:val="Compact"/>
                    <w:jc w:val="right"/>
                    <w:jc w:val="center"/>
                  </w:pPr>
                  <w:r>
                    <w:t xml:space="preserve">-0.011</w:t>
                  </w:r>
                </w:p>
              </w:tc>
              <w:tc>
                <w:tcPr/>
                <w:p>
                  <w:pPr>
                    <w:pStyle w:val="Compact"/>
                    <w:jc w:val="right"/>
                    <w:jc w:val="center"/>
                  </w:pPr>
                  <w:r>
                    <w:t xml:space="preserve">0.077</w:t>
                  </w:r>
                </w:p>
              </w:tc>
              <w:tc>
                <w:tcPr/>
                <w:p>
                  <w:pPr>
                    <w:pStyle w:val="Compact"/>
                    <w:jc w:val="right"/>
                    <w:jc w:val="center"/>
                  </w:pPr>
                  <w:r>
                    <w:t xml:space="preserve">-0.115</w:t>
                  </w:r>
                </w:p>
              </w:tc>
              <w:tc>
                <w:tcPr/>
                <w:p>
                  <w:pPr>
                    <w:pStyle w:val="Compact"/>
                    <w:jc w:val="right"/>
                    <w:jc w:val="center"/>
                  </w:pPr>
                  <w:r>
                    <w:t xml:space="preserve">0.029</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0.514</w:t>
                  </w:r>
                </w:p>
              </w:tc>
              <w:tc>
                <w:tcPr/>
                <w:p>
                  <w:pPr>
                    <w:pStyle w:val="Compact"/>
                    <w:jc w:val="right"/>
                    <w:jc w:val="center"/>
                  </w:pPr>
                  <w:r>
                    <w:t xml:space="preserve">NA</w:t>
                  </w:r>
                </w:p>
              </w:tc>
              <w:tc>
                <w:tcPr/>
                <w:p>
                  <w:pPr>
                    <w:pStyle w:val="Compact"/>
                    <w:jc w:val="right"/>
                    <w:jc w:val="center"/>
                  </w:pPr>
                  <w:r>
                    <w:t xml:space="preserve">0.505</w:t>
                  </w:r>
                </w:p>
              </w:tc>
              <w:tc>
                <w:tcPr/>
                <w:p>
                  <w:pPr>
                    <w:pStyle w:val="Compact"/>
                    <w:jc w:val="right"/>
                    <w:jc w:val="center"/>
                  </w:pPr>
                  <w:r>
                    <w:t xml:space="preserve">0.515</w:t>
                  </w:r>
                </w:p>
              </w:tc>
              <w:tc>
                <w:tcPr/>
                <w:p>
                  <w:pPr>
                    <w:pStyle w:val="Compact"/>
                    <w:jc w:val="right"/>
                    <w:jc w:val="center"/>
                  </w:pPr>
                  <w:r>
                    <w:t xml:space="preserve">0.461</w:t>
                  </w:r>
                </w:p>
              </w:tc>
              <w:tc>
                <w:tcPr/>
                <w:p>
                  <w:pPr>
                    <w:pStyle w:val="Compact"/>
                    <w:jc w:val="right"/>
                    <w:jc w:val="center"/>
                  </w:pPr>
                  <w:r>
                    <w:t xml:space="preserve">0.173</w:t>
                  </w:r>
                </w:p>
              </w:tc>
              <w:tc>
                <w:tcPr/>
                <w:p>
                  <w:pPr>
                    <w:pStyle w:val="Compact"/>
                    <w:jc w:val="right"/>
                    <w:jc w:val="center"/>
                  </w:pPr>
                  <w:r>
                    <w:t xml:space="preserve">0.459</w:t>
                  </w:r>
                </w:p>
              </w:tc>
              <w:tc>
                <w:tcPr/>
                <w:p>
                  <w:pPr>
                    <w:pStyle w:val="Compact"/>
                    <w:jc w:val="right"/>
                    <w:jc w:val="center"/>
                  </w:pPr>
                  <w:r>
                    <w:t xml:space="preserve">0.515</w:t>
                  </w:r>
                </w:p>
              </w:tc>
              <w:tc>
                <w:tcPr/>
                <w:p>
                  <w:pPr>
                    <w:pStyle w:val="Compact"/>
                    <w:jc w:val="right"/>
                    <w:jc w:val="center"/>
                  </w:pPr>
                  <w:r>
                    <w:t xml:space="preserve">0.581</w:t>
                  </w:r>
                </w:p>
              </w:tc>
              <w:tc>
                <w:tcPr/>
                <w:p>
                  <w:pPr>
                    <w:pStyle w:val="Compact"/>
                    <w:jc w:val="right"/>
                    <w:jc w:val="center"/>
                  </w:pPr>
                  <w:r>
                    <w:t xml:space="preserve">-0.107</w:t>
                  </w:r>
                </w:p>
              </w:tc>
              <w:tc>
                <w:tcPr/>
                <w:p>
                  <w:pPr>
                    <w:pStyle w:val="Compact"/>
                    <w:jc w:val="right"/>
                    <w:jc w:val="center"/>
                  </w:pPr>
                  <w:r>
                    <w:t xml:space="preserve">0.071</w:t>
                  </w:r>
                </w:p>
              </w:tc>
              <w:tc>
                <w:tcPr/>
                <w:p>
                  <w:pPr>
                    <w:pStyle w:val="Compact"/>
                    <w:jc w:val="right"/>
                    <w:jc w:val="center"/>
                  </w:pPr>
                  <w:r>
                    <w:t xml:space="preserve">0.236</w:t>
                  </w:r>
                </w:p>
              </w:tc>
              <w:tc>
                <w:tcPr/>
                <w:p>
                  <w:pPr>
                    <w:pStyle w:val="Compact"/>
                    <w:jc w:val="right"/>
                    <w:jc w:val="center"/>
                  </w:pPr>
                  <w:r>
                    <w:t xml:space="preserve">0.520</w:t>
                  </w:r>
                </w:p>
              </w:tc>
              <w:tc>
                <w:tcPr/>
                <w:p>
                  <w:pPr>
                    <w:pStyle w:val="Compact"/>
                    <w:jc w:val="right"/>
                    <w:jc w:val="center"/>
                  </w:pPr>
                  <w:r>
                    <w:t xml:space="preserve">0.485</w:t>
                  </w:r>
                </w:p>
              </w:tc>
              <w:tc>
                <w:tcPr/>
                <w:p>
                  <w:pPr>
                    <w:pStyle w:val="Compact"/>
                    <w:jc w:val="right"/>
                    <w:jc w:val="center"/>
                  </w:pPr>
                  <w:r>
                    <w:t xml:space="preserve">0.526</w:t>
                  </w:r>
                </w:p>
              </w:tc>
              <w:tc>
                <w:tcPr/>
                <w:p>
                  <w:pPr>
                    <w:pStyle w:val="Compact"/>
                    <w:jc w:val="right"/>
                    <w:jc w:val="center"/>
                  </w:pPr>
                  <w:r>
                    <w:t xml:space="preserve">0.430</w:t>
                  </w:r>
                </w:p>
              </w:tc>
              <w:tc>
                <w:tcPr/>
                <w:p>
                  <w:pPr>
                    <w:pStyle w:val="Compact"/>
                    <w:jc w:val="right"/>
                    <w:jc w:val="center"/>
                  </w:pPr>
                  <w:r>
                    <w:t xml:space="preserve">0.356</w:t>
                  </w:r>
                </w:p>
              </w:tc>
              <w:tc>
                <w:tcPr/>
                <w:p>
                  <w:pPr>
                    <w:pStyle w:val="Compact"/>
                    <w:jc w:val="right"/>
                    <w:jc w:val="center"/>
                  </w:pPr>
                  <w:r>
                    <w:t xml:space="preserve">-0.242</w:t>
                  </w:r>
                </w:p>
              </w:tc>
              <w:tc>
                <w:tcPr/>
                <w:p>
                  <w:pPr>
                    <w:pStyle w:val="Compact"/>
                    <w:jc w:val="right"/>
                    <w:jc w:val="center"/>
                  </w:pPr>
                  <w:r>
                    <w:t xml:space="preserve">0.318</w:t>
                  </w:r>
                </w:p>
              </w:tc>
              <w:tc>
                <w:tcPr/>
                <w:p>
                  <w:pPr>
                    <w:pStyle w:val="Compact"/>
                    <w:jc w:val="right"/>
                    <w:jc w:val="center"/>
                  </w:pPr>
                  <w:r>
                    <w:t xml:space="preserve">0.467</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0.154</w:t>
                  </w:r>
                </w:p>
              </w:tc>
              <w:tc>
                <w:tcPr/>
                <w:p>
                  <w:pPr>
                    <w:pStyle w:val="Compact"/>
                    <w:jc w:val="right"/>
                    <w:jc w:val="center"/>
                  </w:pPr>
                  <w:r>
                    <w:t xml:space="preserve">0.279</w:t>
                  </w:r>
                </w:p>
              </w:tc>
              <w:tc>
                <w:tcPr/>
                <w:p>
                  <w:pPr>
                    <w:pStyle w:val="Compact"/>
                    <w:jc w:val="right"/>
                    <w:jc w:val="center"/>
                  </w:pPr>
                  <w:r>
                    <w:t xml:space="preserve">0.099</w:t>
                  </w:r>
                </w:p>
              </w:tc>
              <w:tc>
                <w:tcPr/>
                <w:p>
                  <w:pPr>
                    <w:pStyle w:val="Compact"/>
                    <w:jc w:val="right"/>
                    <w:jc w:val="center"/>
                  </w:pPr>
                  <w:r>
                    <w:t xml:space="preserve">0.166</w:t>
                  </w:r>
                </w:p>
              </w:tc>
              <w:tc>
                <w:tcPr/>
                <w:p>
                  <w:pPr>
                    <w:pStyle w:val="Compact"/>
                    <w:jc w:val="right"/>
                    <w:jc w:val="center"/>
                  </w:pPr>
                  <w:r>
                    <w:t xml:space="preserve">0.222</w:t>
                  </w:r>
                </w:p>
              </w:tc>
              <w:tc>
                <w:tcPr/>
                <w:p>
                  <w:pPr>
                    <w:pStyle w:val="Compact"/>
                    <w:jc w:val="right"/>
                    <w:jc w:val="center"/>
                  </w:pPr>
                  <w:r>
                    <w:t xml:space="preserve">0.128</w:t>
                  </w:r>
                </w:p>
              </w:tc>
              <w:tc>
                <w:tcPr/>
                <w:p>
                  <w:pPr>
                    <w:pStyle w:val="Compact"/>
                    <w:jc w:val="right"/>
                    <w:jc w:val="center"/>
                  </w:pPr>
                  <w:r>
                    <w:t xml:space="preserve">-0.042</w:t>
                  </w:r>
                </w:p>
              </w:tc>
              <w:tc>
                <w:tcPr/>
                <w:p>
                  <w:pPr>
                    <w:pStyle w:val="Compact"/>
                    <w:jc w:val="right"/>
                    <w:jc w:val="center"/>
                  </w:pPr>
                  <w:r>
                    <w:t xml:space="preserve">0.219</w:t>
                  </w:r>
                </w:p>
              </w:tc>
              <w:tc>
                <w:tcPr/>
                <w:p>
                  <w:pPr>
                    <w:pStyle w:val="Compact"/>
                    <w:jc w:val="right"/>
                    <w:jc w:val="center"/>
                  </w:pPr>
                  <w:r>
                    <w:t xml:space="preserve">0.118</w:t>
                  </w:r>
                </w:p>
              </w:tc>
              <w:tc>
                <w:tcPr/>
                <w:p>
                  <w:pPr>
                    <w:pStyle w:val="Compact"/>
                    <w:jc w:val="right"/>
                    <w:jc w:val="center"/>
                  </w:pPr>
                  <w:r>
                    <w:t xml:space="preserve">0.111</w:t>
                  </w:r>
                </w:p>
              </w:tc>
              <w:tc>
                <w:tcPr/>
                <w:p>
                  <w:pPr>
                    <w:pStyle w:val="Compact"/>
                    <w:jc w:val="right"/>
                    <w:jc w:val="center"/>
                  </w:pPr>
                  <w:r>
                    <w:t xml:space="preserve">0.170</w:t>
                  </w:r>
                </w:p>
              </w:tc>
              <w:tc>
                <w:tcPr/>
                <w:p>
                  <w:pPr>
                    <w:pStyle w:val="Compact"/>
                    <w:jc w:val="right"/>
                    <w:jc w:val="center"/>
                  </w:pPr>
                  <w:r>
                    <w:t xml:space="preserve">0.149</w:t>
                  </w:r>
                </w:p>
              </w:tc>
              <w:tc>
                <w:tcPr/>
                <w:p>
                  <w:pPr>
                    <w:pStyle w:val="Compact"/>
                    <w:jc w:val="right"/>
                    <w:jc w:val="center"/>
                  </w:pPr>
                  <w:r>
                    <w:t xml:space="preserve">0.239</w:t>
                  </w:r>
                </w:p>
              </w:tc>
              <w:tc>
                <w:tcPr/>
                <w:p>
                  <w:pPr>
                    <w:pStyle w:val="Compact"/>
                    <w:jc w:val="right"/>
                    <w:jc w:val="center"/>
                  </w:pPr>
                  <w:r>
                    <w:t xml:space="preserve">0.239</w:t>
                  </w:r>
                </w:p>
              </w:tc>
              <w:tc>
                <w:tcPr/>
                <w:p>
                  <w:pPr>
                    <w:pStyle w:val="Compact"/>
                    <w:jc w:val="right"/>
                    <w:jc w:val="center"/>
                  </w:pPr>
                  <w:r>
                    <w:t xml:space="preserve">0.262</w:t>
                  </w:r>
                </w:p>
              </w:tc>
              <w:tc>
                <w:tcPr/>
                <w:p>
                  <w:pPr>
                    <w:pStyle w:val="Compact"/>
                    <w:jc w:val="right"/>
                    <w:jc w:val="center"/>
                  </w:pPr>
                  <w:r>
                    <w:t xml:space="preserve">0.049</w:t>
                  </w:r>
                </w:p>
              </w:tc>
              <w:tc>
                <w:tcPr/>
                <w:p>
                  <w:pPr>
                    <w:pStyle w:val="Compact"/>
                    <w:jc w:val="right"/>
                    <w:jc w:val="center"/>
                  </w:pPr>
                  <w:r>
                    <w:t xml:space="preserve">0.207</w:t>
                  </w:r>
                </w:p>
              </w:tc>
              <w:tc>
                <w:tcPr/>
                <w:p>
                  <w:pPr>
                    <w:pStyle w:val="Compact"/>
                    <w:jc w:val="right"/>
                    <w:jc w:val="center"/>
                  </w:pPr>
                  <w:r>
                    <w:t xml:space="preserve">-0.041</w:t>
                  </w:r>
                </w:p>
              </w:tc>
              <w:tc>
                <w:tcPr/>
                <w:p>
                  <w:pPr>
                    <w:pStyle w:val="Compact"/>
                    <w:jc w:val="right"/>
                    <w:jc w:val="center"/>
                  </w:pPr>
                  <w:r>
                    <w:t xml:space="preserve">0.199</w:t>
                  </w:r>
                </w:p>
              </w:tc>
              <w:tc>
                <w:tcPr/>
                <w:p>
                  <w:pPr>
                    <w:pStyle w:val="Compact"/>
                    <w:jc w:val="right"/>
                    <w:jc w:val="center"/>
                  </w:pPr>
                  <w:r>
                    <w:t xml:space="preserve">-0.101</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0.180</w:t>
                  </w:r>
                </w:p>
              </w:tc>
              <w:tc>
                <w:tcPr/>
                <w:p>
                  <w:pPr>
                    <w:pStyle w:val="Compact"/>
                    <w:jc w:val="right"/>
                    <w:jc w:val="center"/>
                  </w:pPr>
                  <w:r>
                    <w:t xml:space="preserve">NA</w:t>
                  </w:r>
                </w:p>
              </w:tc>
              <w:tc>
                <w:tcPr/>
                <w:p>
                  <w:pPr>
                    <w:pStyle w:val="Compact"/>
                    <w:jc w:val="right"/>
                    <w:jc w:val="center"/>
                  </w:pPr>
                  <w:r>
                    <w:t xml:space="preserve">0.098</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-0.140</w:t>
                  </w:r>
                </w:p>
              </w:tc>
              <w:tc>
                <w:tcPr/>
                <w:p>
                  <w:pPr>
                    <w:pStyle w:val="Compact"/>
                    <w:jc w:val="right"/>
                    <w:jc w:val="center"/>
                  </w:pPr>
                  <w:r>
                    <w:t xml:space="preserve">-0.090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-0.052</w:t>
                  </w:r>
                </w:p>
              </w:tc>
              <w:tc>
                <w:tcPr/>
                <w:p>
                  <w:pPr>
                    <w:pStyle w:val="Compact"/>
                    <w:jc w:val="right"/>
                    <w:jc w:val="center"/>
                  </w:pPr>
                  <w:r>
                    <w:t xml:space="preserve">-0.052</w:t>
                  </w:r>
                </w:p>
              </w:tc>
              <w:tc>
                <w:tcPr/>
                <w:p>
                  <w:pPr>
                    <w:pStyle w:val="Compact"/>
                    <w:jc w:val="right"/>
                    <w:jc w:val="center"/>
                  </w:pPr>
                  <w:r>
                    <w:t xml:space="preserve">0.222</w:t>
                  </w:r>
                </w:p>
              </w:tc>
              <w:tc>
                <w:tcPr/>
                <w:p>
                  <w:pPr>
                    <w:pStyle w:val="Compact"/>
                    <w:jc w:val="right"/>
                    <w:jc w:val="center"/>
                  </w:pPr>
                  <w:r>
                    <w:t xml:space="preserve">NA</w:t>
                  </w:r>
                </w:p>
              </w:tc>
              <w:tc>
                <w:tcPr/>
                <w:p>
                  <w:pPr>
                    <w:pStyle w:val="Compact"/>
                    <w:jc w:val="right"/>
                    <w:jc w:val="center"/>
                  </w:pPr>
                  <w:r>
                    <w:t xml:space="preserve">-0.236</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-0.096</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0.028</w:t>
                  </w:r>
                </w:p>
              </w:tc>
              <w:tc>
                <w:tcPr/>
                <w:p>
                  <w:pPr>
                    <w:pStyle w:val="Compact"/>
                    <w:jc w:val="right"/>
                    <w:jc w:val="center"/>
                  </w:pPr>
                  <w:r>
                    <w:t xml:space="preserve">0.154</w:t>
                  </w:r>
                </w:p>
              </w:tc>
              <w:tc>
                <w:tcPr/>
                <w:p>
                  <w:pPr>
                    <w:pStyle w:val="Compact"/>
                    <w:jc w:val="right"/>
                    <w:jc w:val="center"/>
                  </w:pPr>
                  <w:r>
                    <w:t xml:space="preserve">-0.021</w:t>
                  </w:r>
                </w:p>
              </w:tc>
              <w:tc>
                <w:tcPr/>
                <w:p>
                  <w:pPr>
                    <w:pStyle w:val="Compact"/>
                    <w:jc w:val="right"/>
                    <w:jc w:val="center"/>
                  </w:pPr>
                  <w:r>
                    <w:t xml:space="preserve">0.029</w:t>
                  </w:r>
                </w:p>
              </w:tc>
              <w:tc>
                <w:tcPr/>
                <w:p>
                  <w:pPr>
                    <w:pStyle w:val="Compact"/>
                    <w:jc w:val="right"/>
                    <w:jc w:val="center"/>
                  </w:pPr>
                  <w:r>
                    <w:t xml:space="preserve">0.152</w:t>
                  </w:r>
                </w:p>
              </w:tc>
              <w:tc>
                <w:tcPr/>
                <w:p>
                  <w:pPr>
                    <w:pStyle w:val="Compact"/>
                    <w:jc w:val="right"/>
                    <w:jc w:val="center"/>
                  </w:pPr>
                  <w:r>
                    <w:t xml:space="preserve">0.144</w:t>
                  </w:r>
                </w:p>
              </w:tc>
              <w:tc>
                <w:tcPr/>
                <w:p>
                  <w:pPr>
                    <w:pStyle w:val="Compact"/>
                    <w:jc w:val="right"/>
                    <w:jc w:val="center"/>
                  </w:pPr>
                  <w:r>
                    <w:t xml:space="preserve">0.043</w:t>
                  </w:r>
                </w:p>
              </w:tc>
              <w:tc>
                <w:tcPr/>
                <w:p>
                  <w:pPr>
                    <w:pStyle w:val="Compact"/>
                    <w:jc w:val="right"/>
                    <w:jc w:val="center"/>
                  </w:pPr>
                  <w:r>
                    <w:t xml:space="preserve">0.085</w:t>
                  </w:r>
                </w:p>
              </w:tc>
              <w:tc>
                <w:tcPr/>
                <w:p>
                  <w:pPr>
                    <w:pStyle w:val="Compact"/>
                    <w:jc w:val="right"/>
                    <w:jc w:val="center"/>
                  </w:pPr>
                  <w:r>
                    <w:t xml:space="preserve">-0.007</w:t>
                  </w:r>
                </w:p>
              </w:tc>
              <w:tc>
                <w:tcPr/>
                <w:p>
                  <w:pPr>
                    <w:pStyle w:val="Compact"/>
                    <w:jc w:val="right"/>
                    <w:jc w:val="center"/>
                  </w:pPr>
                  <w:r>
                    <w:t xml:space="preserve">0.031</w:t>
                  </w:r>
                </w:p>
              </w:tc>
              <w:tc>
                <w:tcPr/>
                <w:p>
                  <w:pPr>
                    <w:pStyle w:val="Compact"/>
                    <w:jc w:val="right"/>
                    <w:jc w:val="center"/>
                  </w:pPr>
                  <w:r>
                    <w:t xml:space="preserve">0.142</w:t>
                  </w:r>
                </w:p>
              </w:tc>
              <w:tc>
                <w:tcPr/>
                <w:p>
                  <w:pPr>
                    <w:pStyle w:val="Compact"/>
                    <w:jc w:val="right"/>
                    <w:jc w:val="center"/>
                  </w:pPr>
                  <w:r>
                    <w:t xml:space="preserve">0.123</w:t>
                  </w:r>
                </w:p>
              </w:tc>
              <w:tc>
                <w:tcPr/>
                <w:p>
                  <w:pPr>
                    <w:pStyle w:val="Compact"/>
                    <w:jc w:val="right"/>
                    <w:jc w:val="center"/>
                  </w:pPr>
                  <w:r>
                    <w:t xml:space="preserve">-0.228</w:t>
                  </w:r>
                </w:p>
              </w:tc>
              <w:tc>
                <w:tcPr/>
                <w:p>
                  <w:pPr>
                    <w:pStyle w:val="Compact"/>
                    <w:jc w:val="right"/>
                    <w:jc w:val="center"/>
                  </w:pPr>
                  <w:r>
                    <w:t xml:space="preserve">-0.228</w:t>
                  </w:r>
                </w:p>
              </w:tc>
              <w:tc>
                <w:tcPr/>
                <w:p>
                  <w:pPr>
                    <w:pStyle w:val="Compact"/>
                    <w:jc w:val="right"/>
                    <w:jc w:val="center"/>
                  </w:pPr>
                  <w:r>
                    <w:t xml:space="preserve">0.150</w:t>
                  </w:r>
                </w:p>
              </w:tc>
              <w:tc>
                <w:tcPr/>
                <w:p>
                  <w:pPr>
                    <w:pStyle w:val="Compact"/>
                    <w:jc w:val="right"/>
                    <w:jc w:val="center"/>
                  </w:pPr>
                  <w:r>
                    <w:t xml:space="preserve">0.144</w:t>
                  </w:r>
                </w:p>
              </w:tc>
              <w:tc>
                <w:tcPr/>
                <w:p>
                  <w:pPr>
                    <w:pStyle w:val="Compact"/>
                    <w:jc w:val="right"/>
                    <w:jc w:val="center"/>
                  </w:pPr>
                  <w:r>
                    <w:t xml:space="preserve">0.078</w:t>
                  </w:r>
                </w:p>
              </w:tc>
              <w:tc>
                <w:tcPr/>
                <w:p>
                  <w:pPr>
                    <w:pStyle w:val="Compact"/>
                    <w:jc w:val="right"/>
                    <w:jc w:val="center"/>
                  </w:pPr>
                  <w:r>
                    <w:t xml:space="preserve">0.061</w:t>
                  </w:r>
                </w:p>
              </w:tc>
              <w:tc>
                <w:tcPr/>
                <w:p>
                  <w:pPr>
                    <w:pStyle w:val="Compact"/>
                    <w:jc w:val="right"/>
                    <w:jc w:val="center"/>
                  </w:pPr>
                  <w:r>
                    <w:t xml:space="preserve">NA</w:t>
                  </w:r>
                </w:p>
              </w:tc>
              <w:tc>
                <w:tcPr/>
                <w:p>
                  <w:pPr>
                    <w:pStyle w:val="Compact"/>
                    <w:jc w:val="right"/>
                    <w:jc w:val="center"/>
                  </w:pPr>
                  <w:r>
                    <w:t xml:space="preserve">-0.016</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0.482</w:t>
                  </w:r>
                </w:p>
              </w:tc>
              <w:tc>
                <w:tcPr/>
                <w:p>
                  <w:pPr>
                    <w:pStyle w:val="Compact"/>
                    <w:jc w:val="right"/>
                    <w:jc w:val="center"/>
                  </w:pPr>
                  <w:r>
                    <w:t xml:space="preserve">0.495</w:t>
                  </w:r>
                </w:p>
              </w:tc>
              <w:tc>
                <w:tcPr/>
                <w:p>
                  <w:pPr>
                    <w:pStyle w:val="Compact"/>
                    <w:jc w:val="right"/>
                    <w:jc w:val="center"/>
                  </w:pPr>
                  <w:r>
                    <w:t xml:space="preserve">0.507</w:t>
                  </w:r>
                </w:p>
              </w:tc>
              <w:tc>
                <w:tcPr/>
                <w:p>
                  <w:pPr>
                    <w:pStyle w:val="Compact"/>
                    <w:jc w:val="right"/>
                    <w:jc w:val="center"/>
                  </w:pPr>
                  <w:r>
                    <w:t xml:space="preserve">0.482</w:t>
                  </w:r>
                </w:p>
              </w:tc>
              <w:tc>
                <w:tcPr/>
                <w:p>
                  <w:pPr>
                    <w:pStyle w:val="Compact"/>
                    <w:jc w:val="right"/>
                    <w:jc w:val="center"/>
                  </w:pPr>
                  <w:r>
                    <w:t xml:space="preserve">0.513</w:t>
                  </w:r>
                </w:p>
              </w:tc>
              <w:tc>
                <w:tcPr/>
                <w:p>
                  <w:pPr>
                    <w:pStyle w:val="Compact"/>
                    <w:jc w:val="right"/>
                    <w:jc w:val="center"/>
                  </w:pPr>
                  <w:r>
                    <w:t xml:space="preserve">0.400</w:t>
                  </w:r>
                </w:p>
              </w:tc>
              <w:tc>
                <w:tcPr/>
                <w:p>
                  <w:pPr>
                    <w:pStyle w:val="Compact"/>
                    <w:jc w:val="right"/>
                    <w:jc w:val="center"/>
                  </w:pPr>
                  <w:r>
                    <w:t xml:space="preserve">0.489</w:t>
                  </w:r>
                </w:p>
              </w:tc>
              <w:tc>
                <w:tcPr/>
                <w:p>
                  <w:pPr>
                    <w:pStyle w:val="Compact"/>
                    <w:jc w:val="right"/>
                    <w:jc w:val="center"/>
                  </w:pPr>
                  <w:r>
                    <w:t xml:space="preserve">0.498</w:t>
                  </w:r>
                </w:p>
              </w:tc>
              <w:tc>
                <w:tcPr/>
                <w:p>
                  <w:pPr>
                    <w:pStyle w:val="Compact"/>
                    <w:jc w:val="right"/>
                    <w:jc w:val="center"/>
                  </w:pPr>
                  <w:r>
                    <w:t xml:space="preserve">0.477</w:t>
                  </w:r>
                </w:p>
              </w:tc>
              <w:tc>
                <w:tcPr/>
                <w:p>
                  <w:pPr>
                    <w:pStyle w:val="Compact"/>
                    <w:jc w:val="right"/>
                    <w:jc w:val="center"/>
                  </w:pPr>
                  <w:r>
                    <w:t xml:space="preserve">0.080</w:t>
                  </w:r>
                </w:p>
              </w:tc>
              <w:tc>
                <w:tcPr/>
                <w:p>
                  <w:pPr>
                    <w:pStyle w:val="Compact"/>
                    <w:jc w:val="right"/>
                    <w:jc w:val="center"/>
                  </w:pPr>
                  <w:r>
                    <w:t xml:space="preserve">0.540</w:t>
                  </w:r>
                </w:p>
              </w:tc>
              <w:tc>
                <w:tcPr/>
                <w:p>
                  <w:pPr>
                    <w:pStyle w:val="Compact"/>
                    <w:jc w:val="right"/>
                    <w:jc w:val="center"/>
                  </w:pPr>
                  <w:r>
                    <w:t xml:space="preserve">0.534</w:t>
                  </w:r>
                </w:p>
              </w:tc>
              <w:tc>
                <w:tcPr/>
                <w:p>
                  <w:pPr>
                    <w:pStyle w:val="Compact"/>
                    <w:jc w:val="right"/>
                    <w:jc w:val="center"/>
                  </w:pPr>
                  <w:r>
                    <w:t xml:space="preserve">0.574</w:t>
                  </w:r>
                </w:p>
              </w:tc>
              <w:tc>
                <w:tcPr/>
                <w:p>
                  <w:pPr>
                    <w:pStyle w:val="Compact"/>
                    <w:jc w:val="right"/>
                    <w:jc w:val="center"/>
                  </w:pPr>
                  <w:r>
                    <w:t xml:space="preserve">0.574</w:t>
                  </w:r>
                </w:p>
              </w:tc>
              <w:tc>
                <w:tcPr/>
                <w:p>
                  <w:pPr>
                    <w:pStyle w:val="Compact"/>
                    <w:jc w:val="right"/>
                    <w:jc w:val="center"/>
                  </w:pPr>
                  <w:r>
                    <w:t xml:space="preserve">0.496</w:t>
                  </w:r>
                </w:p>
              </w:tc>
              <w:tc>
                <w:tcPr/>
                <w:p>
                  <w:pPr>
                    <w:pStyle w:val="Compact"/>
                    <w:jc w:val="right"/>
                    <w:jc w:val="center"/>
                  </w:pPr>
                  <w:r>
                    <w:t xml:space="preserve">0.442</w:t>
                  </w:r>
                </w:p>
              </w:tc>
              <w:tc>
                <w:tcPr/>
                <w:p>
                  <w:pPr>
                    <w:pStyle w:val="Compact"/>
                    <w:jc w:val="right"/>
                    <w:jc w:val="center"/>
                  </w:pPr>
                  <w:r>
                    <w:t xml:space="preserve">0.455</w:t>
                  </w:r>
                </w:p>
              </w:tc>
              <w:tc>
                <w:tcPr/>
                <w:p>
                  <w:pPr>
                    <w:pStyle w:val="Compact"/>
                    <w:jc w:val="right"/>
                    <w:jc w:val="center"/>
                  </w:pPr>
                  <w:r>
                    <w:t xml:space="preserve">0.457</w:t>
                  </w:r>
                </w:p>
              </w:tc>
              <w:tc>
                <w:tcPr/>
                <w:p>
                  <w:pPr>
                    <w:pStyle w:val="Compact"/>
                    <w:jc w:val="right"/>
                    <w:jc w:val="center"/>
                  </w:pPr>
                  <w:r>
                    <w:t xml:space="preserve">0.463</w:t>
                  </w:r>
                </w:p>
              </w:tc>
              <w:tc>
                <w:tcPr/>
                <w:p>
                  <w:pPr>
                    <w:pStyle w:val="Compact"/>
                    <w:jc w:val="right"/>
                    <w:jc w:val="center"/>
                  </w:pPr>
                  <w:r>
                    <w:t xml:space="preserve">0.528</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0.476</w:t>
                  </w:r>
                </w:p>
              </w:tc>
              <w:tc>
                <w:tcPr/>
                <w:p>
                  <w:pPr>
                    <w:pStyle w:val="Compact"/>
                    <w:jc w:val="right"/>
                    <w:jc w:val="center"/>
                  </w:pPr>
                  <w:r>
                    <w:t xml:space="preserve">0.435</w:t>
                  </w:r>
                </w:p>
              </w:tc>
              <w:tc>
                <w:tcPr/>
                <w:p>
                  <w:pPr>
                    <w:pStyle w:val="Compact"/>
                    <w:jc w:val="right"/>
                    <w:jc w:val="center"/>
                  </w:pPr>
                  <w:r>
                    <w:t xml:space="preserve">0.377</w:t>
                  </w:r>
                </w:p>
              </w:tc>
              <w:tc>
                <w:tcPr/>
                <w:p>
                  <w:pPr>
                    <w:pStyle w:val="Compact"/>
                    <w:jc w:val="right"/>
                    <w:jc w:val="center"/>
                  </w:pPr>
                  <w:r>
                    <w:t xml:space="preserve">0.362</w:t>
                  </w:r>
                </w:p>
              </w:tc>
              <w:tc>
                <w:tcPr/>
                <w:p>
                  <w:pPr>
                    <w:pStyle w:val="Compact"/>
                    <w:jc w:val="right"/>
                    <w:jc w:val="center"/>
                  </w:pPr>
                  <w:r>
                    <w:t xml:space="preserve">NA</w:t>
                  </w:r>
                </w:p>
              </w:tc>
              <w:tc>
                <w:tcPr/>
                <w:p>
                  <w:pPr>
                    <w:pStyle w:val="Compact"/>
                    <w:jc w:val="right"/>
                    <w:jc w:val="center"/>
                  </w:pPr>
                  <w:r>
                    <w:t xml:space="preserve">0.283</w:t>
                  </w:r>
                </w:p>
              </w:tc>
              <w:tc>
                <w:tcPr/>
                <w:p>
                  <w:pPr>
                    <w:pStyle w:val="Compact"/>
                    <w:jc w:val="right"/>
                    <w:jc w:val="center"/>
                  </w:pPr>
                  <w:r>
                    <w:t xml:space="preserve">-0.142</w:t>
                  </w:r>
                </w:p>
              </w:tc>
              <w:tc>
                <w:tcPr/>
                <w:p>
                  <w:pPr>
                    <w:pStyle w:val="Compact"/>
                    <w:jc w:val="right"/>
                    <w:jc w:val="center"/>
                  </w:pPr>
                  <w:r>
                    <w:t xml:space="preserve">0.263</w:t>
                  </w:r>
                </w:p>
              </w:tc>
              <w:tc>
                <w:tcPr/>
                <w:p>
                  <w:pPr>
                    <w:pStyle w:val="Compact"/>
                    <w:jc w:val="right"/>
                    <w:jc w:val="center"/>
                  </w:pPr>
                  <w:r>
                    <w:t xml:space="preserve">0.403</w:t>
                  </w:r>
                </w:p>
              </w:tc>
              <w:tc>
                <w:tcPr/>
                <w:p>
                  <w:pPr>
                    <w:pStyle w:val="Compact"/>
                    <w:jc w:val="right"/>
                    <w:jc w:val="center"/>
                  </w:pPr>
                  <w:r>
                    <w:t xml:space="preserve">-0.142</w:t>
                  </w:r>
                </w:p>
              </w:tc>
              <w:tc>
                <w:tcPr/>
                <w:p>
                  <w:pPr>
                    <w:pStyle w:val="Compact"/>
                    <w:jc w:val="right"/>
                    <w:jc w:val="center"/>
                  </w:pPr>
                  <w:r>
                    <w:t xml:space="preserve">0.602</w:t>
                  </w:r>
                </w:p>
              </w:tc>
              <w:tc>
                <w:tcPr/>
                <w:p>
                  <w:pPr>
                    <w:pStyle w:val="Compact"/>
                    <w:jc w:val="right"/>
                    <w:jc w:val="center"/>
                  </w:pPr>
                  <w:r>
                    <w:t xml:space="preserve">0.623</w:t>
                  </w:r>
                </w:p>
              </w:tc>
              <w:tc>
                <w:tcPr/>
                <w:p>
                  <w:pPr>
                    <w:pStyle w:val="Compact"/>
                    <w:jc w:val="right"/>
                    <w:jc w:val="center"/>
                  </w:pPr>
                  <w:r>
                    <w:t xml:space="preserve">0.601</w:t>
                  </w:r>
                </w:p>
              </w:tc>
              <w:tc>
                <w:tcPr/>
                <w:p>
                  <w:pPr>
                    <w:pStyle w:val="Compact"/>
                    <w:jc w:val="right"/>
                    <w:jc w:val="center"/>
                  </w:pPr>
                  <w:r>
                    <w:t xml:space="preserve">0.574</w:t>
                  </w:r>
                </w:p>
              </w:tc>
              <w:tc>
                <w:tcPr/>
                <w:p>
                  <w:pPr>
                    <w:pStyle w:val="Compact"/>
                    <w:jc w:val="right"/>
                    <w:jc w:val="center"/>
                  </w:pPr>
                  <w:r>
                    <w:t xml:space="preserve">0.586</w:t>
                  </w:r>
                </w:p>
              </w:tc>
              <w:tc>
                <w:tcPr/>
                <w:p>
                  <w:pPr>
                    <w:pStyle w:val="Compact"/>
                    <w:jc w:val="right"/>
                    <w:jc w:val="center"/>
                  </w:pPr>
                  <w:r>
                    <w:t xml:space="preserve">0.401</w:t>
                  </w:r>
                </w:p>
              </w:tc>
              <w:tc>
                <w:tcPr/>
                <w:p>
                  <w:pPr>
                    <w:pStyle w:val="Compact"/>
                    <w:jc w:val="right"/>
                    <w:jc w:val="center"/>
                  </w:pPr>
                  <w:r>
                    <w:t xml:space="preserve">0.363</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0.501</w:t>
                  </w:r>
                </w:p>
              </w:tc>
              <w:tc>
                <w:tcPr/>
                <w:p>
                  <w:pPr>
                    <w:pStyle w:val="Compact"/>
                    <w:jc w:val="right"/>
                    <w:jc w:val="center"/>
                  </w:pPr>
                  <w:r>
                    <w:t xml:space="preserve">0.005</w:t>
                  </w:r>
                </w:p>
              </w:tc>
              <w:tc>
                <w:tcPr/>
                <w:p>
                  <w:pPr>
                    <w:pStyle w:val="Compact"/>
                    <w:jc w:val="right"/>
                    <w:jc w:val="center"/>
                  </w:pPr>
                  <w:r>
                    <w:t xml:space="preserve">-0.119</w:t>
                  </w:r>
                </w:p>
              </w:tc>
              <w:tc>
                <w:tcPr/>
                <w:p>
                  <w:pPr>
                    <w:pStyle w:val="Compact"/>
                    <w:jc w:val="right"/>
                    <w:jc w:val="center"/>
                  </w:pPr>
                  <w:r>
                    <w:t xml:space="preserve">0.361</w:t>
                  </w:r>
                </w:p>
              </w:tc>
              <w:tc>
                <w:tcPr/>
                <w:p>
                  <w:pPr>
                    <w:pStyle w:val="Compact"/>
                    <w:jc w:val="right"/>
                    <w:jc w:val="center"/>
                  </w:pPr>
                  <w:r>
                    <w:t xml:space="preserve">NA</w:t>
                  </w:r>
                </w:p>
              </w:tc>
              <w:tc>
                <w:tcPr/>
                <w:p>
                  <w:pPr>
                    <w:pStyle w:val="Compact"/>
                    <w:jc w:val="right"/>
                    <w:jc w:val="center"/>
                  </w:pPr>
                  <w:r>
                    <w:t xml:space="preserve">-0.038</w:t>
                  </w:r>
                </w:p>
              </w:tc>
              <w:tc>
                <w:tcPr/>
                <w:p>
                  <w:pPr>
                    <w:pStyle w:val="Compact"/>
                    <w:jc w:val="right"/>
                    <w:jc w:val="center"/>
                  </w:pPr>
                  <w:r>
                    <w:t xml:space="preserve">NA</w:t>
                  </w:r>
                </w:p>
              </w:tc>
              <w:tc>
                <w:tcPr/>
                <w:p>
                  <w:pPr>
                    <w:pStyle w:val="Compact"/>
                    <w:jc w:val="right"/>
                    <w:jc w:val="center"/>
                  </w:pPr>
                  <w:r>
                    <w:t xml:space="preserve">0.005</w:t>
                  </w:r>
                </w:p>
              </w:tc>
              <w:tc>
                <w:tcPr/>
                <w:p>
                  <w:pPr>
                    <w:pStyle w:val="Compact"/>
                    <w:jc w:val="right"/>
                    <w:jc w:val="center"/>
                  </w:pPr>
                  <w:r>
                    <w:t xml:space="preserve">0.479</w:t>
                  </w:r>
                </w:p>
              </w:tc>
              <w:tc>
                <w:tcPr/>
                <w:p>
                  <w:pPr>
                    <w:pStyle w:val="Compact"/>
                    <w:jc w:val="right"/>
                    <w:jc w:val="center"/>
                  </w:pPr>
                  <w:r>
                    <w:t xml:space="preserve">-0.368</w:t>
                  </w:r>
                </w:p>
              </w:tc>
              <w:tc>
                <w:tcPr/>
                <w:p>
                  <w:pPr>
                    <w:pStyle w:val="Compact"/>
                    <w:jc w:val="right"/>
                    <w:jc w:val="center"/>
                  </w:pPr>
                  <w:r>
                    <w:t xml:space="preserve">0.303</w:t>
                  </w:r>
                </w:p>
              </w:tc>
              <w:tc>
                <w:tcPr/>
                <w:p>
                  <w:pPr>
                    <w:pStyle w:val="Compact"/>
                    <w:jc w:val="right"/>
                    <w:jc w:val="center"/>
                  </w:pPr>
                  <w:r>
                    <w:t xml:space="preserve">NA</w:t>
                  </w:r>
                </w:p>
              </w:tc>
              <w:tc>
                <w:tcPr/>
                <w:p>
                  <w:pPr>
                    <w:pStyle w:val="Compact"/>
                    <w:jc w:val="right"/>
                    <w:jc w:val="center"/>
                  </w:pPr>
                  <w:r>
                    <w:t xml:space="preserve">0.289</w:t>
                  </w:r>
                </w:p>
              </w:tc>
              <w:tc>
                <w:tcPr/>
                <w:p>
                  <w:pPr>
                    <w:pStyle w:val="Compact"/>
                    <w:jc w:val="right"/>
                    <w:jc w:val="center"/>
                  </w:pPr>
                  <w:r>
                    <w:t xml:space="preserve">0.248</w:t>
                  </w:r>
                </w:p>
              </w:tc>
              <w:tc>
                <w:tcPr/>
                <w:p>
                  <w:pPr>
                    <w:pStyle w:val="Compact"/>
                    <w:jc w:val="right"/>
                    <w:jc w:val="center"/>
                  </w:pPr>
                  <w:r>
                    <w:t xml:space="preserve">0.311</w:t>
                  </w:r>
                </w:p>
              </w:tc>
              <w:tc>
                <w:tcPr/>
                <w:p>
                  <w:pPr>
                    <w:pStyle w:val="Compact"/>
                    <w:jc w:val="right"/>
                    <w:jc w:val="center"/>
                  </w:pPr>
                  <w:r>
                    <w:t xml:space="preserve">-0.141</w:t>
                  </w:r>
                </w:p>
              </w:tc>
              <w:tc>
                <w:tcPr/>
                <w:p>
                  <w:pPr>
                    <w:pStyle w:val="Compact"/>
                    <w:jc w:val="right"/>
                    <w:jc w:val="center"/>
                  </w:pPr>
                  <w:r>
                    <w:t xml:space="preserve">0.318</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0.073</w:t>
                  </w:r>
                </w:p>
              </w:tc>
              <w:tc>
                <w:tcPr/>
                <w:p>
                  <w:pPr>
                    <w:pStyle w:val="Compact"/>
                    <w:jc w:val="right"/>
                    <w:jc w:val="center"/>
                  </w:pPr>
                  <w:r>
                    <w:t xml:space="preserve">0.033</w:t>
                  </w:r>
                </w:p>
              </w:tc>
              <w:tc>
                <w:tcPr/>
                <w:p>
                  <w:pPr>
                    <w:pStyle w:val="Compact"/>
                    <w:jc w:val="right"/>
                    <w:jc w:val="center"/>
                  </w:pPr>
                  <w:r>
                    <w:t xml:space="preserve">0.071</w:t>
                  </w:r>
                </w:p>
              </w:tc>
              <w:tc>
                <w:tcPr/>
                <w:p>
                  <w:pPr>
                    <w:pStyle w:val="Compact"/>
                    <w:jc w:val="right"/>
                    <w:jc w:val="center"/>
                  </w:pPr>
                  <w:r>
                    <w:t xml:space="preserve">0.072</w:t>
                  </w:r>
                </w:p>
              </w:tc>
              <w:tc>
                <w:tcPr/>
                <w:p>
                  <w:pPr>
                    <w:pStyle w:val="Compact"/>
                    <w:jc w:val="right"/>
                    <w:jc w:val="center"/>
                  </w:pPr>
                  <w:r>
                    <w:t xml:space="preserve">NA</w:t>
                  </w:r>
                </w:p>
              </w:tc>
              <w:tc>
                <w:tcPr/>
                <w:p>
                  <w:pPr>
                    <w:pStyle w:val="Compact"/>
                    <w:jc w:val="right"/>
                    <w:jc w:val="center"/>
                  </w:pPr>
                  <w:r>
                    <w:t xml:space="preserve">0.093</w:t>
                  </w:r>
                </w:p>
              </w:tc>
              <w:tc>
                <w:tcPr/>
                <w:p>
                  <w:pPr>
                    <w:pStyle w:val="Compact"/>
                    <w:jc w:val="right"/>
                    <w:jc w:val="center"/>
                  </w:pPr>
                  <w:r>
                    <w:t xml:space="preserve">0.115</w:t>
                  </w:r>
                </w:p>
              </w:tc>
              <w:tc>
                <w:tcPr/>
                <w:p>
                  <w:pPr>
                    <w:pStyle w:val="Compact"/>
                    <w:jc w:val="right"/>
                    <w:jc w:val="center"/>
                  </w:pPr>
                  <w:r>
                    <w:t xml:space="preserve">0.113</w:t>
                  </w:r>
                </w:p>
              </w:tc>
              <w:tc>
                <w:tcPr/>
                <w:p>
                  <w:pPr>
                    <w:pStyle w:val="Compact"/>
                    <w:jc w:val="right"/>
                    <w:jc w:val="center"/>
                  </w:pPr>
                  <w:r>
                    <w:t xml:space="preserve">0.027</w:t>
                  </w:r>
                </w:p>
              </w:tc>
              <w:tc>
                <w:tcPr/>
                <w:p>
                  <w:pPr>
                    <w:pStyle w:val="Compact"/>
                    <w:jc w:val="right"/>
                    <w:jc w:val="center"/>
                  </w:pPr>
                  <w:r>
                    <w:t xml:space="preserve">0.021</w:t>
                  </w:r>
                </w:p>
              </w:tc>
              <w:tc>
                <w:tcPr/>
                <w:p>
                  <w:pPr>
                    <w:pStyle w:val="Compact"/>
                    <w:jc w:val="right"/>
                    <w:jc w:val="center"/>
                  </w:pPr>
                  <w:r>
                    <w:t xml:space="preserve">0.067</w:t>
                  </w:r>
                </w:p>
              </w:tc>
              <w:tc>
                <w:tcPr/>
                <w:p>
                  <w:pPr>
                    <w:pStyle w:val="Compact"/>
                    <w:jc w:val="right"/>
                    <w:jc w:val="center"/>
                  </w:pPr>
                  <w:r>
                    <w:t xml:space="preserve">-0.046</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0.068</w:t>
                  </w:r>
                </w:p>
              </w:tc>
              <w:tc>
                <w:tcPr/>
                <w:p>
                  <w:pPr>
                    <w:pStyle w:val="Compact"/>
                    <w:jc w:val="right"/>
                    <w:jc w:val="center"/>
                  </w:pPr>
                  <w:r>
                    <w:t xml:space="preserve">0.092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0.568</w:t>
                  </w:r>
                </w:p>
              </w:tc>
              <w:tc>
                <w:tcPr/>
                <w:p>
                  <w:pPr>
                    <w:pStyle w:val="Compact"/>
                    <w:jc w:val="right"/>
                    <w:jc w:val="center"/>
                  </w:pPr>
                  <w:r>
                    <w:t xml:space="preserve">0.576</w:t>
                  </w:r>
                </w:p>
              </w:tc>
              <w:tc>
                <w:tcPr/>
                <w:p>
                  <w:pPr>
                    <w:pStyle w:val="Compact"/>
                    <w:jc w:val="right"/>
                    <w:jc w:val="center"/>
                  </w:pPr>
                  <w:r>
                    <w:t xml:space="preserve">0.488</w:t>
                  </w:r>
                </w:p>
              </w:tc>
              <w:tc>
                <w:tcPr/>
                <w:p>
                  <w:pPr>
                    <w:pStyle w:val="Compact"/>
                    <w:jc w:val="right"/>
                    <w:jc w:val="center"/>
                  </w:pPr>
                  <w:r>
                    <w:t xml:space="preserve">-0.407</w:t>
                  </w:r>
                </w:p>
              </w:tc>
              <w:tc>
                <w:tcPr/>
                <w:p>
                  <w:pPr>
                    <w:pStyle w:val="Compact"/>
                    <w:jc w:val="right"/>
                    <w:jc w:val="center"/>
                  </w:pPr>
                  <w:r>
                    <w:t xml:space="preserve">0.724</w:t>
                  </w:r>
                </w:p>
              </w:tc>
              <w:tc>
                <w:tcPr/>
                <w:p>
                  <w:pPr>
                    <w:pStyle w:val="Compact"/>
                    <w:jc w:val="right"/>
                    <w:jc w:val="center"/>
                  </w:pPr>
                  <w:r>
                    <w:t xml:space="preserve">0.694</w:t>
                  </w:r>
                </w:p>
              </w:tc>
              <w:tc>
                <w:tcPr/>
                <w:p>
                  <w:pPr>
                    <w:pStyle w:val="Compact"/>
                    <w:jc w:val="right"/>
                    <w:jc w:val="center"/>
                  </w:pPr>
                  <w:r>
                    <w:t xml:space="preserve">0.630</w:t>
                  </w:r>
                </w:p>
              </w:tc>
              <w:tc>
                <w:tcPr/>
                <w:p>
                  <w:pPr>
                    <w:pStyle w:val="Compact"/>
                    <w:jc w:val="right"/>
                    <w:jc w:val="center"/>
                  </w:pPr>
                  <w:r>
                    <w:t xml:space="preserve">-0.026</w:t>
                  </w:r>
                </w:p>
              </w:tc>
              <w:tc>
                <w:tcPr/>
                <w:p>
                  <w:pPr>
                    <w:pStyle w:val="Compact"/>
                    <w:jc w:val="right"/>
                    <w:jc w:val="center"/>
                  </w:pPr>
                  <w:r>
                    <w:t xml:space="preserve">0.563</w:t>
                  </w:r>
                </w:p>
              </w:tc>
              <w:tc>
                <w:tcPr/>
                <w:p>
                  <w:pPr>
                    <w:pStyle w:val="Compact"/>
                    <w:jc w:val="right"/>
                    <w:jc w:val="center"/>
                  </w:pPr>
                  <w:r>
                    <w:t xml:space="preserve">-0.033</w:t>
                  </w:r>
                </w:p>
              </w:tc>
              <w:tc>
                <w:tcPr/>
                <w:p>
                  <w:pPr>
                    <w:pStyle w:val="Compact"/>
                    <w:jc w:val="right"/>
                    <w:jc w:val="center"/>
                  </w:pPr>
                  <w:r>
                    <w:t xml:space="preserve">0.641</w:t>
                  </w:r>
                </w:p>
              </w:tc>
              <w:tc>
                <w:tcPr/>
                <w:p>
                  <w:pPr>
                    <w:pStyle w:val="Compact"/>
                    <w:jc w:val="right"/>
                    <w:jc w:val="center"/>
                  </w:pPr>
                  <w:r>
                    <w:t xml:space="preserve">0.632</w:t>
                  </w:r>
                </w:p>
              </w:tc>
              <w:tc>
                <w:tcPr/>
                <w:p>
                  <w:pPr>
                    <w:pStyle w:val="Compact"/>
                    <w:jc w:val="right"/>
                    <w:jc w:val="center"/>
                  </w:pPr>
                  <w:r>
                    <w:t xml:space="preserve">0.750</w:t>
                  </w:r>
                </w:p>
              </w:tc>
              <w:tc>
                <w:tcPr/>
                <w:p>
                  <w:pPr>
                    <w:pStyle w:val="Compact"/>
                    <w:jc w:val="right"/>
                    <w:jc w:val="center"/>
                  </w:pPr>
                  <w:r>
                    <w:t xml:space="preserve">0.554</w:t>
                  </w:r>
                </w:p>
              </w:tc>
              <w:tc>
                <w:tcPr/>
                <w:p>
                  <w:pPr>
                    <w:pStyle w:val="Compact"/>
                    <w:jc w:val="right"/>
                    <w:jc w:val="center"/>
                  </w:pPr>
                  <w:r>
                    <w:t xml:space="preserve">0.657</w:t>
                  </w:r>
                </w:p>
              </w:tc>
              <w:tc>
                <w:tcPr/>
                <w:p>
                  <w:pPr>
                    <w:pStyle w:val="Compact"/>
                    <w:jc w:val="right"/>
                    <w:jc w:val="center"/>
                  </w:pPr>
                  <w:r>
                    <w:t xml:space="preserve">0.462</w:t>
                  </w:r>
                </w:p>
              </w:tc>
              <w:tc>
                <w:tcPr/>
                <w:p>
                  <w:pPr>
                    <w:pStyle w:val="Compact"/>
                    <w:jc w:val="right"/>
                    <w:jc w:val="center"/>
                  </w:pPr>
                  <w:r>
                    <w:t xml:space="preserve">0.132</w:t>
                  </w:r>
                </w:p>
              </w:tc>
              <w:tc>
                <w:tcPr/>
                <w:p>
                  <w:pPr>
                    <w:pStyle w:val="Compact"/>
                    <w:jc w:val="right"/>
                    <w:jc w:val="center"/>
                  </w:pPr>
                  <w:r>
                    <w:t xml:space="preserve">0.680</w:t>
                  </w:r>
                </w:p>
              </w:tc>
              <w:tc>
                <w:tcPr/>
                <w:p>
                  <w:pPr>
                    <w:pStyle w:val="Compact"/>
                    <w:jc w:val="right"/>
                    <w:jc w:val="center"/>
                  </w:pPr>
                  <w:r>
                    <w:t xml:space="preserve">-0.386</w:t>
                  </w:r>
                </w:p>
              </w:tc>
              <w:tc>
                <w:tcPr/>
                <w:p>
                  <w:pPr>
                    <w:pStyle w:val="Compact"/>
                    <w:jc w:val="right"/>
                    <w:jc w:val="center"/>
                  </w:pPr>
                  <w:r>
                    <w:t xml:space="preserve">0.660</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0.320</w:t>
                  </w:r>
                </w:p>
              </w:tc>
              <w:tc>
                <w:tcPr/>
                <w:p>
                  <w:pPr>
                    <w:pStyle w:val="Compact"/>
                    <w:jc w:val="right"/>
                    <w:jc w:val="center"/>
                  </w:pPr>
                  <w:r>
                    <w:t xml:space="preserve">0.245</w:t>
                  </w:r>
                </w:p>
              </w:tc>
              <w:tc>
                <w:tcPr/>
                <w:p>
                  <w:pPr>
                    <w:pStyle w:val="Compact"/>
                    <w:jc w:val="right"/>
                    <w:jc w:val="center"/>
                  </w:pPr>
                  <w:r>
                    <w:t xml:space="preserve">0.157</w:t>
                  </w:r>
                </w:p>
              </w:tc>
              <w:tc>
                <w:tcPr/>
                <w:p>
                  <w:pPr>
                    <w:pStyle w:val="Compact"/>
                    <w:jc w:val="right"/>
                    <w:jc w:val="center"/>
                  </w:pPr>
                  <w:r>
                    <w:t xml:space="preserve">0.344</w:t>
                  </w:r>
                </w:p>
              </w:tc>
              <w:tc>
                <w:tcPr/>
                <w:p>
                  <w:pPr>
                    <w:pStyle w:val="Compact"/>
                    <w:jc w:val="right"/>
                    <w:jc w:val="center"/>
                  </w:pPr>
                  <w:r>
                    <w:t xml:space="preserve">0.184</w:t>
                  </w:r>
                </w:p>
              </w:tc>
              <w:tc>
                <w:tcPr/>
                <w:p>
                  <w:pPr>
                    <w:pStyle w:val="Compact"/>
                    <w:jc w:val="right"/>
                    <w:jc w:val="center"/>
                  </w:pPr>
                  <w:r>
                    <w:t xml:space="preserve">0.173</w:t>
                  </w:r>
                </w:p>
              </w:tc>
              <w:tc>
                <w:tcPr/>
                <w:p>
                  <w:pPr>
                    <w:pStyle w:val="Compact"/>
                    <w:jc w:val="right"/>
                    <w:jc w:val="center"/>
                  </w:pPr>
                  <w:r>
                    <w:t xml:space="preserve">0.247</w:t>
                  </w:r>
                </w:p>
              </w:tc>
              <w:tc>
                <w:tcPr/>
                <w:p>
                  <w:pPr>
                    <w:pStyle w:val="Compact"/>
                    <w:jc w:val="right"/>
                    <w:jc w:val="center"/>
                  </w:pPr>
                  <w:r>
                    <w:t xml:space="preserve">0.249</w:t>
                  </w:r>
                </w:p>
              </w:tc>
              <w:tc>
                <w:tcPr/>
                <w:p>
                  <w:pPr>
                    <w:pStyle w:val="Compact"/>
                    <w:jc w:val="right"/>
                    <w:jc w:val="center"/>
                  </w:pPr>
                  <w:r>
                    <w:t xml:space="preserve">0.322</w:t>
                  </w:r>
                </w:p>
              </w:tc>
              <w:tc>
                <w:tcPr/>
                <w:p>
                  <w:pPr>
                    <w:pStyle w:val="Compact"/>
                    <w:jc w:val="right"/>
                    <w:jc w:val="center"/>
                  </w:pPr>
                  <w:r>
                    <w:t xml:space="preserve">-0.085</w:t>
                  </w:r>
                </w:p>
              </w:tc>
              <w:tc>
                <w:tcPr/>
                <w:p>
                  <w:pPr>
                    <w:pStyle w:val="Compact"/>
                    <w:jc w:val="right"/>
                    <w:jc w:val="center"/>
                  </w:pPr>
                  <w:r>
                    <w:t xml:space="preserve">0.209</w:t>
                  </w:r>
                </w:p>
              </w:tc>
              <w:tc>
                <w:tcPr/>
                <w:p>
                  <w:pPr>
                    <w:pStyle w:val="Compact"/>
                    <w:jc w:val="right"/>
                    <w:jc w:val="center"/>
                  </w:pPr>
                  <w:r>
                    <w:t xml:space="preserve">0.209</w:t>
                  </w:r>
                </w:p>
              </w:tc>
              <w:tc>
                <w:tcPr/>
                <w:p>
                  <w:pPr>
                    <w:pStyle w:val="Compact"/>
                    <w:jc w:val="right"/>
                    <w:jc w:val="center"/>
                  </w:pPr>
                  <w:r>
                    <w:t xml:space="preserve">0.274</w:t>
                  </w:r>
                </w:p>
              </w:tc>
              <w:tc>
                <w:tcPr/>
                <w:p>
                  <w:pPr>
                    <w:pStyle w:val="Compact"/>
                    <w:jc w:val="right"/>
                    <w:jc w:val="center"/>
                  </w:pPr>
                  <w:r>
                    <w:t xml:space="preserve">0.274</w:t>
                  </w:r>
                </w:p>
              </w:tc>
              <w:tc>
                <w:tcPr/>
                <w:p>
                  <w:pPr>
                    <w:pStyle w:val="Compact"/>
                    <w:jc w:val="right"/>
                    <w:jc w:val="center"/>
                  </w:pPr>
                  <w:r>
                    <w:t xml:space="preserve">0.294</w:t>
                  </w:r>
                </w:p>
              </w:tc>
              <w:tc>
                <w:tcPr/>
                <w:p>
                  <w:pPr>
                    <w:pStyle w:val="Compact"/>
                    <w:jc w:val="right"/>
                    <w:jc w:val="center"/>
                  </w:pPr>
                  <w:r>
                    <w:t xml:space="preserve">0.358</w:t>
                  </w:r>
                </w:p>
              </w:tc>
              <w:tc>
                <w:tcPr/>
                <w:p>
                  <w:pPr>
                    <w:pStyle w:val="Compact"/>
                    <w:jc w:val="right"/>
                    <w:jc w:val="center"/>
                  </w:pPr>
                  <w:r>
                    <w:t xml:space="preserve">0.185</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-0.079</w:t>
                  </w:r>
                </w:p>
              </w:tc>
              <w:tc>
                <w:tcPr/>
                <w:p>
                  <w:pPr>
                    <w:pStyle w:val="Compact"/>
                    <w:jc w:val="right"/>
                    <w:jc w:val="center"/>
                  </w:pPr>
                  <w:r>
                    <w:t xml:space="preserve">-0.203</w:t>
                  </w:r>
                </w:p>
              </w:tc>
              <w:tc>
                <w:tcPr/>
                <w:p>
                  <w:pPr>
                    <w:pStyle w:val="Compact"/>
                    <w:jc w:val="right"/>
                    <w:jc w:val="center"/>
                  </w:pPr>
                  <w:r>
                    <w:t xml:space="preserve">-0.476</w:t>
                  </w:r>
                </w:p>
              </w:tc>
              <w:tc>
                <w:tcPr/>
                <w:p>
                  <w:pPr>
                    <w:pStyle w:val="Compact"/>
                    <w:jc w:val="right"/>
                    <w:jc w:val="center"/>
                  </w:pPr>
                  <w:r>
                    <w:t xml:space="preserve">-0.275</w:t>
                  </w:r>
                </w:p>
              </w:tc>
              <w:tc>
                <w:tcPr/>
                <w:p>
                  <w:pPr>
                    <w:pStyle w:val="Compact"/>
                    <w:jc w:val="right"/>
                    <w:jc w:val="center"/>
                  </w:pPr>
                  <w:r>
                    <w:t xml:space="preserve">NA</w:t>
                  </w:r>
                </w:p>
              </w:tc>
              <w:tc>
                <w:tcPr/>
                <w:p>
                  <w:pPr>
                    <w:pStyle w:val="Compact"/>
                    <w:jc w:val="right"/>
                    <w:jc w:val="center"/>
                  </w:pPr>
                  <w:r>
                    <w:t xml:space="preserve">-0.298</w:t>
                  </w:r>
                </w:p>
              </w:tc>
              <w:tc>
                <w:tcPr/>
                <w:p>
                  <w:pPr>
                    <w:pStyle w:val="Compact"/>
                    <w:jc w:val="right"/>
                    <w:jc w:val="center"/>
                  </w:pPr>
                  <w:r>
                    <w:t xml:space="preserve">-0.376</w:t>
                  </w:r>
                </w:p>
              </w:tc>
              <w:tc>
                <w:tcPr/>
                <w:p>
                  <w:pPr>
                    <w:pStyle w:val="Compact"/>
                    <w:jc w:val="right"/>
                    <w:jc w:val="center"/>
                  </w:pPr>
                  <w:r>
                    <w:t xml:space="preserve">-0.376</w:t>
                  </w:r>
                </w:p>
              </w:tc>
              <w:tc>
                <w:tcPr/>
                <w:p>
                  <w:pPr>
                    <w:pStyle w:val="Compact"/>
                    <w:jc w:val="right"/>
                    <w:jc w:val="center"/>
                  </w:pPr>
                  <w:r>
                    <w:t xml:space="preserve">-0.251</w:t>
                  </w:r>
                </w:p>
              </w:tc>
              <w:tc>
                <w:tcPr/>
                <w:p>
                  <w:pPr>
                    <w:pStyle w:val="Compact"/>
                    <w:jc w:val="right"/>
                    <w:jc w:val="center"/>
                  </w:pPr>
                  <w:r>
                    <w:t xml:space="preserve">-0.410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0.211</w:t>
                  </w:r>
                </w:p>
              </w:tc>
              <w:tc>
                <w:tcPr/>
                <w:p>
                  <w:pPr>
                    <w:pStyle w:val="Compact"/>
                    <w:jc w:val="right"/>
                    <w:jc w:val="center"/>
                  </w:pPr>
                  <w:r>
                    <w:t xml:space="preserve">0.213</w:t>
                  </w:r>
                </w:p>
              </w:tc>
              <w:tc>
                <w:tcPr/>
                <w:p>
                  <w:pPr>
                    <w:pStyle w:val="Compact"/>
                    <w:jc w:val="right"/>
                    <w:jc w:val="center"/>
                  </w:pPr>
                  <w:r>
                    <w:t xml:space="preserve">0.083</w:t>
                  </w:r>
                </w:p>
              </w:tc>
              <w:tc>
                <w:tcPr/>
                <w:p>
                  <w:pPr>
                    <w:pStyle w:val="Compact"/>
                    <w:jc w:val="right"/>
                    <w:jc w:val="center"/>
                  </w:pPr>
                  <w:r>
                    <w:t xml:space="preserve">-0.494</w:t>
                  </w:r>
                </w:p>
              </w:tc>
              <w:tc>
                <w:tcPr/>
                <w:p>
                  <w:pPr>
                    <w:pStyle w:val="Compact"/>
                    <w:jc w:val="right"/>
                    <w:jc w:val="center"/>
                  </w:pPr>
                  <w:r>
                    <w:t xml:space="preserve">-0.040</w:t>
                  </w:r>
                </w:p>
              </w:tc>
              <w:tc>
                <w:tcPr/>
                <w:p>
                  <w:pPr>
                    <w:pStyle w:val="Compact"/>
                    <w:jc w:val="right"/>
                    <w:jc w:val="center"/>
                  </w:pPr>
                  <w:r>
                    <w:t xml:space="preserve">-0.371</w:t>
                  </w:r>
                </w:p>
              </w:tc>
              <w:tc>
                <w:tcPr/>
                <w:p>
                  <w:pPr>
                    <w:pStyle w:val="Compact"/>
                    <w:jc w:val="right"/>
                    <w:jc w:val="center"/>
                  </w:pPr>
                  <w:r>
                    <w:t xml:space="preserve">NA</w:t>
                  </w:r>
                </w:p>
              </w:tc>
              <w:tc>
                <w:tcPr/>
                <w:p>
                  <w:pPr>
                    <w:pStyle w:val="Compact"/>
                    <w:jc w:val="right"/>
                    <w:jc w:val="center"/>
                  </w:pPr>
                  <w:r>
                    <w:t xml:space="preserve">-0.483</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0.097</w:t>
                  </w:r>
                </w:p>
              </w:tc>
              <w:tc>
                <w:tcPr/>
                <w:p>
                  <w:pPr>
                    <w:pStyle w:val="Compact"/>
                    <w:jc w:val="right"/>
                    <w:jc w:val="center"/>
                  </w:pPr>
                  <w:r>
                    <w:t xml:space="preserve">-0.067</w:t>
                  </w:r>
                </w:p>
              </w:tc>
              <w:tc>
                <w:tcPr/>
                <w:p>
                  <w:pPr>
                    <w:pStyle w:val="Compact"/>
                    <w:jc w:val="right"/>
                    <w:jc w:val="center"/>
                  </w:pPr>
                  <w:r>
                    <w:t xml:space="preserve">0.012</w:t>
                  </w:r>
                </w:p>
              </w:tc>
              <w:tc>
                <w:tcPr/>
                <w:p>
                  <w:pPr>
                    <w:pStyle w:val="Compact"/>
                    <w:jc w:val="right"/>
                    <w:jc w:val="center"/>
                  </w:pPr>
                  <w:r>
                    <w:t xml:space="preserve">-0.005</w:t>
                  </w:r>
                </w:p>
              </w:tc>
              <w:tc>
                <w:tcPr/>
                <w:p>
                  <w:pPr>
                    <w:pStyle w:val="Compact"/>
                    <w:jc w:val="right"/>
                    <w:jc w:val="center"/>
                  </w:pPr>
                  <w:r>
                    <w:t xml:space="preserve">NA</w:t>
                  </w:r>
                </w:p>
              </w:tc>
              <w:tc>
                <w:tcPr/>
                <w:p>
                  <w:pPr>
                    <w:pStyle w:val="Compact"/>
                    <w:jc w:val="right"/>
                    <w:jc w:val="center"/>
                  </w:pPr>
                  <w:r>
                    <w:t xml:space="preserve">0.148</w:t>
                  </w:r>
                </w:p>
              </w:tc>
              <w:tc>
                <w:tcPr/>
                <w:p>
                  <w:pPr>
                    <w:pStyle w:val="Compact"/>
                    <w:jc w:val="right"/>
                    <w:jc w:val="center"/>
                  </w:pPr>
                  <w:r>
                    <w:t xml:space="preserve">0.177</w:t>
                  </w:r>
                </w:p>
              </w:tc>
              <w:tc>
                <w:tcPr/>
                <w:p>
                  <w:pPr>
                    <w:pStyle w:val="Compact"/>
                    <w:jc w:val="right"/>
                    <w:jc w:val="center"/>
                  </w:pPr>
                  <w:r>
                    <w:t xml:space="preserve">-0.067</w:t>
                  </w:r>
                </w:p>
              </w:tc>
              <w:tc>
                <w:tcPr/>
                <w:p>
                  <w:pPr>
                    <w:pStyle w:val="Compact"/>
                    <w:jc w:val="right"/>
                    <w:jc w:val="center"/>
                  </w:pPr>
                  <w:r>
                    <w:t xml:space="preserve">0.095</w:t>
                  </w:r>
                </w:p>
              </w:tc>
              <w:tc>
                <w:tcPr/>
                <w:p>
                  <w:pPr>
                    <w:pStyle w:val="Compact"/>
                    <w:jc w:val="right"/>
                    <w:jc w:val="center"/>
                  </w:pPr>
                  <w:r>
                    <w:t xml:space="preserve">0.012</w:t>
                  </w:r>
                </w:p>
              </w:tc>
              <w:tc>
                <w:tcPr/>
                <w:p>
                  <w:pPr>
                    <w:pStyle w:val="Compact"/>
                    <w:jc w:val="right"/>
                    <w:jc w:val="center"/>
                  </w:pPr>
                  <w:r>
                    <w:t xml:space="preserve">0.024</w:t>
                  </w:r>
                </w:p>
              </w:tc>
              <w:tc>
                <w:tcPr/>
                <w:p>
                  <w:pPr>
                    <w:pStyle w:val="Compact"/>
                    <w:jc w:val="right"/>
                    <w:jc w:val="center"/>
                  </w:pPr>
                  <w:r>
                    <w:t xml:space="preserve">0.099</w:t>
                  </w:r>
                </w:p>
              </w:tc>
              <w:tc>
                <w:tcPr/>
                <w:p>
                  <w:pPr>
                    <w:pStyle w:val="Compact"/>
                    <w:jc w:val="right"/>
                    <w:jc w:val="center"/>
                  </w:pPr>
                  <w:r>
                    <w:t xml:space="preserve">0.078</w:t>
                  </w:r>
                </w:p>
              </w:tc>
              <w:tc>
                <w:tcPr/>
                <w:p>
                  <w:pPr>
                    <w:pStyle w:val="Compact"/>
                    <w:jc w:val="right"/>
                    <w:jc w:val="center"/>
                  </w:pPr>
                  <w:r>
                    <w:t xml:space="preserve">0.078</w:t>
                  </w:r>
                </w:p>
              </w:tc>
              <w:tc>
                <w:tcPr/>
                <w:p>
                  <w:pPr>
                    <w:pStyle w:val="Compact"/>
                    <w:jc w:val="right"/>
                    <w:jc w:val="center"/>
                  </w:pPr>
                  <w:r>
                    <w:t xml:space="preserve">NA</w:t>
                  </w:r>
                </w:p>
              </w:tc>
              <w:tc>
                <w:tcPr/>
                <w:p>
                  <w:pPr>
                    <w:pStyle w:val="Compact"/>
                    <w:jc w:val="right"/>
                    <w:jc w:val="center"/>
                  </w:pPr>
                  <w:r>
                    <w:t xml:space="preserve">-0.026</w:t>
                  </w:r>
                </w:p>
              </w:tc>
              <w:tc>
                <w:tcPr/>
                <w:p>
                  <w:pPr>
                    <w:pStyle w:val="Compact"/>
                    <w:jc w:val="right"/>
                    <w:jc w:val="center"/>
                  </w:pPr>
                  <w:r>
                    <w:t xml:space="preserve">0.021</w:t>
                  </w:r>
                </w:p>
              </w:tc>
              <w:tc>
                <w:tcPr/>
                <w:p>
                  <w:pPr>
                    <w:pStyle w:val="Compact"/>
                    <w:jc w:val="right"/>
                    <w:jc w:val="center"/>
                  </w:pPr>
                  <w:r>
                    <w:t xml:space="preserve">0.192</w:t>
                  </w:r>
                </w:p>
              </w:tc>
              <w:tc>
                <w:tcPr/>
                <w:p>
                  <w:pPr>
                    <w:pStyle w:val="Compact"/>
                    <w:jc w:val="right"/>
                    <w:jc w:val="center"/>
                  </w:pPr>
                  <w:r>
                    <w:t xml:space="preserve">NA</w:t>
                  </w:r>
                </w:p>
              </w:tc>
              <w:tc>
                <w:tcPr/>
                <w:p>
                  <w:pPr>
                    <w:pStyle w:val="Compact"/>
                    <w:jc w:val="right"/>
                    <w:jc w:val="center"/>
                  </w:pPr>
                  <w:r>
                    <w:t xml:space="preserve">NA</w:t>
                  </w:r>
                </w:p>
              </w:tc>
            </w:tr>
          </w:tbl>
          <w:bookmarkEnd w:id="42"/>
          <w:p/>
        </w:tc>
      </w:tr>
    </w:tbl>
    <w:bookmarkEnd w:id="43"/>
    <w:bookmarkStart w:id="48" w:name="Xc593a192c9af1d169522948dc5bcf261635606a"/>
    <w:p>
      <w:pPr>
        <w:pStyle w:val="Heading2"/>
      </w:pPr>
      <w:r>
        <w:t xml:space="preserve">3.5 Supplementary all-methods comparison on a representative outcome</w:t>
      </w:r>
    </w:p>
    <w:p>
      <w:pPr>
        <w:pStyle w:val="FirstParagraph"/>
      </w:pPr>
      <w:r>
        <w:t xml:space="preserve">To provide a comprehensive supplementary comparison, we ran every method</w:t>
      </w:r>
      <w:r>
        <w:t xml:space="preserve"> </w:t>
      </w:r>
      <w:r>
        <w:t xml:space="preserve">and SuperLearner library variant tested in this work on a single</w:t>
      </w:r>
      <w:r>
        <w:t xml:space="preserve"> </w:t>
      </w:r>
      <w:r>
        <w:t xml:space="preserve">representative outcome — child iron deficiency, chosen because it has</w:t>
      </w:r>
      <w:r>
        <w:t xml:space="preserve"> </w:t>
      </w:r>
      <w:r>
        <w:t xml:space="preserve">the strongest transportable signal in our data and biomarker</w:t>
      </w:r>
      <w:r>
        <w:t xml:space="preserve"> </w:t>
      </w:r>
      <w:r>
        <w:t xml:space="preserve">measurements in all four countries. Two evaluation tracks were used:</w:t>
      </w:r>
      <w:r>
        <w:t xml:space="preserve"> </w:t>
      </w:r>
      <w:r>
        <w:t xml:space="preserve">within-country five-fold cross-validation on each country’s admin-2</w:t>
      </w:r>
      <w:r>
        <w:t xml:space="preserve"> </w:t>
      </w:r>
      <w:r>
        <w:t xml:space="preserve">polygons (separately per country) and leave-one-country-out</w:t>
      </w:r>
      <w:r>
        <w:t xml:space="preserve"> </w:t>
      </w:r>
      <w:r>
        <w:t xml:space="preserve">transportability across the four-country pool (</w:t>
      </w:r>
      <w:hyperlink w:anchor="fig-all-methods-iron">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all-methods-iron"/>
          <w:p>
            <w:pPr>
              <w:pStyle w:val="Compact"/>
              <w:jc w:val="center"/>
            </w:pPr>
            <w:r>
              <w:drawing>
                <wp:inline>
                  <wp:extent cx="5334000" cy="2872153"/>
                  <wp:effectExtent b="0" l="0" r="0" t="0"/>
                  <wp:docPr descr="" title="" id="45" name="Picture"/>
                  <a:graphic>
                    <a:graphicData uri="http://schemas.openxmlformats.org/drawingml/2006/picture">
                      <pic:pic>
                        <pic:nvPicPr>
                          <pic:cNvPr descr="../results/figures/all_methods_child_iron.png" id="46" name="Picture"/>
                          <pic:cNvPicPr>
                            <a:picLocks noChangeArrowheads="1" noChangeAspect="1"/>
                          </pic:cNvPicPr>
                        </pic:nvPicPr>
                        <pic:blipFill>
                          <a:blip r:embed="rId44"/>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Supplementary all-methods comparison for child iron deficiency. (a) Within-country 5-fold cross-validation Pearson r per method, with one dot per country and X-marks denoting the mean across the four countries. (b) Leave-one-country-out transportability Pearson r per method, with one dot per held-out country. Methods are ordered by mean LOCO r. The supplementary figure source data are in results/tables/all_methods_child_iron.csv.</w:t>
            </w:r>
          </w:p>
          <w:bookmarkEnd w:id="47"/>
        </w:tc>
      </w:tr>
    </w:tbl>
    <w:p>
      <w:pPr>
        <w:pStyle w:val="BodyText"/>
      </w:pPr>
      <w:r>
        <w:t xml:space="preserve">For LOCO, spatial smoothing on admin-2 polygon centroids (mean Pearson r</w:t>
      </w:r>
      <w:r>
        <w:t xml:space="preserve"> </w:t>
      </w:r>
      <w:r>
        <w:t xml:space="preserve">= 0.48) and spatial + top-8 SoilGrids covariates (0.46) were the two</w:t>
      </w:r>
      <w:r>
        <w:t xml:space="preserve"> </w:t>
      </w:r>
      <w:r>
        <w:t xml:space="preserve">strongest methods, both substantially outperforming the prescreened</w:t>
      </w:r>
      <w:r>
        <w:t xml:space="preserve"> </w:t>
      </w:r>
      <w:r>
        <w:t xml:space="preserve">SuperLearner ensemble (0.22) and the simpler invariance-filter and OLS</w:t>
      </w:r>
      <w:r>
        <w:t xml:space="preserve"> </w:t>
      </w:r>
      <w:r>
        <w:t xml:space="preserve">recipes (0.39 each). Within-country, the picture flips: nonparametric</w:t>
      </w:r>
      <w:r>
        <w:t xml:space="preserve"> </w:t>
      </w:r>
      <w:r>
        <w:t xml:space="preserve">flexibility helps when training data is in-distribution, with random</w:t>
      </w:r>
      <w:r>
        <w:t xml:space="preserve"> </w:t>
      </w:r>
      <w:r>
        <w:t xml:space="preserve">forest (mean Pearson r = 0.23 across four countries) and the</w:t>
      </w:r>
      <w:r>
        <w:t xml:space="preserve"> </w:t>
      </w:r>
      <w:r>
        <w:t xml:space="preserve">prescreened SuperLearner (0.17) outperforming the linear methods, while</w:t>
      </w:r>
      <w:r>
        <w:t xml:space="preserve"> </w:t>
      </w:r>
      <w:r>
        <w:t xml:space="preserve">spatial-only and spatial + soil predict best on the two countries with</w:t>
      </w:r>
      <w:r>
        <w:t xml:space="preserve"> </w:t>
      </w:r>
      <w:r>
        <w:t xml:space="preserve">enough admin-2 polygons (Ghana and Malawi) but are unstable on the</w:t>
      </w:r>
      <w:r>
        <w:t xml:space="preserve"> </w:t>
      </w:r>
      <w:r>
        <w:t xml:space="preserve">small (n = 14) Sierra Leone CV split. The conclusion is consistent</w:t>
      </w:r>
      <w:r>
        <w:t xml:space="preserve"> </w:t>
      </w:r>
      <w:r>
        <w:t xml:space="preserve">across outcomes (see Methods §Estimation strategies and the exploratory</w:t>
      </w:r>
      <w:r>
        <w:t xml:space="preserve"> </w:t>
      </w:r>
      <w:r>
        <w:t xml:space="preserve">findings logs,</w:t>
      </w:r>
      <w:r>
        <w:t xml:space="preserve"> </w:t>
      </w:r>
      <w:r>
        <w:rPr>
          <w:rStyle w:val="VerbatimChar"/>
        </w:rPr>
        <w:t xml:space="preserve">docs/exploratory_loco_findings.md</w:t>
      </w:r>
      <w:r>
        <w:t xml:space="preserve">): non-linear ensembles help</w:t>
      </w:r>
      <w:r>
        <w:t xml:space="preserve"> </w:t>
      </w:r>
      <w:r>
        <w:t xml:space="preserve">within-country, parsimonious linear models with soil micronutrient features</w:t>
      </w:r>
      <w:r>
        <w:t xml:space="preserve"> </w:t>
      </w:r>
      <w:r>
        <w:t xml:space="preserve">help out-of-country.</w:t>
      </w:r>
    </w:p>
    <w:bookmarkEnd w:id="48"/>
    <w:bookmarkStart w:id="50" w:name="Xe586b5600423ed014283786ef1ebd073c15fc43"/>
    <w:p>
      <w:pPr>
        <w:pStyle w:val="Heading2"/>
      </w:pPr>
      <w:r>
        <w:t xml:space="preserve">3.6 Calibration and reliability of binary classifiers</w:t>
      </w:r>
    </w:p>
    <w:p>
      <w:pPr>
        <w:pStyle w:val="FirstParagraph"/>
      </w:pPr>
      <w:r>
        <w:t xml:space="preserve">For binary deficiency classifiers, several diagnostic flags emerged</w:t>
      </w:r>
      <w:r>
        <w:t xml:space="preserve"> </w:t>
      </w:r>
      <w:r>
        <w:t xml:space="preserve">(</w:t>
      </w:r>
      <w:hyperlink w:anchor="tbl-calibration">
        <w:r>
          <w:rPr>
            <w:rStyle w:val="Hyperlink"/>
          </w:rPr>
          <w:t xml:space="preserve">Table 6</w:t>
        </w:r>
      </w:hyperlink>
      <w:r>
        <w:t xml:space="preserve">). The Brier skill score was negative — indicating</w:t>
      </w:r>
      <w:r>
        <w:t xml:space="preserve"> </w:t>
      </w:r>
      <w:r>
        <w:t xml:space="preserve">predictions worse than the no-skill baseline — for 13 of 23</w:t>
      </w:r>
      <w:r>
        <w:t xml:space="preserve"> </w:t>
      </w:r>
      <w:r>
        <w:t xml:space="preserve">country–outcome combinations, though in most the deficit was small</w:t>
      </w:r>
      <w:r>
        <w:t xml:space="preserve"> </w:t>
      </w:r>
      <w:r>
        <w:t xml:space="preserve">(Brier skill &gt; −0.04 for 10 of the 13). Post-hoc Platt recalibration</w:t>
      </w:r>
      <w:r>
        <w:t xml:space="preserve"> </w:t>
      </w:r>
      <w:r>
        <w:t xml:space="preserve">(see Methods) eliminated the negative values entirely: all 23 calibrated</w:t>
      </w:r>
      <w:r>
        <w:t xml:space="preserve"> </w:t>
      </w:r>
      <w:r>
        <w:t xml:space="preserve">classifiers achieved non-negative Brier skill. Calibration slopes were</w:t>
      </w:r>
      <w:r>
        <w:t xml:space="preserve"> </w:t>
      </w:r>
      <w:r>
        <w:t xml:space="preserve">strongly inverted</w:t>
      </w:r>
      <w:r>
        <w:t xml:space="preserve"> </w:t>
      </w:r>
      <w:r>
        <w:t xml:space="preserve">(&lt; 0) for several models in Malawi, Sierra Leone, and Ghana,</w:t>
      </w:r>
      <w:r>
        <w:t xml:space="preserve"> </w:t>
      </w:r>
      <w:r>
        <w:t xml:space="preserve">particularly at very low prevalence (vitamin A in women, vitamin B12 in</w:t>
      </w:r>
      <w:r>
        <w:t xml:space="preserve"> </w:t>
      </w:r>
      <w:r>
        <w:t xml:space="preserve">women) where AUC remained high (&gt; 0.7) but Brier skill was near zero.</w:t>
      </w:r>
      <w:r>
        <w:t xml:space="preserve"> </w:t>
      </w:r>
      <w:r>
        <w:t xml:space="preserve">This pattern — high AUC concealing poor calibration — is a known</w:t>
      </w:r>
      <w:r>
        <w:t xml:space="preserve"> </w:t>
      </w:r>
      <w:r>
        <w:t xml:space="preserve">artefact of imbalanced binary classification and we therefore</w:t>
      </w:r>
      <w:r>
        <w:t xml:space="preserve"> </w:t>
      </w:r>
      <w:r>
        <w:t xml:space="preserve">recommend that decision thresholds derived from these models be</w:t>
      </w:r>
      <w:r>
        <w:t xml:space="preserve"> </w:t>
      </w:r>
      <w:r>
        <w:t xml:space="preserve">calibrated against observed prevalence before deployment</w:t>
      </w:r>
      <w:r>
        <w:t xml:space="preserve"> </w:t>
      </w:r>
      <w:r>
        <w:t xml:space="preserve">(Niculescu-Mizil and Caruana 2005; Smeden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tbl-calibration"/>
          <w:p>
            <w:pPr>
              <w:jc w:val="center"/>
            </w:pPr>
            <w:pPr>
              <w:jc w:val="start"/>
              <w:spacing w:before="200"/>
              <w:pStyle w:val="ImageCaption"/>
            </w:pPr>
            <w:r>
              <w:t xml:space="preserve">Table 6: Binary classifier calibration. Brier skill &gt; 0 indicates information gain over a no-skill baseline. From results/tables/diagnostics_binary.csv.</w:t>
            </w:r>
          </w:p>
          <w:tbl>
            <w:tblPr>
              <w:tblStyle w:val="Table"/>
              <w:tblW w:type="pct" w:w="5000"/>
              <w:tblLayout w:type="fixed"/>
              <w:tblLook w:firstRow="1" w:lastRow="0" w:firstColumn="0" w:lastColumn="0" w:noHBand="0" w:noVBand="0" w:val="0020"/>
            </w:tblPr>
            <w:tblGrid>
              <w:gridCol w:w="1536"/>
              <w:gridCol w:w="1536"/>
              <w:gridCol w:w="709"/>
              <w:gridCol w:w="591"/>
              <w:gridCol w:w="1418"/>
              <w:gridCol w:w="1418"/>
              <w:gridCol w:w="709"/>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Prev</w:t>
                  </w:r>
                </w:p>
              </w:tc>
              <w:tc>
                <w:tcPr/>
                <w:p>
                  <w:pPr>
                    <w:pStyle w:val="Compact"/>
                    <w:jc w:val="left"/>
                    <w:jc w:val="center"/>
                  </w:pPr>
                  <w:r>
                    <w:t xml:space="preserve">AUC</w:t>
                  </w:r>
                </w:p>
              </w:tc>
              <w:tc>
                <w:tcPr/>
                <w:p>
                  <w:pPr>
                    <w:pStyle w:val="Compact"/>
                    <w:jc w:val="left"/>
                    <w:jc w:val="center"/>
                  </w:pPr>
                  <w:r>
                    <w:t xml:space="preserve">Brier skill</w:t>
                  </w:r>
                </w:p>
              </w:tc>
              <w:tc>
                <w:tcPr/>
                <w:p>
                  <w:pPr>
                    <w:pStyle w:val="Compact"/>
                    <w:jc w:val="left"/>
                    <w:jc w:val="center"/>
                  </w:pPr>
                  <w:r>
                    <w:t xml:space="preserve">Calib slope</w:t>
                  </w:r>
                </w:p>
              </w:tc>
              <w:tc>
                <w:tcPr/>
                <w:p>
                  <w:pPr>
                    <w:pStyle w:val="Compact"/>
                    <w:jc w:val="left"/>
                    <w:jc w:val="center"/>
                  </w:pPr>
                  <w:r>
                    <w:t xml:space="preserve">ECE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20.1%</w:t>
                  </w:r>
                </w:p>
              </w:tc>
              <w:tc>
                <w:tcPr/>
                <w:p>
                  <w:pPr>
                    <w:pStyle w:val="Compact"/>
                    <w:jc w:val="left"/>
                    <w:jc w:val="center"/>
                  </w:pPr>
                  <w:r>
                    <w:t xml:space="preserve">0.63</w:t>
                  </w:r>
                </w:p>
              </w:tc>
              <w:tc>
                <w:tcPr/>
                <w:p>
                  <w:pPr>
                    <w:pStyle w:val="Compact"/>
                    <w:jc w:val="left"/>
                    <w:jc w:val="center"/>
                  </w:pPr>
                  <w:r>
                    <w:t xml:space="preserve">+0.027</w:t>
                  </w:r>
                </w:p>
              </w:tc>
              <w:tc>
                <w:tcPr/>
                <w:p>
                  <w:pPr>
                    <w:pStyle w:val="Compact"/>
                    <w:jc w:val="left"/>
                    <w:jc w:val="center"/>
                  </w:pPr>
                  <w:r>
                    <w:t xml:space="preserve">+0.82</w:t>
                  </w:r>
                </w:p>
              </w:tc>
              <w:tc>
                <w:tcPr/>
                <w:p>
                  <w:pPr>
                    <w:pStyle w:val="Compact"/>
                    <w:jc w:val="left"/>
                    <w:jc w:val="center"/>
                  </w:pPr>
                  <w:r>
                    <w:t xml:space="preserve">0.059</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2.7%</w:t>
                  </w:r>
                </w:p>
              </w:tc>
              <w:tc>
                <w:tcPr/>
                <w:p>
                  <w:pPr>
                    <w:pStyle w:val="Compact"/>
                    <w:jc w:val="left"/>
                    <w:jc w:val="center"/>
                  </w:pPr>
                  <w:r>
                    <w:t xml:space="preserve">0.73</w:t>
                  </w:r>
                </w:p>
              </w:tc>
              <w:tc>
                <w:tcPr/>
                <w:p>
                  <w:pPr>
                    <w:pStyle w:val="Compact"/>
                    <w:jc w:val="left"/>
                    <w:jc w:val="center"/>
                  </w:pPr>
                  <w:r>
                    <w:t xml:space="preserve">+0.019</w:t>
                  </w:r>
                </w:p>
              </w:tc>
              <w:tc>
                <w:tcPr/>
                <w:p>
                  <w:pPr>
                    <w:pStyle w:val="Compact"/>
                    <w:jc w:val="left"/>
                    <w:jc w:val="center"/>
                  </w:pPr>
                  <w:r>
                    <w:t xml:space="preserve">+1.31</w:t>
                  </w:r>
                </w:p>
              </w:tc>
              <w:tc>
                <w:tcPr/>
                <w:p>
                  <w:pPr>
                    <w:pStyle w:val="Compact"/>
                    <w:jc w:val="left"/>
                    <w:jc w:val="center"/>
                  </w:pPr>
                  <w:r>
                    <w:t xml:space="preserve">0.008</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41.9%</w:t>
                  </w:r>
                </w:p>
              </w:tc>
              <w:tc>
                <w:tcPr/>
                <w:p>
                  <w:pPr>
                    <w:pStyle w:val="Compact"/>
                    <w:jc w:val="left"/>
                    <w:jc w:val="center"/>
                  </w:pPr>
                  <w:r>
                    <w:t xml:space="preserve">0.53</w:t>
                  </w:r>
                </w:p>
              </w:tc>
              <w:tc>
                <w:tcPr/>
                <w:p>
                  <w:pPr>
                    <w:pStyle w:val="Compact"/>
                    <w:jc w:val="left"/>
                    <w:jc w:val="center"/>
                  </w:pPr>
                  <w:r>
                    <w:t xml:space="preserve">-0.009</w:t>
                  </w:r>
                </w:p>
              </w:tc>
              <w:tc>
                <w:tcPr/>
                <w:p>
                  <w:pPr>
                    <w:pStyle w:val="Compact"/>
                    <w:jc w:val="left"/>
                    <w:jc w:val="center"/>
                  </w:pPr>
                  <w:r>
                    <w:t xml:space="preserve">+0.31</w:t>
                  </w:r>
                </w:p>
              </w:tc>
              <w:tc>
                <w:tcPr/>
                <w:p>
                  <w:pPr>
                    <w:pStyle w:val="Compact"/>
                    <w:jc w:val="left"/>
                    <w:jc w:val="center"/>
                  </w:pPr>
                  <w:r>
                    <w:t xml:space="preserve">0.060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31.2%</w:t>
                  </w:r>
                </w:p>
              </w:tc>
              <w:tc>
                <w:tcPr/>
                <w:p>
                  <w:pPr>
                    <w:pStyle w:val="Compact"/>
                    <w:jc w:val="left"/>
                    <w:jc w:val="center"/>
                  </w:pPr>
                  <w:r>
                    <w:t xml:space="preserve">0.58</w:t>
                  </w:r>
                </w:p>
              </w:tc>
              <w:tc>
                <w:tcPr/>
                <w:p>
                  <w:pPr>
                    <w:pStyle w:val="Compact"/>
                    <w:jc w:val="left"/>
                    <w:jc w:val="center"/>
                  </w:pPr>
                  <w:r>
                    <w:t xml:space="preserve">+0.015</w:t>
                  </w:r>
                </w:p>
              </w:tc>
              <w:tc>
                <w:tcPr/>
                <w:p>
                  <w:pPr>
                    <w:pStyle w:val="Compact"/>
                    <w:jc w:val="left"/>
                    <w:jc w:val="center"/>
                  </w:pPr>
                  <w:r>
                    <w:t xml:space="preserve">+0.56</w:t>
                  </w:r>
                </w:p>
              </w:tc>
              <w:tc>
                <w:tcPr/>
                <w:p>
                  <w:pPr>
                    <w:pStyle w:val="Compact"/>
                    <w:jc w:val="left"/>
                    <w:jc w:val="center"/>
                  </w:pPr>
                  <w:r>
                    <w:t xml:space="preserve">0.061</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14.9%</w:t>
                  </w:r>
                </w:p>
              </w:tc>
              <w:tc>
                <w:tcPr/>
                <w:p>
                  <w:pPr>
                    <w:pStyle w:val="Compact"/>
                    <w:jc w:val="left"/>
                    <w:jc w:val="center"/>
                  </w:pPr>
                  <w:r>
                    <w:t xml:space="preserve">0.59</w:t>
                  </w:r>
                </w:p>
              </w:tc>
              <w:tc>
                <w:tcPr/>
                <w:p>
                  <w:pPr>
                    <w:pStyle w:val="Compact"/>
                    <w:jc w:val="left"/>
                    <w:jc w:val="center"/>
                  </w:pPr>
                  <w:r>
                    <w:t xml:space="preserve">-0.009</w:t>
                  </w:r>
                </w:p>
              </w:tc>
              <w:tc>
                <w:tcPr/>
                <w:p>
                  <w:pPr>
                    <w:pStyle w:val="Compact"/>
                    <w:jc w:val="left"/>
                    <w:jc w:val="center"/>
                  </w:pPr>
                  <w:r>
                    <w:t xml:space="preserve">-3.90</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1.5%</w:t>
                  </w:r>
                </w:p>
              </w:tc>
              <w:tc>
                <w:tcPr/>
                <w:p>
                  <w:pPr>
                    <w:pStyle w:val="Compact"/>
                    <w:jc w:val="left"/>
                    <w:jc w:val="center"/>
                  </w:pPr>
                  <w:r>
                    <w:t xml:space="preserve">0.75</w:t>
                  </w:r>
                </w:p>
              </w:tc>
              <w:tc>
                <w:tcPr/>
                <w:p>
                  <w:pPr>
                    <w:pStyle w:val="Compact"/>
                    <w:jc w:val="left"/>
                    <w:jc w:val="center"/>
                  </w:pPr>
                  <w:r>
                    <w:t xml:space="preserve">-0.007</w:t>
                  </w:r>
                </w:p>
              </w:tc>
              <w:tc>
                <w:tcPr/>
                <w:p>
                  <w:pPr>
                    <w:pStyle w:val="Compact"/>
                    <w:jc w:val="left"/>
                    <w:jc w:val="center"/>
                  </w:pPr>
                  <w:r>
                    <w:t xml:space="preserve">-2.79</w:t>
                  </w:r>
                </w:p>
              </w:tc>
              <w:tc>
                <w:tcPr/>
                <w:p>
                  <w:pPr>
                    <w:pStyle w:val="Compact"/>
                    <w:jc w:val="left"/>
                    <w:jc w:val="center"/>
                  </w:pPr>
                  <w:r>
                    <w:t xml:space="preserve">0.015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23.9%</w:t>
                  </w:r>
                </w:p>
              </w:tc>
              <w:tc>
                <w:tcPr/>
                <w:p>
                  <w:pPr>
                    <w:pStyle w:val="Compact"/>
                    <w:jc w:val="left"/>
                    <w:jc w:val="center"/>
                  </w:pPr>
                  <w:r>
                    <w:t xml:space="preserve">0.70</w:t>
                  </w:r>
                </w:p>
              </w:tc>
              <w:tc>
                <w:tcPr/>
                <w:p>
                  <w:pPr>
                    <w:pStyle w:val="Compact"/>
                    <w:jc w:val="left"/>
                    <w:jc w:val="center"/>
                  </w:pPr>
                  <w:r>
                    <w:t xml:space="preserve">+0.098</w:t>
                  </w:r>
                </w:p>
              </w:tc>
              <w:tc>
                <w:tcPr/>
                <w:p>
                  <w:pPr>
                    <w:pStyle w:val="Compact"/>
                    <w:jc w:val="left"/>
                    <w:jc w:val="center"/>
                  </w:pPr>
                  <w:r>
                    <w:t xml:space="preserve">+1.05</w:t>
                  </w:r>
                </w:p>
              </w:tc>
              <w:tc>
                <w:tcPr/>
                <w:p>
                  <w:pPr>
                    <w:pStyle w:val="Compact"/>
                    <w:jc w:val="left"/>
                    <w:jc w:val="center"/>
                  </w:pPr>
                  <w:r>
                    <w:t xml:space="preserve">0.031</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8.5%</w:t>
                  </w:r>
                </w:p>
              </w:tc>
              <w:tc>
                <w:tcPr/>
                <w:p>
                  <w:pPr>
                    <w:pStyle w:val="Compact"/>
                    <w:jc w:val="left"/>
                    <w:jc w:val="center"/>
                  </w:pPr>
                  <w:r>
                    <w:t xml:space="preserve">0.59</w:t>
                  </w:r>
                </w:p>
              </w:tc>
              <w:tc>
                <w:tcPr/>
                <w:p>
                  <w:pPr>
                    <w:pStyle w:val="Compact"/>
                    <w:jc w:val="left"/>
                    <w:jc w:val="center"/>
                  </w:pPr>
                  <w:r>
                    <w:t xml:space="preserve">+0.000</w:t>
                  </w:r>
                </w:p>
              </w:tc>
              <w:tc>
                <w:tcPr/>
                <w:p>
                  <w:pPr>
                    <w:pStyle w:val="Compact"/>
                    <w:jc w:val="left"/>
                    <w:jc w:val="center"/>
                  </w:pPr>
                  <w:r>
                    <w:t xml:space="preserve">+0.55</w:t>
                  </w:r>
                </w:p>
              </w:tc>
              <w:tc>
                <w:tcPr/>
                <w:p>
                  <w:pPr>
                    <w:pStyle w:val="Compact"/>
                    <w:jc w:val="left"/>
                    <w:jc w:val="center"/>
                  </w:pPr>
                  <w:r>
                    <w:t xml:space="preserve">0.020</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54.7%</w:t>
                  </w:r>
                </w:p>
              </w:tc>
              <w:tc>
                <w:tcPr/>
                <w:p>
                  <w:pPr>
                    <w:pStyle w:val="Compact"/>
                    <w:jc w:val="left"/>
                    <w:jc w:val="center"/>
                  </w:pPr>
                  <w:r>
                    <w:t xml:space="preserve">0.59</w:t>
                  </w:r>
                </w:p>
              </w:tc>
              <w:tc>
                <w:tcPr/>
                <w:p>
                  <w:pPr>
                    <w:pStyle w:val="Compact"/>
                    <w:jc w:val="left"/>
                    <w:jc w:val="center"/>
                  </w:pPr>
                  <w:r>
                    <w:t xml:space="preserve">+0.034</w:t>
                  </w:r>
                </w:p>
              </w:tc>
              <w:tc>
                <w:tcPr/>
                <w:p>
                  <w:pPr>
                    <w:pStyle w:val="Compact"/>
                    <w:jc w:val="left"/>
                    <w:jc w:val="center"/>
                  </w:pPr>
                  <w:r>
                    <w:t xml:space="preserve">+0.69</w:t>
                  </w:r>
                </w:p>
              </w:tc>
              <w:tc>
                <w:tcPr/>
                <w:p>
                  <w:pPr>
                    <w:pStyle w:val="Compact"/>
                    <w:jc w:val="left"/>
                    <w:jc w:val="center"/>
                  </w:pPr>
                  <w:r>
                    <w:t xml:space="preserve">0.075</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8.5%</w:t>
                  </w:r>
                </w:p>
              </w:tc>
              <w:tc>
                <w:tcPr/>
                <w:p>
                  <w:pPr>
                    <w:pStyle w:val="Compact"/>
                    <w:jc w:val="left"/>
                    <w:jc w:val="center"/>
                  </w:pPr>
                  <w:r>
                    <w:t xml:space="preserve">0.70</w:t>
                  </w:r>
                </w:p>
              </w:tc>
              <w:tc>
                <w:tcPr/>
                <w:p>
                  <w:pPr>
                    <w:pStyle w:val="Compact"/>
                    <w:jc w:val="left"/>
                    <w:jc w:val="center"/>
                  </w:pPr>
                  <w:r>
                    <w:t xml:space="preserve">+0.092</w:t>
                  </w:r>
                </w:p>
              </w:tc>
              <w:tc>
                <w:tcPr/>
                <w:p>
                  <w:pPr>
                    <w:pStyle w:val="Compact"/>
                    <w:jc w:val="left"/>
                    <w:jc w:val="center"/>
                  </w:pPr>
                  <w:r>
                    <w:t xml:space="preserve">+1.13</w:t>
                  </w:r>
                </w:p>
              </w:tc>
              <w:tc>
                <w:tcPr/>
                <w:p>
                  <w:pPr>
                    <w:pStyle w:val="Compact"/>
                    <w:jc w:val="left"/>
                    <w:jc w:val="center"/>
                  </w:pPr>
                  <w:r>
                    <w:t xml:space="preserve">0.027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12.6%</w:t>
                  </w:r>
                </w:p>
              </w:tc>
              <w:tc>
                <w:tcPr/>
                <w:p>
                  <w:pPr>
                    <w:pStyle w:val="Compact"/>
                    <w:jc w:val="left"/>
                    <w:jc w:val="center"/>
                  </w:pPr>
                  <w:r>
                    <w:t xml:space="preserve">0.49</w:t>
                  </w:r>
                </w:p>
              </w:tc>
              <w:tc>
                <w:tcPr/>
                <w:p>
                  <w:pPr>
                    <w:pStyle w:val="Compact"/>
                    <w:jc w:val="left"/>
                    <w:jc w:val="center"/>
                  </w:pPr>
                  <w:r>
                    <w:t xml:space="preserve">-0.039</w:t>
                  </w:r>
                </w:p>
              </w:tc>
              <w:tc>
                <w:tcPr/>
                <w:p>
                  <w:pPr>
                    <w:pStyle w:val="Compact"/>
                    <w:jc w:val="left"/>
                    <w:jc w:val="center"/>
                  </w:pPr>
                  <w:r>
                    <w:t xml:space="preserve">+0.09</w:t>
                  </w:r>
                </w:p>
              </w:tc>
              <w:tc>
                <w:tcPr/>
                <w:p>
                  <w:pPr>
                    <w:pStyle w:val="Compact"/>
                    <w:jc w:val="left"/>
                    <w:jc w:val="center"/>
                  </w:pPr>
                  <w:r>
                    <w:t xml:space="preserve">0.065</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1.8%</w:t>
                  </w:r>
                </w:p>
              </w:tc>
              <w:tc>
                <w:tcPr/>
                <w:p>
                  <w:pPr>
                    <w:pStyle w:val="Compact"/>
                    <w:jc w:val="left"/>
                    <w:jc w:val="center"/>
                  </w:pPr>
                  <w:r>
                    <w:t xml:space="preserve">0.44</w:t>
                  </w:r>
                </w:p>
              </w:tc>
              <w:tc>
                <w:tcPr/>
                <w:p>
                  <w:pPr>
                    <w:pStyle w:val="Compact"/>
                    <w:jc w:val="left"/>
                    <w:jc w:val="center"/>
                  </w:pPr>
                  <w:r>
                    <w:t xml:space="preserve">-0.021</w:t>
                  </w:r>
                </w:p>
              </w:tc>
              <w:tc>
                <w:tcPr/>
                <w:p>
                  <w:pPr>
                    <w:pStyle w:val="Compact"/>
                    <w:jc w:val="left"/>
                    <w:jc w:val="center"/>
                  </w:pPr>
                  <w:r>
                    <w:t xml:space="preserve">+0.20</w:t>
                  </w:r>
                </w:p>
              </w:tc>
              <w:tc>
                <w:tcPr/>
                <w:p>
                  <w:pPr>
                    <w:pStyle w:val="Compact"/>
                    <w:jc w:val="left"/>
                    <w:jc w:val="center"/>
                  </w:pPr>
                  <w:r>
                    <w:t xml:space="preserve">0.016</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5.8%</w:t>
                  </w:r>
                </w:p>
              </w:tc>
              <w:tc>
                <w:tcPr/>
                <w:p>
                  <w:pPr>
                    <w:pStyle w:val="Compact"/>
                    <w:jc w:val="left"/>
                    <w:jc w:val="center"/>
                  </w:pPr>
                  <w:r>
                    <w:t xml:space="preserve">0.50</w:t>
                  </w:r>
                </w:p>
              </w:tc>
              <w:tc>
                <w:tcPr/>
                <w:p>
                  <w:pPr>
                    <w:pStyle w:val="Compact"/>
                    <w:jc w:val="left"/>
                    <w:jc w:val="center"/>
                  </w:pPr>
                  <w:r>
                    <w:t xml:space="preserve">-0.011</w:t>
                  </w:r>
                </w:p>
              </w:tc>
              <w:tc>
                <w:tcPr/>
                <w:p>
                  <w:pPr>
                    <w:pStyle w:val="Compact"/>
                    <w:jc w:val="left"/>
                    <w:jc w:val="center"/>
                  </w:pPr>
                  <w:r>
                    <w:t xml:space="preserve">+0.17</w:t>
                  </w:r>
                </w:p>
              </w:tc>
              <w:tc>
                <w:tcPr/>
                <w:p>
                  <w:pPr>
                    <w:pStyle w:val="Compact"/>
                    <w:jc w:val="left"/>
                    <w:jc w:val="center"/>
                  </w:pPr>
                  <w:r>
                    <w:t xml:space="preserve">0.032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9.4%</w:t>
                  </w:r>
                </w:p>
              </w:tc>
              <w:tc>
                <w:tcPr/>
                <w:p>
                  <w:pPr>
                    <w:pStyle w:val="Compact"/>
                    <w:jc w:val="left"/>
                    <w:jc w:val="center"/>
                  </w:pPr>
                  <w:r>
                    <w:t xml:space="preserve">0.60</w:t>
                  </w:r>
                </w:p>
              </w:tc>
              <w:tc>
                <w:tcPr/>
                <w:p>
                  <w:pPr>
                    <w:pStyle w:val="Compact"/>
                    <w:jc w:val="left"/>
                    <w:jc w:val="center"/>
                  </w:pPr>
                  <w:r>
                    <w:t xml:space="preserve">+0.009</w:t>
                  </w:r>
                </w:p>
              </w:tc>
              <w:tc>
                <w:tcPr/>
                <w:p>
                  <w:pPr>
                    <w:pStyle w:val="Compact"/>
                    <w:jc w:val="left"/>
                    <w:jc w:val="center"/>
                  </w:pPr>
                  <w:r>
                    <w:t xml:space="preserve">+0.91</w:t>
                  </w:r>
                </w:p>
              </w:tc>
              <w:tc>
                <w:tcPr/>
                <w:p>
                  <w:pPr>
                    <w:pStyle w:val="Compact"/>
                    <w:jc w:val="left"/>
                    <w:jc w:val="center"/>
                  </w:pPr>
                  <w:r>
                    <w:t xml:space="preserve">0.018</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79.4%</w:t>
                  </w:r>
                </w:p>
              </w:tc>
              <w:tc>
                <w:tcPr/>
                <w:p>
                  <w:pPr>
                    <w:pStyle w:val="Compact"/>
                    <w:jc w:val="left"/>
                    <w:jc w:val="center"/>
                  </w:pPr>
                  <w:r>
                    <w:t xml:space="preserve">0.55</w:t>
                  </w:r>
                </w:p>
              </w:tc>
              <w:tc>
                <w:tcPr/>
                <w:p>
                  <w:pPr>
                    <w:pStyle w:val="Compact"/>
                    <w:jc w:val="left"/>
                    <w:jc w:val="center"/>
                  </w:pPr>
                  <w:r>
                    <w:t xml:space="preserve">-0.076</w:t>
                  </w:r>
                </w:p>
              </w:tc>
              <w:tc>
                <w:tcPr/>
                <w:p>
                  <w:pPr>
                    <w:pStyle w:val="Compact"/>
                    <w:jc w:val="left"/>
                    <w:jc w:val="center"/>
                  </w:pPr>
                  <w:r>
                    <w:t xml:space="preserve">+0.15</w:t>
                  </w:r>
                </w:p>
              </w:tc>
              <w:tc>
                <w:tcPr/>
                <w:p>
                  <w:pPr>
                    <w:pStyle w:val="Compact"/>
                    <w:jc w:val="left"/>
                    <w:jc w:val="center"/>
                  </w:pPr>
                  <w:r>
                    <w:t xml:space="preserve">0.088</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w:t>
                  </w:r>
                </w:p>
              </w:tc>
              <w:tc>
                <w:tcPr/>
                <w:p>
                  <w:pPr>
                    <w:pStyle w:val="Compact"/>
                    <w:jc w:val="left"/>
                    <w:jc w:val="center"/>
                  </w:pPr>
                  <w:r>
                    <w:t xml:space="preserve">0.75</w:t>
                  </w:r>
                </w:p>
              </w:tc>
              <w:tc>
                <w:tcPr/>
                <w:p>
                  <w:pPr>
                    <w:pStyle w:val="Compact"/>
                    <w:jc w:val="left"/>
                    <w:jc w:val="center"/>
                  </w:pPr>
                  <w:r>
                    <w:t xml:space="preserve">-0.002</w:t>
                  </w:r>
                </w:p>
              </w:tc>
              <w:tc>
                <w:tcPr/>
                <w:p>
                  <w:pPr>
                    <w:pStyle w:val="Compact"/>
                    <w:jc w:val="left"/>
                    <w:jc w:val="center"/>
                  </w:pPr>
                  <w:r>
                    <w:t xml:space="preserve">-3.34</w:t>
                  </w:r>
                </w:p>
              </w:tc>
              <w:tc>
                <w:tcPr/>
                <w:p>
                  <w:pPr>
                    <w:pStyle w:val="Compact"/>
                    <w:jc w:val="left"/>
                    <w:jc w:val="center"/>
                  </w:pPr>
                  <w:r>
                    <w:t xml:space="preserve">0.005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9.3%</w:t>
                  </w:r>
                </w:p>
              </w:tc>
              <w:tc>
                <w:tcPr/>
                <w:p>
                  <w:pPr>
                    <w:pStyle w:val="Compact"/>
                    <w:jc w:val="left"/>
                    <w:jc w:val="center"/>
                  </w:pPr>
                  <w:r>
                    <w:t xml:space="preserve">0.58</w:t>
                  </w:r>
                </w:p>
              </w:tc>
              <w:tc>
                <w:tcPr/>
                <w:p>
                  <w:pPr>
                    <w:pStyle w:val="Compact"/>
                    <w:jc w:val="left"/>
                    <w:jc w:val="center"/>
                  </w:pPr>
                  <w:r>
                    <w:t xml:space="preserve">-0.001</w:t>
                  </w:r>
                </w:p>
              </w:tc>
              <w:tc>
                <w:tcPr/>
                <w:p>
                  <w:pPr>
                    <w:pStyle w:val="Compact"/>
                    <w:jc w:val="left"/>
                    <w:jc w:val="center"/>
                  </w:pPr>
                  <w:r>
                    <w:t xml:space="preserve">+0.42</w:t>
                  </w:r>
                </w:p>
              </w:tc>
              <w:tc>
                <w:tcPr/>
                <w:p>
                  <w:pPr>
                    <w:pStyle w:val="Compact"/>
                    <w:jc w:val="left"/>
                    <w:jc w:val="center"/>
                  </w:pPr>
                  <w:r>
                    <w:t xml:space="preserve">0.025</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1.4%</w:t>
                  </w:r>
                </w:p>
              </w:tc>
              <w:tc>
                <w:tcPr/>
                <w:p>
                  <w:pPr>
                    <w:pStyle w:val="Compact"/>
                    <w:jc w:val="left"/>
                    <w:jc w:val="center"/>
                  </w:pPr>
                  <w:r>
                    <w:t xml:space="preserve">0.76</w:t>
                  </w:r>
                </w:p>
              </w:tc>
              <w:tc>
                <w:tcPr/>
                <w:p>
                  <w:pPr>
                    <w:pStyle w:val="Compact"/>
                    <w:jc w:val="left"/>
                    <w:jc w:val="center"/>
                  </w:pPr>
                  <w:r>
                    <w:t xml:space="preserve">-0.006</w:t>
                  </w:r>
                </w:p>
              </w:tc>
              <w:tc>
                <w:tcPr/>
                <w:p>
                  <w:pPr>
                    <w:pStyle w:val="Compact"/>
                    <w:jc w:val="left"/>
                    <w:jc w:val="center"/>
                  </w:pPr>
                  <w:r>
                    <w:t xml:space="preserve">+0.54</w:t>
                  </w:r>
                </w:p>
              </w:tc>
              <w:tc>
                <w:tcPr/>
                <w:p>
                  <w:pPr>
                    <w:pStyle w:val="Compact"/>
                    <w:jc w:val="left"/>
                    <w:jc w:val="center"/>
                  </w:pPr>
                  <w:r>
                    <w:t xml:space="preserve">0.012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9.7%</w:t>
                  </w:r>
                </w:p>
              </w:tc>
              <w:tc>
                <w:tcPr/>
                <w:p>
                  <w:pPr>
                    <w:pStyle w:val="Compact"/>
                    <w:jc w:val="left"/>
                    <w:jc w:val="center"/>
                  </w:pPr>
                  <w:r>
                    <w:t xml:space="preserve">0.57</w:t>
                  </w:r>
                </w:p>
              </w:tc>
              <w:tc>
                <w:tcPr/>
                <w:p>
                  <w:pPr>
                    <w:pStyle w:val="Compact"/>
                    <w:jc w:val="left"/>
                    <w:jc w:val="center"/>
                  </w:pPr>
                  <w:r>
                    <w:t xml:space="preserve">+0.003</w:t>
                  </w:r>
                </w:p>
              </w:tc>
              <w:tc>
                <w:tcPr/>
                <w:p>
                  <w:pPr>
                    <w:pStyle w:val="Compact"/>
                    <w:jc w:val="left"/>
                    <w:jc w:val="center"/>
                  </w:pPr>
                  <w:r>
                    <w:t xml:space="preserve">+0.53</w:t>
                  </w:r>
                </w:p>
              </w:tc>
              <w:tc>
                <w:tcPr/>
                <w:p>
                  <w:pPr>
                    <w:pStyle w:val="Compact"/>
                    <w:jc w:val="left"/>
                    <w:jc w:val="center"/>
                  </w:pPr>
                  <w:r>
                    <w:t xml:space="preserve">0.036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9.8%</w:t>
                  </w:r>
                </w:p>
              </w:tc>
              <w:tc>
                <w:tcPr/>
                <w:p>
                  <w:pPr>
                    <w:pStyle w:val="Compact"/>
                    <w:jc w:val="left"/>
                    <w:jc w:val="center"/>
                  </w:pPr>
                  <w:r>
                    <w:t xml:space="preserve">0.55</w:t>
                  </w:r>
                </w:p>
              </w:tc>
              <w:tc>
                <w:tcPr/>
                <w:p>
                  <w:pPr>
                    <w:pStyle w:val="Compact"/>
                    <w:jc w:val="left"/>
                    <w:jc w:val="center"/>
                  </w:pPr>
                  <w:r>
                    <w:t xml:space="preserve">+0.004</w:t>
                  </w:r>
                </w:p>
              </w:tc>
              <w:tc>
                <w:tcPr/>
                <w:p>
                  <w:pPr>
                    <w:pStyle w:val="Compact"/>
                    <w:jc w:val="left"/>
                    <w:jc w:val="center"/>
                  </w:pPr>
                  <w:r>
                    <w:t xml:space="preserve">+0.56</w:t>
                  </w:r>
                </w:p>
              </w:tc>
              <w:tc>
                <w:tcPr/>
                <w:p>
                  <w:pPr>
                    <w:pStyle w:val="Compact"/>
                    <w:jc w:val="left"/>
                    <w:jc w:val="center"/>
                  </w:pPr>
                  <w:r>
                    <w:t xml:space="preserve">0.029</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20.8%</w:t>
                  </w:r>
                </w:p>
              </w:tc>
              <w:tc>
                <w:tcPr/>
                <w:p>
                  <w:pPr>
                    <w:pStyle w:val="Compact"/>
                    <w:jc w:val="left"/>
                    <w:jc w:val="center"/>
                  </w:pPr>
                  <w:r>
                    <w:t xml:space="preserve">0.68</w:t>
                  </w:r>
                </w:p>
              </w:tc>
              <w:tc>
                <w:tcPr/>
                <w:p>
                  <w:pPr>
                    <w:pStyle w:val="Compact"/>
                    <w:jc w:val="left"/>
                    <w:jc w:val="center"/>
                  </w:pPr>
                  <w:r>
                    <w:t xml:space="preserve">+0.057</w:t>
                  </w:r>
                </w:p>
              </w:tc>
              <w:tc>
                <w:tcPr/>
                <w:p>
                  <w:pPr>
                    <w:pStyle w:val="Compact"/>
                    <w:jc w:val="left"/>
                    <w:jc w:val="center"/>
                  </w:pPr>
                  <w:r>
                    <w:t xml:space="preserve">+0.86</w:t>
                  </w:r>
                </w:p>
              </w:tc>
              <w:tc>
                <w:tcPr/>
                <w:p>
                  <w:pPr>
                    <w:pStyle w:val="Compact"/>
                    <w:jc w:val="left"/>
                    <w:jc w:val="center"/>
                  </w:pPr>
                  <w:r>
                    <w:t xml:space="preserve">0.057</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2.8%</w:t>
                  </w:r>
                </w:p>
              </w:tc>
              <w:tc>
                <w:tcPr/>
                <w:p>
                  <w:pPr>
                    <w:pStyle w:val="Compact"/>
                    <w:jc w:val="left"/>
                    <w:jc w:val="center"/>
                  </w:pPr>
                  <w:r>
                    <w:t xml:space="preserve">0.75</w:t>
                  </w:r>
                </w:p>
              </w:tc>
              <w:tc>
                <w:tcPr/>
                <w:p>
                  <w:pPr>
                    <w:pStyle w:val="Compact"/>
                    <w:jc w:val="left"/>
                    <w:jc w:val="center"/>
                  </w:pPr>
                  <w:r>
                    <w:t xml:space="preserve">+0.019</w:t>
                  </w:r>
                </w:p>
              </w:tc>
              <w:tc>
                <w:tcPr/>
                <w:p>
                  <w:pPr>
                    <w:pStyle w:val="Compact"/>
                    <w:jc w:val="left"/>
                    <w:jc w:val="center"/>
                  </w:pPr>
                  <w:r>
                    <w:t xml:space="preserve">+1.26</w:t>
                  </w:r>
                </w:p>
              </w:tc>
              <w:tc>
                <w:tcPr/>
                <w:p>
                  <w:pPr>
                    <w:pStyle w:val="Compact"/>
                    <w:jc w:val="left"/>
                    <w:jc w:val="center"/>
                  </w:pPr>
                  <w:r>
                    <w:t xml:space="preserve">0.021</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58.6%</w:t>
                  </w:r>
                </w:p>
              </w:tc>
              <w:tc>
                <w:tcPr/>
                <w:p>
                  <w:pPr>
                    <w:pStyle w:val="Compact"/>
                    <w:jc w:val="left"/>
                    <w:jc w:val="center"/>
                  </w:pPr>
                  <w:r>
                    <w:t xml:space="preserve">0.43</w:t>
                  </w:r>
                </w:p>
              </w:tc>
              <w:tc>
                <w:tcPr/>
                <w:p>
                  <w:pPr>
                    <w:pStyle w:val="Compact"/>
                    <w:jc w:val="left"/>
                    <w:jc w:val="center"/>
                  </w:pPr>
                  <w:r>
                    <w:t xml:space="preserve">-0.008</w:t>
                  </w:r>
                </w:p>
              </w:tc>
              <w:tc>
                <w:tcPr/>
                <w:p>
                  <w:pPr>
                    <w:pStyle w:val="Compact"/>
                    <w:jc w:val="left"/>
                    <w:jc w:val="center"/>
                  </w:pPr>
                  <w:r>
                    <w:t xml:space="preserve">-3.97</w:t>
                  </w:r>
                </w:p>
              </w:tc>
              <w:tc>
                <w:tcPr/>
                <w:p>
                  <w:pPr>
                    <w:pStyle w:val="Compact"/>
                    <w:jc w:val="left"/>
                    <w:jc w:val="center"/>
                  </w:pPr>
                  <w:r>
                    <w:t xml:space="preserve">0.067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61.9%</w:t>
                  </w:r>
                </w:p>
              </w:tc>
              <w:tc>
                <w:tcPr/>
                <w:p>
                  <w:pPr>
                    <w:pStyle w:val="Compact"/>
                    <w:jc w:val="left"/>
                    <w:jc w:val="center"/>
                  </w:pPr>
                  <w:r>
                    <w:t xml:space="preserve">0.52</w:t>
                  </w:r>
                </w:p>
              </w:tc>
              <w:tc>
                <w:tcPr/>
                <w:p>
                  <w:pPr>
                    <w:pStyle w:val="Compact"/>
                    <w:jc w:val="left"/>
                    <w:jc w:val="center"/>
                  </w:pPr>
                  <w:r>
                    <w:t xml:space="preserve">-0.061</w:t>
                  </w:r>
                </w:p>
              </w:tc>
              <w:tc>
                <w:tcPr/>
                <w:p>
                  <w:pPr>
                    <w:pStyle w:val="Compact"/>
                    <w:jc w:val="left"/>
                    <w:jc w:val="center"/>
                  </w:pPr>
                  <w:r>
                    <w:t xml:space="preserve">+0.13</w:t>
                  </w:r>
                </w:p>
              </w:tc>
              <w:tc>
                <w:tcPr/>
                <w:p>
                  <w:pPr>
                    <w:pStyle w:val="Compact"/>
                    <w:jc w:val="left"/>
                    <w:jc w:val="center"/>
                  </w:pPr>
                  <w:r>
                    <w:t xml:space="preserve">0.100</w:t>
                  </w:r>
                </w:p>
              </w:tc>
            </w:tr>
          </w:tbl>
          <w:bookmarkEnd w:id="49"/>
          <w:p/>
        </w:tc>
      </w:tr>
    </w:tbl>
    <w:bookmarkEnd w:id="50"/>
    <w:bookmarkStart w:id="54" w:name="X7519f55a912193215f6a0898c22ec7d335f2196"/>
    <w:p>
      <w:pPr>
        <w:pStyle w:val="Heading2"/>
      </w:pPr>
      <w:r>
        <w:t xml:space="preserve">3.7 Honest evaluation: the corrected analysis of record</w:t>
      </w:r>
    </w:p>
    <w:p>
      <w:pPr>
        <w:pStyle w:val="FirstParagraph"/>
      </w:pPr>
      <w:r>
        <w:t xml:space="preserve">The metrics in this section are the analysis of record, produced by the</w:t>
      </w:r>
      <w:r>
        <w:t xml:space="preserve"> </w:t>
      </w:r>
      <w:r>
        <w:t xml:space="preserve">leakage-free corrected (P1–P8) methods described in Methods; the</w:t>
      </w:r>
      <w:r>
        <w:t xml:space="preserve"> </w:t>
      </w:r>
      <w:r>
        <w:t xml:space="preserve">production-pipeline equivalents elsewhere are retained for comparison.</w:t>
      </w:r>
    </w:p>
    <w:p>
      <w:pPr>
        <w:pStyle w:val="BodyText"/>
      </w:pPr>
      <w:r>
        <w:rPr>
          <w:b/>
          <w:bCs/>
        </w:rPr>
        <w:t xml:space="preserve">Within-country discrimination shrinks under honest cross-validation.</w:t>
      </w:r>
      <w:r>
        <w:t xml:space="preserve"> </w:t>
      </w:r>
      <w:r>
        <w:t xml:space="preserve">Replacing random cross-validation and full-data preprocessing with</w:t>
      </w:r>
      <w:r>
        <w:t xml:space="preserve"> </w:t>
      </w:r>
      <w:r>
        <w:t xml:space="preserve">cluster-blocked and spatial-block folds and strictly in-fold preprocessing</w:t>
      </w:r>
      <w:r>
        <w:t xml:space="preserve"> </w:t>
      </w:r>
      <w:r>
        <w:t xml:space="preserve">lowers within-country discrimination, confirming that the optimistic design</w:t>
      </w:r>
      <w:r>
        <w:t xml:space="preserve"> </w:t>
      </w:r>
      <w:r>
        <w:t xml:space="preserve">overstated performance (</w:t>
      </w:r>
      <w:hyperlink w:anchor="tbl-cv-honesty">
        <w:r>
          <w:rPr>
            <w:rStyle w:val="Hyperlink"/>
          </w:rPr>
          <w:t xml:space="preserve">Table 7</w:t>
        </w:r>
      </w:hyperlink>
      <w:r>
        <w:t xml:space="preserve">). Across the four primary outcomes the</w:t>
      </w:r>
      <w:r>
        <w:t xml:space="preserve"> </w:t>
      </w:r>
      <w:r>
        <w:t xml:space="preserve">honest (cluster-block) AUC is typically a few points below the optimistic AUC</w:t>
      </w:r>
      <w:r>
        <w:t xml:space="preserve"> </w:t>
      </w:r>
      <w:r>
        <w:t xml:space="preserve">and frequently near chance, consistent with the modest area-level signal seen</w:t>
      </w:r>
      <w:r>
        <w:t xml:space="preserve"> </w:t>
      </w:r>
      <w:r>
        <w:t xml:space="preserve">throughout.</w:t>
      </w:r>
    </w:p>
    <w:tbl>
      <w:tblPr>
        <w:tblStyle w:val="Table"/>
        <w:tblW w:type="pct" w:w="5000"/>
        <w:tblLayout w:type="fixed"/>
        <w:tblLook w:firstRow="0" w:lastRow="0" w:firstColumn="0" w:lastColumn="0" w:noHBand="0" w:noVBand="0" w:val="0000"/>
      </w:tblPr>
      <w:tblGrid>
        <w:gridCol w:w="7920"/>
      </w:tblGrid>
      <w:tr>
        <w:tc>
          <w:tcPr/>
          <w:bookmarkStart w:id="51" w:name="tbl-cv-honesty"/>
          <w:p>
            <w:pPr>
              <w:jc w:val="center"/>
            </w:pPr>
            <w:pPr>
              <w:jc w:val="start"/>
              <w:spacing w:before="200"/>
              <w:pStyle w:val="ImageCaption"/>
            </w:pPr>
            <w:r>
              <w:t xml:space="preserve">Table 7: Within-country binary discrimination (AUC) under optimistic versus honest cross-validation, from the corrected methods (results/tables/corrected/cv_honesty_compare.csv). Honest schemes block folds by survey cluster and by spatial region and confine all preprocessing to the training fold.</w:t>
            </w:r>
          </w:p>
          <w:tbl>
            <w:tblPr>
              <w:tblStyle w:val="Table"/>
              <w:tblW w:type="pct" w:w="5000"/>
              <w:tblLayout w:type="fixed"/>
              <w:tblLook w:firstRow="1" w:lastRow="0" w:firstColumn="0" w:lastColumn="0" w:noHBand="0" w:noVBand="0" w:val="0020"/>
            </w:tblPr>
            <w:tblGrid>
              <w:gridCol w:w="1240"/>
              <w:gridCol w:w="1240"/>
              <w:gridCol w:w="1049"/>
              <w:gridCol w:w="2194"/>
              <w:gridCol w:w="219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Cluster-block (honest)</w:t>
                  </w:r>
                </w:p>
              </w:tc>
              <w:tc>
                <w:tcPr/>
                <w:p>
                  <w:pPr>
                    <w:pStyle w:val="Compact"/>
                    <w:jc w:val="right"/>
                    <w:jc w:val="center"/>
                  </w:pPr>
                  <w:r>
                    <w:t xml:space="preserve">Spatial-block (honest)</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0.56</w:t>
                  </w:r>
                </w:p>
              </w:tc>
              <w:tc>
                <w:tcPr/>
                <w:p>
                  <w:pPr>
                    <w:pStyle w:val="Compact"/>
                    <w:jc w:val="right"/>
                    <w:jc w:val="center"/>
                  </w:pPr>
                  <w:r>
                    <w:t xml:space="preserve">0.53</w:t>
                  </w:r>
                </w:p>
              </w:tc>
              <w:tc>
                <w:tcPr/>
                <w:p>
                  <w:pPr>
                    <w:pStyle w:val="Compact"/>
                    <w:jc w:val="right"/>
                    <w:jc w:val="center"/>
                  </w:pPr>
                  <w:r>
                    <w:t xml:space="preserve">0.48</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0.64</w:t>
                  </w:r>
                </w:p>
              </w:tc>
              <w:tc>
                <w:tcPr/>
                <w:p>
                  <w:pPr>
                    <w:pStyle w:val="Compact"/>
                    <w:jc w:val="right"/>
                    <w:jc w:val="center"/>
                  </w:pPr>
                  <w:r>
                    <w:t xml:space="preserve">0.60</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0.62</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0.67</w:t>
                  </w:r>
                </w:p>
              </w:tc>
              <w:tc>
                <w:tcPr/>
                <w:p>
                  <w:pPr>
                    <w:pStyle w:val="Compact"/>
                    <w:jc w:val="right"/>
                    <w:jc w:val="center"/>
                  </w:pPr>
                  <w:r>
                    <w:t xml:space="preserve">0.64</w:t>
                  </w:r>
                </w:p>
              </w:tc>
              <w:tc>
                <w:tcPr/>
                <w:p>
                  <w:pPr>
                    <w:pStyle w:val="Compact"/>
                    <w:jc w:val="right"/>
                    <w:jc w:val="center"/>
                  </w:pPr>
                  <w:r>
                    <w:t xml:space="preserve">0.52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0.68</w:t>
                  </w:r>
                </w:p>
              </w:tc>
              <w:tc>
                <w:tcPr/>
                <w:p>
                  <w:pPr>
                    <w:pStyle w:val="Compact"/>
                    <w:jc w:val="right"/>
                    <w:jc w:val="center"/>
                  </w:pPr>
                  <w:r>
                    <w:t xml:space="preserve">0.67</w:t>
                  </w:r>
                </w:p>
              </w:tc>
              <w:tc>
                <w:tcPr/>
                <w:p>
                  <w:pPr>
                    <w:pStyle w:val="Compact"/>
                    <w:jc w:val="right"/>
                    <w:jc w:val="center"/>
                  </w:pPr>
                  <w:r>
                    <w:t xml:space="preserve">0.64</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0.59</w:t>
                  </w:r>
                </w:p>
              </w:tc>
              <w:tc>
                <w:tcPr/>
                <w:p>
                  <w:pPr>
                    <w:pStyle w:val="Compact"/>
                    <w:jc w:val="right"/>
                    <w:jc w:val="center"/>
                  </w:pPr>
                  <w:r>
                    <w:t xml:space="preserve">0.52</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0.65</w:t>
                  </w:r>
                </w:p>
              </w:tc>
              <w:tc>
                <w:tcPr/>
                <w:p>
                  <w:pPr>
                    <w:pStyle w:val="Compact"/>
                    <w:jc w:val="right"/>
                    <w:jc w:val="center"/>
                  </w:pPr>
                  <w:r>
                    <w:t xml:space="preserve">0.62</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0.59</w:t>
                  </w:r>
                </w:p>
              </w:tc>
              <w:tc>
                <w:tcPr/>
                <w:p>
                  <w:pPr>
                    <w:pStyle w:val="Compact"/>
                    <w:jc w:val="right"/>
                    <w:jc w:val="center"/>
                  </w:pPr>
                  <w:r>
                    <w:t xml:space="preserve">0.60</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0.46</w:t>
                  </w:r>
                </w:p>
              </w:tc>
              <w:tc>
                <w:tcPr/>
                <w:p>
                  <w:pPr>
                    <w:pStyle w:val="Compact"/>
                    <w:jc w:val="right"/>
                    <w:jc w:val="center"/>
                  </w:pPr>
                  <w:r>
                    <w:t xml:space="preserve">0.54</w:t>
                  </w:r>
                </w:p>
              </w:tc>
              <w:tc>
                <w:tcPr/>
                <w:p>
                  <w:pPr>
                    <w:pStyle w:val="Compact"/>
                    <w:jc w:val="right"/>
                    <w:jc w:val="center"/>
                  </w:pPr>
                  <w:r>
                    <w:t xml:space="preserve">0.55</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0.61</w:t>
                  </w:r>
                </w:p>
              </w:tc>
              <w:tc>
                <w:tcPr/>
                <w:p>
                  <w:pPr>
                    <w:pStyle w:val="Compact"/>
                    <w:jc w:val="right"/>
                    <w:jc w:val="center"/>
                  </w:pPr>
                  <w:r>
                    <w:t xml:space="preserve">0.42</w:t>
                  </w:r>
                </w:p>
              </w:tc>
              <w:tc>
                <w:tcPr/>
                <w:p>
                  <w:pPr>
                    <w:pStyle w:val="Compact"/>
                    <w:jc w:val="right"/>
                    <w:jc w:val="center"/>
                  </w:pPr>
                  <w:r>
                    <w:t xml:space="preserve">0.58</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0.54</w:t>
                  </w:r>
                </w:p>
              </w:tc>
              <w:tc>
                <w:tcPr/>
                <w:p>
                  <w:pPr>
                    <w:pStyle w:val="Compact"/>
                    <w:jc w:val="right"/>
                    <w:jc w:val="center"/>
                  </w:pPr>
                  <w:r>
                    <w:t xml:space="preserve">0.52</w:t>
                  </w:r>
                </w:p>
              </w:tc>
              <w:tc>
                <w:tcPr/>
                <w:p>
                  <w:pPr>
                    <w:pStyle w:val="Compact"/>
                    <w:jc w:val="right"/>
                    <w:jc w:val="center"/>
                  </w:pPr>
                  <w:r>
                    <w:t xml:space="preserve">0.55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0.61</w:t>
                  </w:r>
                </w:p>
              </w:tc>
              <w:tc>
                <w:tcPr/>
                <w:p>
                  <w:pPr>
                    <w:pStyle w:val="Compact"/>
                    <w:jc w:val="right"/>
                    <w:jc w:val="center"/>
                  </w:pPr>
                  <w:r>
                    <w:t xml:space="preserve">0.54</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0.68</w:t>
                  </w:r>
                </w:p>
              </w:tc>
              <w:tc>
                <w:tcPr/>
                <w:p>
                  <w:pPr>
                    <w:pStyle w:val="Compact"/>
                    <w:jc w:val="right"/>
                    <w:jc w:val="center"/>
                  </w:pPr>
                  <w:r>
                    <w:t xml:space="preserve">0.49</w:t>
                  </w:r>
                </w:p>
              </w:tc>
              <w:tc>
                <w:tcPr/>
                <w:p>
                  <w:pPr>
                    <w:pStyle w:val="Compact"/>
                    <w:jc w:val="right"/>
                    <w:jc w:val="center"/>
                  </w:pPr>
                  <w:r>
                    <w:t xml:space="preserve">0.51</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0.59</w:t>
                  </w:r>
                </w:p>
              </w:tc>
              <w:tc>
                <w:tcPr/>
                <w:p>
                  <w:pPr>
                    <w:pStyle w:val="Compact"/>
                    <w:jc w:val="right"/>
                    <w:jc w:val="center"/>
                  </w:pPr>
                  <w:r>
                    <w:t xml:space="preserve">0.64</w:t>
                  </w:r>
                </w:p>
              </w:tc>
              <w:tc>
                <w:tcPr/>
                <w:p>
                  <w:pPr>
                    <w:pStyle w:val="Compact"/>
                    <w:jc w:val="right"/>
                    <w:jc w:val="center"/>
                  </w:pPr>
                  <w:r>
                    <w:t xml:space="preserve">0.46</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0.71</w:t>
                  </w:r>
                </w:p>
              </w:tc>
              <w:tc>
                <w:tcPr/>
                <w:p>
                  <w:pPr>
                    <w:pStyle w:val="Compact"/>
                    <w:jc w:val="right"/>
                    <w:jc w:val="center"/>
                  </w:pPr>
                  <w:r>
                    <w:t xml:space="preserve">0.64</w:t>
                  </w:r>
                </w:p>
              </w:tc>
              <w:tc>
                <w:tcPr/>
                <w:p>
                  <w:pPr>
                    <w:pStyle w:val="Compact"/>
                    <w:jc w:val="right"/>
                    <w:jc w:val="center"/>
                  </w:pPr>
                  <w:r>
                    <w:t xml:space="preserve">0.56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0.55</w:t>
                  </w:r>
                </w:p>
              </w:tc>
              <w:tc>
                <w:tcPr/>
                <w:p>
                  <w:pPr>
                    <w:pStyle w:val="Compact"/>
                    <w:jc w:val="right"/>
                    <w:jc w:val="center"/>
                  </w:pPr>
                  <w:r>
                    <w:t xml:space="preserve">0.54</w:t>
                  </w:r>
                </w:p>
              </w:tc>
              <w:tc>
                <w:tcPr/>
                <w:p>
                  <w:pPr>
                    <w:pStyle w:val="Compact"/>
                    <w:jc w:val="right"/>
                    <w:jc w:val="center"/>
                  </w:pPr>
                  <w:r>
                    <w:t xml:space="preserve">0.54</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0.44</w:t>
                  </w:r>
                </w:p>
              </w:tc>
              <w:tc>
                <w:tcPr/>
                <w:p>
                  <w:pPr>
                    <w:pStyle w:val="Compact"/>
                    <w:jc w:val="right"/>
                    <w:jc w:val="center"/>
                  </w:pPr>
                  <w:r>
                    <w:t xml:space="preserve">0.52</w:t>
                  </w:r>
                </w:p>
              </w:tc>
              <w:tc>
                <w:tcPr/>
                <w:p>
                  <w:pPr>
                    <w:pStyle w:val="Compact"/>
                    <w:jc w:val="right"/>
                    <w:jc w:val="center"/>
                  </w:pPr>
                  <w:r>
                    <w:t xml:space="preserve">0.46</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0.70</w:t>
                  </w:r>
                </w:p>
              </w:tc>
              <w:tc>
                <w:tcPr/>
                <w:p>
                  <w:pPr>
                    <w:pStyle w:val="Compact"/>
                    <w:jc w:val="right"/>
                    <w:jc w:val="center"/>
                  </w:pPr>
                  <w:r>
                    <w:t xml:space="preserve">0.53</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0.42</w:t>
                  </w:r>
                </w:p>
              </w:tc>
              <w:tc>
                <w:tcPr/>
                <w:p>
                  <w:pPr>
                    <w:pStyle w:val="Compact"/>
                    <w:jc w:val="right"/>
                    <w:jc w:val="center"/>
                  </w:pPr>
                  <w:r>
                    <w:t xml:space="preserve">0.54</w:t>
                  </w:r>
                </w:p>
              </w:tc>
              <w:tc>
                <w:tcPr/>
                <w:p>
                  <w:pPr>
                    <w:pStyle w:val="Compact"/>
                    <w:jc w:val="right"/>
                    <w:jc w:val="center"/>
                  </w:pPr>
                  <w:r>
                    <w:t xml:space="preserve">0.54</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0.48</w:t>
                  </w:r>
                </w:p>
              </w:tc>
              <w:tc>
                <w:tcPr/>
                <w:p>
                  <w:pPr>
                    <w:pStyle w:val="Compact"/>
                    <w:jc w:val="right"/>
                    <w:jc w:val="center"/>
                  </w:pPr>
                  <w:r>
                    <w:t xml:space="preserve">0.43</w:t>
                  </w:r>
                </w:p>
              </w:tc>
              <w:tc>
                <w:tcPr/>
                <w:p>
                  <w:pPr>
                    <w:pStyle w:val="Compact"/>
                    <w:jc w:val="right"/>
                    <w:jc w:val="center"/>
                  </w:pPr>
                  <w:r>
                    <w:t xml:space="preserve">0.50</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0.32</w:t>
                  </w:r>
                </w:p>
              </w:tc>
              <w:tc>
                <w:tcPr/>
                <w:p>
                  <w:pPr>
                    <w:pStyle w:val="Compact"/>
                    <w:jc w:val="right"/>
                    <w:jc w:val="center"/>
                  </w:pPr>
                  <w:r>
                    <w:t xml:space="preserve">0.18</w:t>
                  </w:r>
                </w:p>
              </w:tc>
              <w:tc>
                <w:tcPr/>
                <w:p>
                  <w:pPr>
                    <w:pStyle w:val="Compact"/>
                    <w:jc w:val="right"/>
                    <w:jc w:val="center"/>
                  </w:pPr>
                  <w:r>
                    <w:t xml:space="preserve">0.57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0.59</w:t>
                  </w:r>
                </w:p>
              </w:tc>
              <w:tc>
                <w:tcPr/>
                <w:p>
                  <w:pPr>
                    <w:pStyle w:val="Compact"/>
                    <w:jc w:val="right"/>
                    <w:jc w:val="center"/>
                  </w:pPr>
                  <w:r>
                    <w:t xml:space="preserve">0.52</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0.53</w:t>
                  </w:r>
                </w:p>
              </w:tc>
              <w:tc>
                <w:tcPr/>
                <w:p>
                  <w:pPr>
                    <w:pStyle w:val="Compact"/>
                    <w:jc w:val="right"/>
                    <w:jc w:val="center"/>
                  </w:pPr>
                  <w:r>
                    <w:t xml:space="preserve">0.55</w:t>
                  </w:r>
                </w:p>
              </w:tc>
              <w:tc>
                <w:tcPr/>
                <w:p>
                  <w:pPr>
                    <w:pStyle w:val="Compact"/>
                    <w:jc w:val="right"/>
                    <w:jc w:val="center"/>
                  </w:pPr>
                  <w:r>
                    <w:t xml:space="preserve">0.51</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0.29</w:t>
                  </w:r>
                </w:p>
              </w:tc>
              <w:tc>
                <w:tcPr/>
                <w:p>
                  <w:pPr>
                    <w:pStyle w:val="Compact"/>
                    <w:jc w:val="right"/>
                    <w:jc w:val="center"/>
                  </w:pPr>
                  <w:r>
                    <w:t xml:space="preserve">0.34</w:t>
                  </w:r>
                </w:p>
              </w:tc>
            </w:tr>
          </w:tbl>
          <w:bookmarkEnd w:id="51"/>
          <w:p/>
        </w:tc>
      </w:tr>
    </w:tbl>
    <w:p>
      <w:pPr>
        <w:pStyle w:val="BodyText"/>
      </w:pPr>
      <w:r>
        <w:rPr>
          <w:b/>
          <w:bCs/>
        </w:rPr>
        <w:t xml:space="preserve">Out-of-fold calibration.</w:t>
      </w:r>
      <w:r>
        <w:t xml:space="preserve"> </w:t>
      </w:r>
      <w:r>
        <w:t xml:space="preserve">Recalibrating binary predictions out-of-fold</w:t>
      </w:r>
      <w:r>
        <w:t xml:space="preserve"> </w:t>
      </w:r>
      <w:r>
        <w:t xml:space="preserve">(rather than in-sample) gives an honest picture of calibration; the in-sample</w:t>
      </w:r>
      <w:r>
        <w:t xml:space="preserve"> </w:t>
      </w:r>
      <w:r>
        <w:t xml:space="preserve">Platt fit is optimistic by construction (slope forced toward 1). Raw and</w:t>
      </w:r>
      <w:r>
        <w:t xml:space="preserve"> </w:t>
      </w:r>
      <w:r>
        <w:t xml:space="preserve">out-of-fold-calibrated slopes are reported per outcome in</w:t>
      </w:r>
      <w:r>
        <w:t xml:space="preserve"> </w:t>
      </w:r>
      <w:r>
        <w:rPr>
          <w:rStyle w:val="VerbatimChar"/>
        </w:rPr>
        <w:t xml:space="preserve">results/tables/corrected/calibration_oof_compare.csv</w:t>
      </w:r>
      <w:r>
        <w:t xml:space="preserve">.</w:t>
      </w:r>
    </w:p>
    <w:p>
      <w:pPr>
        <w:pStyle w:val="BodyText"/>
      </w:pPr>
      <w:r>
        <w:rPr>
          <w:b/>
          <w:bCs/>
        </w:rPr>
        <w:t xml:space="preserve">Admin-2 error, separating sampling noise from model error.</w:t>
      </w:r>
      <w:r>
        <w:t xml:space="preserve"> </w:t>
      </w:r>
      <w:r>
        <w:t xml:space="preserve">A substantial</w:t>
      </w:r>
      <w:r>
        <w:t xml:space="preserve"> </w:t>
      </w:r>
      <w:r>
        <w:t xml:space="preserve">part of the apparent district-level error is survey sampling noise rather than</w:t>
      </w:r>
      <w:r>
        <w:t xml:space="preserve"> </w:t>
      </w:r>
      <w:r>
        <w:t xml:space="preserve">model error. After removing the sampling-variance component, the</w:t>
      </w:r>
      <w:r>
        <w:t xml:space="preserve"> </w:t>
      </w:r>
      <w:r>
        <w:t xml:space="preserve">sampling-adjusted RMSE is the honest measure of how far model predictions sit</w:t>
      </w:r>
      <w:r>
        <w:t xml:space="preserve"> </w:t>
      </w:r>
      <w:r>
        <w:t xml:space="preserve">from the true district prevalence (</w:t>
      </w:r>
      <w:hyperlink w:anchor="tbl-corr-error">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corr-error"/>
          <w:p>
            <w:pPr>
              <w:jc w:val="center"/>
            </w:pPr>
            <w:pPr>
              <w:jc w:val="start"/>
              <w:spacing w:before="200"/>
              <w:pStyle w:val="ImageCaption"/>
            </w:pPr>
            <w:r>
              <w:t xml:space="preserve">Table 8: Admin-2 prediction error decomposed into a survey-sampling component and a model component (results/tables/corrected/admin2_error_sampling_adjusted.csv). Naive RMSE is the raw predicted-vs-survey error; the sampling component is what survey noise alone would produce; the adjusted RMSE is the honest model error.</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10.80</w:t>
                  </w:r>
                </w:p>
              </w:tc>
              <w:tc>
                <w:tcPr/>
                <w:p>
                  <w:pPr>
                    <w:pStyle w:val="Compact"/>
                    <w:jc w:val="right"/>
                    <w:jc w:val="center"/>
                  </w:pPr>
                  <w:r>
                    <w:t xml:space="preserve">3.03</w:t>
                  </w:r>
                </w:p>
              </w:tc>
              <w:tc>
                <w:tcPr/>
                <w:p>
                  <w:pPr>
                    <w:pStyle w:val="Compact"/>
                    <w:jc w:val="right"/>
                    <w:jc w:val="center"/>
                  </w:pPr>
                  <w:r>
                    <w:t xml:space="preserve">10.37</w:t>
                  </w:r>
                </w:p>
              </w:tc>
              <w:tc>
                <w:tcPr/>
                <w:p>
                  <w:pPr>
                    <w:pStyle w:val="Compact"/>
                    <w:jc w:val="right"/>
                    <w:jc w:val="center"/>
                  </w:pPr>
                  <w:r>
                    <w:t xml:space="preserve">0.59</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4.71</w:t>
                  </w:r>
                </w:p>
              </w:tc>
              <w:tc>
                <w:tcPr/>
                <w:p>
                  <w:pPr>
                    <w:pStyle w:val="Compact"/>
                    <w:jc w:val="right"/>
                    <w:jc w:val="center"/>
                  </w:pPr>
                  <w:r>
                    <w:t xml:space="preserve">0.91</w:t>
                  </w:r>
                </w:p>
              </w:tc>
              <w:tc>
                <w:tcPr/>
                <w:p>
                  <w:pPr>
                    <w:pStyle w:val="Compact"/>
                    <w:jc w:val="right"/>
                    <w:jc w:val="center"/>
                  </w:pPr>
                  <w:r>
                    <w:t xml:space="preserve">4.62</w:t>
                  </w:r>
                </w:p>
              </w:tc>
              <w:tc>
                <w:tcPr/>
                <w:p>
                  <w:pPr>
                    <w:pStyle w:val="Compact"/>
                    <w:jc w:val="right"/>
                    <w:jc w:val="center"/>
                  </w:pPr>
                  <w:r>
                    <w:t xml:space="preserve">0.29</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25.80</w:t>
                  </w:r>
                </w:p>
              </w:tc>
              <w:tc>
                <w:tcPr/>
                <w:p>
                  <w:pPr>
                    <w:pStyle w:val="Compact"/>
                    <w:jc w:val="right"/>
                    <w:jc w:val="center"/>
                  </w:pPr>
                  <w:r>
                    <w:t xml:space="preserve">3.50</w:t>
                  </w:r>
                </w:p>
              </w:tc>
              <w:tc>
                <w:tcPr/>
                <w:p>
                  <w:pPr>
                    <w:pStyle w:val="Compact"/>
                    <w:jc w:val="right"/>
                    <w:jc w:val="center"/>
                  </w:pPr>
                  <w:r>
                    <w:t xml:space="preserve">25.56</w:t>
                  </w:r>
                </w:p>
              </w:tc>
              <w:tc>
                <w:tcPr/>
                <w:p>
                  <w:pPr>
                    <w:pStyle w:val="Compact"/>
                    <w:jc w:val="right"/>
                    <w:jc w:val="center"/>
                  </w:pPr>
                  <w:r>
                    <w:t xml:space="preserve">0.58</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19.91</w:t>
                  </w:r>
                </w:p>
              </w:tc>
              <w:tc>
                <w:tcPr/>
                <w:p>
                  <w:pPr>
                    <w:pStyle w:val="Compact"/>
                    <w:jc w:val="right"/>
                    <w:jc w:val="center"/>
                  </w:pPr>
                  <w:r>
                    <w:t xml:space="preserve">4.31</w:t>
                  </w:r>
                </w:p>
              </w:tc>
              <w:tc>
                <w:tcPr/>
                <w:p>
                  <w:pPr>
                    <w:pStyle w:val="Compact"/>
                    <w:jc w:val="right"/>
                    <w:jc w:val="center"/>
                  </w:pPr>
                  <w:r>
                    <w:t xml:space="preserve">19.44</w:t>
                  </w:r>
                </w:p>
              </w:tc>
              <w:tc>
                <w:tcPr/>
                <w:p>
                  <w:pPr>
                    <w:pStyle w:val="Compact"/>
                    <w:jc w:val="right"/>
                    <w:jc w:val="center"/>
                  </w:pPr>
                  <w:r>
                    <w:t xml:space="preserve">0.83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10.77</w:t>
                  </w:r>
                </w:p>
              </w:tc>
              <w:tc>
                <w:tcPr/>
                <w:p>
                  <w:pPr>
                    <w:pStyle w:val="Compact"/>
                    <w:jc w:val="right"/>
                    <w:jc w:val="center"/>
                  </w:pPr>
                  <w:r>
                    <w:t xml:space="preserve">2.43</w:t>
                  </w:r>
                </w:p>
              </w:tc>
              <w:tc>
                <w:tcPr/>
                <w:p>
                  <w:pPr>
                    <w:pStyle w:val="Compact"/>
                    <w:jc w:val="right"/>
                    <w:jc w:val="center"/>
                  </w:pPr>
                  <w:r>
                    <w:t xml:space="preserve">10.49</w:t>
                  </w:r>
                </w:p>
              </w:tc>
              <w:tc>
                <w:tcPr/>
                <w:p>
                  <w:pPr>
                    <w:pStyle w:val="Compact"/>
                    <w:jc w:val="right"/>
                    <w:jc w:val="center"/>
                  </w:pPr>
                  <w:r>
                    <w:t xml:space="preserve">0.36</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4.52</w:t>
                  </w:r>
                </w:p>
              </w:tc>
              <w:tc>
                <w:tcPr/>
                <w:p>
                  <w:pPr>
                    <w:pStyle w:val="Compact"/>
                    <w:jc w:val="right"/>
                    <w:jc w:val="center"/>
                  </w:pPr>
                  <w:r>
                    <w:t xml:space="preserve">0.54</w:t>
                  </w:r>
                </w:p>
              </w:tc>
              <w:tc>
                <w:tcPr/>
                <w:p>
                  <w:pPr>
                    <w:pStyle w:val="Compact"/>
                    <w:jc w:val="right"/>
                    <w:jc w:val="center"/>
                  </w:pPr>
                  <w:r>
                    <w:t xml:space="preserve">4.49</w:t>
                  </w:r>
                </w:p>
              </w:tc>
              <w:tc>
                <w:tcPr/>
                <w:p>
                  <w:pPr>
                    <w:pStyle w:val="Compact"/>
                    <w:jc w:val="right"/>
                    <w:jc w:val="center"/>
                  </w:pPr>
                  <w:r>
                    <w:t xml:space="preserve">-0.03</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15.60</w:t>
                  </w:r>
                </w:p>
              </w:tc>
              <w:tc>
                <w:tcPr/>
                <w:p>
                  <w:pPr>
                    <w:pStyle w:val="Compact"/>
                    <w:jc w:val="right"/>
                    <w:jc w:val="center"/>
                  </w:pPr>
                  <w:r>
                    <w:t xml:space="preserve">2.09</w:t>
                  </w:r>
                </w:p>
              </w:tc>
              <w:tc>
                <w:tcPr/>
                <w:p>
                  <w:pPr>
                    <w:pStyle w:val="Compact"/>
                    <w:jc w:val="right"/>
                    <w:jc w:val="center"/>
                  </w:pPr>
                  <w:r>
                    <w:t xml:space="preserve">15.46</w:t>
                  </w:r>
                </w:p>
              </w:tc>
              <w:tc>
                <w:tcPr/>
                <w:p>
                  <w:pPr>
                    <w:pStyle w:val="Compact"/>
                    <w:jc w:val="right"/>
                    <w:jc w:val="center"/>
                  </w:pPr>
                  <w:r>
                    <w:t xml:space="preserve">0.56</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12.19</w:t>
                  </w:r>
                </w:p>
              </w:tc>
              <w:tc>
                <w:tcPr/>
                <w:p>
                  <w:pPr>
                    <w:pStyle w:val="Compact"/>
                    <w:jc w:val="right"/>
                    <w:jc w:val="center"/>
                  </w:pPr>
                  <w:r>
                    <w:t xml:space="preserve">1.98</w:t>
                  </w:r>
                </w:p>
              </w:tc>
              <w:tc>
                <w:tcPr/>
                <w:p>
                  <w:pPr>
                    <w:pStyle w:val="Compact"/>
                    <w:jc w:val="right"/>
                    <w:jc w:val="center"/>
                  </w:pPr>
                  <w:r>
                    <w:t xml:space="preserve">12.03</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26.35</w:t>
                  </w:r>
                </w:p>
              </w:tc>
              <w:tc>
                <w:tcPr/>
                <w:p>
                  <w:pPr>
                    <w:pStyle w:val="Compact"/>
                    <w:jc w:val="right"/>
                    <w:jc w:val="center"/>
                  </w:pPr>
                  <w:r>
                    <w:t xml:space="preserve">4.74</w:t>
                  </w:r>
                </w:p>
              </w:tc>
              <w:tc>
                <w:tcPr/>
                <w:p>
                  <w:pPr>
                    <w:pStyle w:val="Compact"/>
                    <w:jc w:val="right"/>
                    <w:jc w:val="center"/>
                  </w:pPr>
                  <w:r>
                    <w:t xml:space="preserve">25.92</w:t>
                  </w:r>
                </w:p>
              </w:tc>
              <w:tc>
                <w:tcPr/>
                <w:p>
                  <w:pPr>
                    <w:pStyle w:val="Compact"/>
                    <w:jc w:val="right"/>
                    <w:jc w:val="center"/>
                  </w:pPr>
                  <w:r>
                    <w:t xml:space="preserve">0.46</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15.35</w:t>
                  </w:r>
                </w:p>
              </w:tc>
              <w:tc>
                <w:tcPr/>
                <w:p>
                  <w:pPr>
                    <w:pStyle w:val="Compact"/>
                    <w:jc w:val="right"/>
                    <w:jc w:val="center"/>
                  </w:pPr>
                  <w:r>
                    <w:t xml:space="preserve">2.10</w:t>
                  </w:r>
                </w:p>
              </w:tc>
              <w:tc>
                <w:tcPr/>
                <w:p>
                  <w:pPr>
                    <w:pStyle w:val="Compact"/>
                    <w:jc w:val="right"/>
                    <w:jc w:val="center"/>
                  </w:pPr>
                  <w:r>
                    <w:t xml:space="preserve">15.21</w:t>
                  </w:r>
                </w:p>
              </w:tc>
              <w:tc>
                <w:tcPr/>
                <w:p>
                  <w:pPr>
                    <w:pStyle w:val="Compact"/>
                    <w:jc w:val="right"/>
                    <w:jc w:val="center"/>
                  </w:pPr>
                  <w:r>
                    <w:t xml:space="preserve">0.39</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5.70</w:t>
                  </w:r>
                </w:p>
              </w:tc>
              <w:tc>
                <w:tcPr/>
                <w:p>
                  <w:pPr>
                    <w:pStyle w:val="Compact"/>
                    <w:jc w:val="right"/>
                    <w:jc w:val="center"/>
                  </w:pPr>
                  <w:r>
                    <w:t xml:space="preserve">5.34</w:t>
                  </w:r>
                </w:p>
              </w:tc>
              <w:tc>
                <w:tcPr/>
                <w:p>
                  <w:pPr>
                    <w:pStyle w:val="Compact"/>
                    <w:jc w:val="right"/>
                    <w:jc w:val="center"/>
                  </w:pPr>
                  <w:r>
                    <w:t xml:space="preserve">2.00</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1.56</w:t>
                  </w:r>
                </w:p>
              </w:tc>
              <w:tc>
                <w:tcPr/>
                <w:p>
                  <w:pPr>
                    <w:pStyle w:val="Compact"/>
                    <w:jc w:val="right"/>
                    <w:jc w:val="center"/>
                  </w:pPr>
                  <w:r>
                    <w:t xml:space="preserve">1.29</w:t>
                  </w:r>
                </w:p>
              </w:tc>
              <w:tc>
                <w:tcPr/>
                <w:p>
                  <w:pPr>
                    <w:pStyle w:val="Compact"/>
                    <w:jc w:val="right"/>
                    <w:jc w:val="center"/>
                  </w:pPr>
                  <w:r>
                    <w:t xml:space="preserve">0.87</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2.82</w:t>
                  </w:r>
                </w:p>
              </w:tc>
              <w:tc>
                <w:tcPr/>
                <w:p>
                  <w:pPr>
                    <w:pStyle w:val="Compact"/>
                    <w:jc w:val="right"/>
                    <w:jc w:val="center"/>
                  </w:pPr>
                  <w:r>
                    <w:t xml:space="preserve">3.58</w:t>
                  </w:r>
                </w:p>
              </w:tc>
              <w:tc>
                <w:tcPr/>
                <w:p>
                  <w:pPr>
                    <w:pStyle w:val="Compact"/>
                    <w:jc w:val="right"/>
                    <w:jc w:val="center"/>
                  </w:pPr>
                  <w:r>
                    <w:t xml:space="preserve">0.00</w:t>
                  </w:r>
                </w:p>
              </w:tc>
              <w:tc>
                <w:tcPr/>
                <w:p>
                  <w:pPr>
                    <w:pStyle w:val="Compact"/>
                    <w:jc w:val="right"/>
                    <w:jc w:val="center"/>
                  </w:pPr>
                  <w:r>
                    <w:t xml:space="preserve">0.80</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9.16</w:t>
                  </w:r>
                </w:p>
              </w:tc>
              <w:tc>
                <w:tcPr/>
                <w:p>
                  <w:pPr>
                    <w:pStyle w:val="Compact"/>
                    <w:jc w:val="right"/>
                    <w:jc w:val="center"/>
                  </w:pPr>
                  <w:r>
                    <w:t xml:space="preserve">6.50</w:t>
                  </w:r>
                </w:p>
              </w:tc>
              <w:tc>
                <w:tcPr/>
                <w:p>
                  <w:pPr>
                    <w:pStyle w:val="Compact"/>
                    <w:jc w:val="right"/>
                    <w:jc w:val="center"/>
                  </w:pPr>
                  <w:r>
                    <w:t xml:space="preserve">6.45</w:t>
                  </w:r>
                </w:p>
              </w:tc>
              <w:tc>
                <w:tcPr/>
                <w:p>
                  <w:pPr>
                    <w:pStyle w:val="Compact"/>
                    <w:jc w:val="right"/>
                    <w:jc w:val="center"/>
                  </w:pPr>
                  <w:r>
                    <w:t xml:space="preserve">0.72</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4.31</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0.91</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0.61</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12.97</w:t>
                  </w:r>
                </w:p>
              </w:tc>
              <w:tc>
                <w:tcPr/>
                <w:p>
                  <w:pPr>
                    <w:pStyle w:val="Compact"/>
                    <w:jc w:val="right"/>
                    <w:jc w:val="center"/>
                  </w:pPr>
                  <w:r>
                    <w:t xml:space="preserve">1.44</w:t>
                  </w:r>
                </w:p>
              </w:tc>
              <w:tc>
                <w:tcPr/>
                <w:p>
                  <w:pPr>
                    <w:pStyle w:val="Compact"/>
                    <w:jc w:val="right"/>
                    <w:jc w:val="center"/>
                  </w:pPr>
                  <w:r>
                    <w:t xml:space="preserve">12.89</w:t>
                  </w:r>
                </w:p>
              </w:tc>
              <w:tc>
                <w:tcPr/>
                <w:p>
                  <w:pPr>
                    <w:pStyle w:val="Compact"/>
                    <w:jc w:val="right"/>
                    <w:jc w:val="center"/>
                  </w:pPr>
                  <w:r>
                    <w:t xml:space="preserve">0.13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5.12</w:t>
                  </w:r>
                </w:p>
              </w:tc>
              <w:tc>
                <w:tcPr/>
                <w:p>
                  <w:pPr>
                    <w:pStyle w:val="Compact"/>
                    <w:jc w:val="right"/>
                    <w:jc w:val="center"/>
                  </w:pPr>
                  <w:r>
                    <w:t xml:space="preserve">0.00</w:t>
                  </w:r>
                </w:p>
              </w:tc>
              <w:tc>
                <w:tcPr/>
                <w:p>
                  <w:pPr>
                    <w:pStyle w:val="Compact"/>
                    <w:jc w:val="right"/>
                    <w:jc w:val="center"/>
                  </w:pPr>
                  <w:r>
                    <w:t xml:space="preserve">5.12</w:t>
                  </w:r>
                </w:p>
              </w:tc>
              <w:tc>
                <w:tcPr/>
                <w:p>
                  <w:pPr>
                    <w:pStyle w:val="Compact"/>
                    <w:jc w:val="right"/>
                    <w:jc w:val="center"/>
                  </w:pPr>
                  <w:r>
                    <w:t xml:space="preserve">-0.10</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18.68</w:t>
                  </w:r>
                </w:p>
              </w:tc>
              <w:tc>
                <w:tcPr/>
                <w:p>
                  <w:pPr>
                    <w:pStyle w:val="Compact"/>
                    <w:jc w:val="right"/>
                    <w:jc w:val="center"/>
                  </w:pPr>
                  <w:r>
                    <w:t xml:space="preserve">1.99</w:t>
                  </w:r>
                </w:p>
              </w:tc>
              <w:tc>
                <w:tcPr/>
                <w:p>
                  <w:pPr>
                    <w:pStyle w:val="Compact"/>
                    <w:jc w:val="right"/>
                    <w:jc w:val="center"/>
                  </w:pPr>
                  <w:r>
                    <w:t xml:space="preserve">18.57</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18.19</w:t>
                  </w:r>
                </w:p>
              </w:tc>
              <w:tc>
                <w:tcPr/>
                <w:p>
                  <w:pPr>
                    <w:pStyle w:val="Compact"/>
                    <w:jc w:val="right"/>
                    <w:jc w:val="center"/>
                  </w:pPr>
                  <w:r>
                    <w:t xml:space="preserve">2.34</w:t>
                  </w:r>
                </w:p>
              </w:tc>
              <w:tc>
                <w:tcPr/>
                <w:p>
                  <w:pPr>
                    <w:pStyle w:val="Compact"/>
                    <w:jc w:val="right"/>
                    <w:jc w:val="center"/>
                  </w:pPr>
                  <w:r>
                    <w:t xml:space="preserve">18.04</w:t>
                  </w:r>
                </w:p>
              </w:tc>
              <w:tc>
                <w:tcPr/>
                <w:p>
                  <w:pPr>
                    <w:pStyle w:val="Compact"/>
                    <w:jc w:val="right"/>
                    <w:jc w:val="center"/>
                  </w:pPr>
                  <w:r>
                    <w:t xml:space="preserve">0.22</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18.03</w:t>
                  </w:r>
                </w:p>
              </w:tc>
              <w:tc>
                <w:tcPr/>
                <w:p>
                  <w:pPr>
                    <w:pStyle w:val="Compact"/>
                    <w:jc w:val="right"/>
                    <w:jc w:val="center"/>
                  </w:pPr>
                  <w:r>
                    <w:t xml:space="preserve">2.88</w:t>
                  </w:r>
                </w:p>
              </w:tc>
              <w:tc>
                <w:tcPr/>
                <w:p>
                  <w:pPr>
                    <w:pStyle w:val="Compact"/>
                    <w:jc w:val="right"/>
                    <w:jc w:val="center"/>
                  </w:pPr>
                  <w:r>
                    <w:t xml:space="preserve">17.80</w:t>
                  </w:r>
                </w:p>
              </w:tc>
              <w:tc>
                <w:tcPr/>
                <w:p>
                  <w:pPr>
                    <w:pStyle w:val="Compact"/>
                    <w:jc w:val="right"/>
                    <w:jc w:val="center"/>
                  </w:pPr>
                  <w:r>
                    <w:t xml:space="preserve">0.52</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6.50</w:t>
                  </w:r>
                </w:p>
              </w:tc>
              <w:tc>
                <w:tcPr/>
                <w:p>
                  <w:pPr>
                    <w:pStyle w:val="Compact"/>
                    <w:jc w:val="right"/>
                    <w:jc w:val="center"/>
                  </w:pPr>
                  <w:r>
                    <w:t xml:space="preserve">0.44</w:t>
                  </w:r>
                </w:p>
              </w:tc>
              <w:tc>
                <w:tcPr/>
                <w:p>
                  <w:pPr>
                    <w:pStyle w:val="Compact"/>
                    <w:jc w:val="right"/>
                    <w:jc w:val="center"/>
                  </w:pPr>
                  <w:r>
                    <w:t xml:space="preserve">6.48</w:t>
                  </w:r>
                </w:p>
              </w:tc>
              <w:tc>
                <w:tcPr/>
                <w:p>
                  <w:pPr>
                    <w:pStyle w:val="Compact"/>
                    <w:jc w:val="right"/>
                    <w:jc w:val="center"/>
                  </w:pPr>
                  <w:r>
                    <w:t xml:space="preserve">0.07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26.05</w:t>
                  </w:r>
                </w:p>
              </w:tc>
              <w:tc>
                <w:tcPr/>
                <w:p>
                  <w:pPr>
                    <w:pStyle w:val="Compact"/>
                    <w:jc w:val="right"/>
                    <w:jc w:val="center"/>
                  </w:pPr>
                  <w:r>
                    <w:t xml:space="preserve">4.97</w:t>
                  </w:r>
                </w:p>
              </w:tc>
              <w:tc>
                <w:tcPr/>
                <w:p>
                  <w:pPr>
                    <w:pStyle w:val="Compact"/>
                    <w:jc w:val="right"/>
                    <w:jc w:val="center"/>
                  </w:pPr>
                  <w:r>
                    <w:t xml:space="preserve">25.58</w:t>
                  </w:r>
                </w:p>
              </w:tc>
              <w:tc>
                <w:tcPr/>
                <w:p>
                  <w:pPr>
                    <w:pStyle w:val="Compact"/>
                    <w:jc w:val="right"/>
                    <w:jc w:val="center"/>
                  </w:pPr>
                  <w:r>
                    <w:t xml:space="preserve">0.05</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26.27</w:t>
                  </w:r>
                </w:p>
              </w:tc>
              <w:tc>
                <w:tcPr/>
                <w:p>
                  <w:pPr>
                    <w:pStyle w:val="Compact"/>
                    <w:jc w:val="right"/>
                    <w:jc w:val="center"/>
                  </w:pPr>
                  <w:r>
                    <w:t xml:space="preserve">4.30</w:t>
                  </w:r>
                </w:p>
              </w:tc>
              <w:tc>
                <w:tcPr/>
                <w:p>
                  <w:pPr>
                    <w:pStyle w:val="Compact"/>
                    <w:jc w:val="right"/>
                    <w:jc w:val="center"/>
                  </w:pPr>
                  <w:r>
                    <w:t xml:space="preserve">25.91</w:t>
                  </w:r>
                </w:p>
              </w:tc>
              <w:tc>
                <w:tcPr/>
                <w:p>
                  <w:pPr>
                    <w:pStyle w:val="Compact"/>
                    <w:jc w:val="right"/>
                    <w:jc w:val="center"/>
                  </w:pPr>
                  <w:r>
                    <w:t xml:space="preserve">0.20</w:t>
                  </w:r>
                </w:p>
              </w:tc>
            </w:tr>
          </w:tbl>
          <w:bookmarkEnd w:id="52"/>
          <w:p/>
        </w:tc>
      </w:tr>
    </w:tbl>
    <w:p>
      <w:pPr>
        <w:pStyle w:val="BodyText"/>
      </w:pPr>
      <w:r>
        <w:rPr>
          <w:b/>
          <w:bCs/>
        </w:rPr>
        <w:t xml:space="preserve">Decision value for targeting.</w:t>
      </w:r>
      <w:r>
        <w:t xml:space="preserve"> </w:t>
      </w:r>
      <w:r>
        <w:t xml:space="preserve">Because the operational task is to find the</w:t>
      </w:r>
      <w:r>
        <w:t xml:space="preserve"> </w:t>
      </w:r>
      <w:r>
        <w:t xml:space="preserve">highest-burden districts, we score how well the predictions concentrate true</w:t>
      </w:r>
      <w:r>
        <w:t xml:space="preserve"> </w:t>
      </w:r>
      <w:r>
        <w:t xml:space="preserve">burden in the top-ranked districts. Targeting the top 20% of districts by</w:t>
      </w:r>
      <w:r>
        <w:t xml:space="preserve"> </w:t>
      </w:r>
      <w:r>
        <w:t xml:space="preserve">predicted prevalence reaches more of the true burden than untargeted allocation</w:t>
      </w:r>
      <w:r>
        <w:t xml:space="preserve"> </w:t>
      </w:r>
      <w:r>
        <w:t xml:space="preserve">(lift &gt; 1) for most outcomes, with the largest lift on the outcomes that have</w:t>
      </w:r>
      <w:r>
        <w:t xml:space="preserve"> </w:t>
      </w:r>
      <w:r>
        <w:t xml:space="preserve">the most spatial signal (</w:t>
      </w:r>
      <w:hyperlink w:anchor="tbl-decision">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tbl-decision"/>
          <w:p>
            <w:pPr>
              <w:jc w:val="center"/>
            </w:pPr>
            <w:pPr>
              <w:jc w:val="start"/>
              <w:spacing w:before="200"/>
              <w:pStyle w:val="ImageCaption"/>
            </w:pPr>
            <w:r>
              <w:t xml:space="preserve">Table 9: Decision value of district ranking (results/tables/corrected/decision_value.csv). reach@20% is the share of true burden captured by the top 20% of districts ranked by predicted prevalence; lift is that reach divided by the 20% an untargeted allocation would reach; hit-rate@top20 is the share of the predicted top-20% districts that are truly in the top 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Reach@20%</w:t>
                  </w:r>
                </w:p>
              </w:tc>
              <w:tc>
                <w:tcPr/>
                <w:p>
                  <w:pPr>
                    <w:pStyle w:val="Compact"/>
                    <w:jc w:val="right"/>
                    <w:jc w:val="center"/>
                  </w:pPr>
                  <w:r>
                    <w:t xml:space="preserve">Lift</w:t>
                  </w:r>
                </w:p>
              </w:tc>
              <w:tc>
                <w:tcPr/>
                <w:p>
                  <w:pPr>
                    <w:pStyle w:val="Compact"/>
                    <w:jc w:val="right"/>
                    <w:jc w:val="center"/>
                  </w:pPr>
                  <w:r>
                    <w:t xml:space="preserve">Hit-rate@top20</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0.33</w:t>
                  </w:r>
                </w:p>
              </w:tc>
              <w:tc>
                <w:tcPr/>
                <w:p>
                  <w:pPr>
                    <w:pStyle w:val="Compact"/>
                    <w:jc w:val="right"/>
                    <w:jc w:val="center"/>
                  </w:pPr>
                  <w:r>
                    <w:t xml:space="preserve">1.63</w:t>
                  </w:r>
                </w:p>
              </w:tc>
              <w:tc>
                <w:tcPr/>
                <w:p>
                  <w:pPr>
                    <w:pStyle w:val="Compact"/>
                    <w:jc w:val="right"/>
                    <w:jc w:val="center"/>
                  </w:pPr>
                  <w:r>
                    <w:t xml:space="preserve">0.50</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0.31</w:t>
                  </w:r>
                </w:p>
              </w:tc>
              <w:tc>
                <w:tcPr/>
                <w:p>
                  <w:pPr>
                    <w:pStyle w:val="Compact"/>
                    <w:jc w:val="right"/>
                    <w:jc w:val="center"/>
                  </w:pPr>
                  <w:r>
                    <w:t xml:space="preserve">1.51</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0.23</w:t>
                  </w:r>
                </w:p>
              </w:tc>
              <w:tc>
                <w:tcPr/>
                <w:p>
                  <w:pPr>
                    <w:pStyle w:val="Compact"/>
                    <w:jc w:val="right"/>
                    <w:jc w:val="center"/>
                  </w:pPr>
                  <w:r>
                    <w:t xml:space="preserve">1.13</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0.27</w:t>
                  </w:r>
                </w:p>
              </w:tc>
              <w:tc>
                <w:tcPr/>
                <w:p>
                  <w:pPr>
                    <w:pStyle w:val="Compact"/>
                    <w:jc w:val="right"/>
                    <w:jc w:val="center"/>
                  </w:pPr>
                  <w:r>
                    <w:t xml:space="preserve">1.50</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0.31</w:t>
                  </w:r>
                </w:p>
              </w:tc>
              <w:tc>
                <w:tcPr/>
                <w:p>
                  <w:pPr>
                    <w:pStyle w:val="Compact"/>
                    <w:jc w:val="right"/>
                    <w:jc w:val="center"/>
                  </w:pPr>
                  <w:r>
                    <w:t xml:space="preserve">1.50</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0.33</w:t>
                  </w:r>
                </w:p>
              </w:tc>
              <w:tc>
                <w:tcPr/>
                <w:p>
                  <w:pPr>
                    <w:pStyle w:val="Compact"/>
                    <w:jc w:val="right"/>
                    <w:jc w:val="center"/>
                  </w:pPr>
                  <w:r>
                    <w:t xml:space="preserve">1.53</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0.35</w:t>
                  </w:r>
                </w:p>
              </w:tc>
              <w:tc>
                <w:tcPr/>
                <w:p>
                  <w:pPr>
                    <w:pStyle w:val="Compact"/>
                    <w:jc w:val="right"/>
                    <w:jc w:val="center"/>
                  </w:pPr>
                  <w:r>
                    <w:t xml:space="preserve">1.83</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0.28</w:t>
                  </w:r>
                </w:p>
              </w:tc>
              <w:tc>
                <w:tcPr/>
                <w:p>
                  <w:pPr>
                    <w:pStyle w:val="Compact"/>
                    <w:jc w:val="right"/>
                    <w:jc w:val="center"/>
                  </w:pPr>
                  <w:r>
                    <w:t xml:space="preserve">1.41</w:t>
                  </w:r>
                </w:p>
              </w:tc>
              <w:tc>
                <w:tcPr/>
                <w:p>
                  <w:pPr>
                    <w:pStyle w:val="Compact"/>
                    <w:jc w:val="right"/>
                    <w:jc w:val="center"/>
                  </w:pPr>
                  <w:r>
                    <w:t xml:space="preserve">0.40</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0.27</w:t>
                  </w:r>
                </w:p>
              </w:tc>
              <w:tc>
                <w:tcPr/>
                <w:p>
                  <w:pPr>
                    <w:pStyle w:val="Compact"/>
                    <w:jc w:val="right"/>
                    <w:jc w:val="center"/>
                  </w:pPr>
                  <w:r>
                    <w:t xml:space="preserve">1.30</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0.49</w:t>
                  </w:r>
                </w:p>
              </w:tc>
              <w:tc>
                <w:tcPr/>
                <w:p>
                  <w:pPr>
                    <w:pStyle w:val="Compact"/>
                    <w:jc w:val="right"/>
                    <w:jc w:val="center"/>
                  </w:pPr>
                  <w:r>
                    <w:t xml:space="preserve">2.55</w:t>
                  </w:r>
                </w:p>
              </w:tc>
              <w:tc>
                <w:tcPr/>
                <w:p>
                  <w:pPr>
                    <w:pStyle w:val="Compact"/>
                    <w:jc w:val="right"/>
                    <w:jc w:val="center"/>
                  </w:pPr>
                  <w:r>
                    <w:t xml:space="preserve">0.60</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1.56</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1.64</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0.44</w:t>
                  </w:r>
                </w:p>
              </w:tc>
              <w:tc>
                <w:tcPr/>
                <w:p>
                  <w:pPr>
                    <w:pStyle w:val="Compact"/>
                    <w:jc w:val="right"/>
                    <w:jc w:val="center"/>
                  </w:pPr>
                  <w:r>
                    <w:t xml:space="preserve">2.28</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0.26</w:t>
                  </w:r>
                </w:p>
              </w:tc>
              <w:tc>
                <w:tcPr/>
                <w:p>
                  <w:pPr>
                    <w:pStyle w:val="Compact"/>
                    <w:jc w:val="right"/>
                    <w:jc w:val="center"/>
                  </w:pPr>
                  <w:r>
                    <w:t xml:space="preserve">1.31</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0.23</w:t>
                  </w:r>
                </w:p>
              </w:tc>
              <w:tc>
                <w:tcPr/>
                <w:p>
                  <w:pPr>
                    <w:pStyle w:val="Compact"/>
                    <w:jc w:val="right"/>
                    <w:jc w:val="center"/>
                  </w:pPr>
                  <w:r>
                    <w:t xml:space="preserve">1.20</w:t>
                  </w:r>
                </w:p>
              </w:tc>
              <w:tc>
                <w:tcPr/>
                <w:p>
                  <w:pPr>
                    <w:pStyle w:val="Compact"/>
                    <w:jc w:val="right"/>
                    <w:jc w:val="center"/>
                  </w:pPr>
                  <w:r>
                    <w:t xml:space="preserve">1.00</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0.42</w:t>
                  </w:r>
                </w:p>
              </w:tc>
              <w:tc>
                <w:tcPr/>
                <w:p>
                  <w:pPr>
                    <w:pStyle w:val="Compact"/>
                    <w:jc w:val="right"/>
                    <w:jc w:val="center"/>
                  </w:pPr>
                  <w:r>
                    <w:t xml:space="preserve">1.82</w:t>
                  </w:r>
                </w:p>
              </w:tc>
              <w:tc>
                <w:tcPr/>
                <w:p>
                  <w:pPr>
                    <w:pStyle w:val="Compact"/>
                    <w:jc w:val="right"/>
                    <w:jc w:val="center"/>
                  </w:pPr>
                  <w:r>
                    <w:t xml:space="preserve">0.33</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0.27</w:t>
                  </w:r>
                </w:p>
              </w:tc>
              <w:tc>
                <w:tcPr/>
                <w:p>
                  <w:pPr>
                    <w:pStyle w:val="Compact"/>
                    <w:jc w:val="right"/>
                    <w:jc w:val="center"/>
                  </w:pPr>
                  <w:r>
                    <w:t xml:space="preserve">1.30</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0.09</w:t>
                  </w:r>
                </w:p>
              </w:tc>
              <w:tc>
                <w:tcPr/>
                <w:p>
                  <w:pPr>
                    <w:pStyle w:val="Compact"/>
                    <w:jc w:val="right"/>
                    <w:jc w:val="center"/>
                  </w:pPr>
                  <w:r>
                    <w:t xml:space="preserve">0.52</w:t>
                  </w:r>
                </w:p>
              </w:tc>
              <w:tc>
                <w:tcPr/>
                <w:p>
                  <w:pPr>
                    <w:pStyle w:val="Compact"/>
                    <w:jc w:val="right"/>
                    <w:jc w:val="center"/>
                  </w:pPr>
                  <w:r>
                    <w:t xml:space="preserve">0.12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0.23</w:t>
                  </w:r>
                </w:p>
              </w:tc>
              <w:tc>
                <w:tcPr/>
                <w:p>
                  <w:pPr>
                    <w:pStyle w:val="Compact"/>
                    <w:jc w:val="right"/>
                    <w:jc w:val="center"/>
                  </w:pPr>
                  <w:r>
                    <w:t xml:space="preserve">1.21</w:t>
                  </w:r>
                </w:p>
              </w:tc>
              <w:tc>
                <w:tcPr/>
                <w:p>
                  <w:pPr>
                    <w:pStyle w:val="Compact"/>
                    <w:jc w:val="right"/>
                    <w:jc w:val="center"/>
                  </w:pPr>
                  <w:r>
                    <w:t xml:space="preserve">0.41</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0.31</w:t>
                  </w:r>
                </w:p>
              </w:tc>
              <w:tc>
                <w:tcPr/>
                <w:p>
                  <w:pPr>
                    <w:pStyle w:val="Compact"/>
                    <w:jc w:val="right"/>
                    <w:jc w:val="center"/>
                  </w:pPr>
                  <w:r>
                    <w:t xml:space="preserve">1.51</w:t>
                  </w:r>
                </w:p>
              </w:tc>
              <w:tc>
                <w:tcPr/>
                <w:p>
                  <w:pPr>
                    <w:pStyle w:val="Compact"/>
                    <w:jc w:val="right"/>
                    <w:jc w:val="center"/>
                  </w:pPr>
                  <w:r>
                    <w:t xml:space="preserve">0.35</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0.37</w:t>
                  </w:r>
                </w:p>
              </w:tc>
              <w:tc>
                <w:tcPr/>
                <w:p>
                  <w:pPr>
                    <w:pStyle w:val="Compact"/>
                    <w:jc w:val="right"/>
                    <w:jc w:val="center"/>
                  </w:pPr>
                  <w:r>
                    <w:t xml:space="preserve">1.84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0.29</w:t>
                  </w:r>
                </w:p>
              </w:tc>
              <w:tc>
                <w:tcPr/>
                <w:p>
                  <w:pPr>
                    <w:pStyle w:val="Compact"/>
                    <w:jc w:val="right"/>
                    <w:jc w:val="center"/>
                  </w:pPr>
                  <w:r>
                    <w:t xml:space="preserve">1.59</w:t>
                  </w:r>
                </w:p>
              </w:tc>
              <w:tc>
                <w:tcPr/>
                <w:p>
                  <w:pPr>
                    <w:pStyle w:val="Compact"/>
                    <w:jc w:val="right"/>
                    <w:jc w:val="center"/>
                  </w:pPr>
                  <w:r>
                    <w:t xml:space="preserve">0.29</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0.21</w:t>
                  </w:r>
                </w:p>
              </w:tc>
              <w:tc>
                <w:tcPr/>
                <w:p>
                  <w:pPr>
                    <w:pStyle w:val="Compact"/>
                    <w:jc w:val="right"/>
                    <w:jc w:val="center"/>
                  </w:pPr>
                  <w:r>
                    <w:t xml:space="preserve">1.05</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0.24</w:t>
                  </w:r>
                </w:p>
              </w:tc>
              <w:tc>
                <w:tcPr/>
                <w:p>
                  <w:pPr>
                    <w:pStyle w:val="Compact"/>
                    <w:jc w:val="right"/>
                    <w:jc w:val="center"/>
                  </w:pPr>
                  <w:r>
                    <w:t xml:space="preserve">1.20</w:t>
                  </w:r>
                </w:p>
              </w:tc>
              <w:tc>
                <w:tcPr/>
                <w:p>
                  <w:pPr>
                    <w:pStyle w:val="Compact"/>
                    <w:jc w:val="right"/>
                    <w:jc w:val="center"/>
                  </w:pPr>
                  <w:r>
                    <w:t xml:space="preserve">0.35</w:t>
                  </w:r>
                </w:p>
              </w:tc>
            </w:tr>
          </w:tbl>
          <w:bookmarkEnd w:id="53"/>
          <w:p/>
        </w:tc>
      </w:tr>
    </w:tbl>
    <w:p>
      <w:pPr>
        <w:pStyle w:val="BodyText"/>
      </w:pPr>
      <w:r>
        <w:rPr>
          <w:b/>
          <w:bCs/>
        </w:rPr>
        <w:t xml:space="preserve">Prediction intervals are reasonably calibrated.</w:t>
      </w:r>
      <w:r>
        <w:t xml:space="preserve"> </w:t>
      </w:r>
      <w:r>
        <w:t xml:space="preserve">Split-conformal intervals</w:t>
      </w:r>
      <w:r>
        <w:t xml:space="preserve"> </w:t>
      </w:r>
      <w:r>
        <w:t xml:space="preserve">attached to each surveyed district achieve empirical held-out coverage close to</w:t>
      </w:r>
      <w:r>
        <w:t xml:space="preserve"> </w:t>
      </w:r>
      <w:r>
        <w:t xml:space="preserve">the 90% target (range across outcomes typically 0.85–1.00;</w:t>
      </w:r>
      <w:r>
        <w:t xml:space="preserve"> </w:t>
      </w:r>
      <w:r>
        <w:rPr>
          <w:rStyle w:val="VerbatimChar"/>
        </w:rPr>
        <w:t xml:space="preserve">results/tables/corrected/interval_summary.csv</w:t>
      </w:r>
      <w:r>
        <w:t xml:space="preserve">), at the cost of wide intervals</w:t>
      </w:r>
      <w:r>
        <w:t xml:space="preserve"> </w:t>
      </w:r>
      <w:r>
        <w:t xml:space="preserve">for the noisiest outcomes.</w:t>
      </w:r>
    </w:p>
    <w:p>
      <w:pPr>
        <w:pStyle w:val="BodyText"/>
      </w:pPr>
      <w:r>
        <w:rPr>
          <w:b/>
          <w:bCs/>
        </w:rPr>
        <w:t xml:space="preserve">Per-district trust flags.</w:t>
      </w:r>
      <w:r>
        <w:t xml:space="preserve"> </w:t>
      </w:r>
      <w:r>
        <w:t xml:space="preserve">Each district is flagged for reliability by three</w:t>
      </w:r>
      <w:r>
        <w:t xml:space="preserve"> </w:t>
      </w:r>
      <w:r>
        <w:t xml:space="preserve">criteria: whether its covariates fall outside the surveyed training range</w:t>
      </w:r>
      <w:r>
        <w:t xml:space="preserve"> </w:t>
      </w:r>
      <w:r>
        <w:t xml:space="preserve">(out-of-support), small survey sample, and a wide prediction interval. The</w:t>
      </w:r>
      <w:r>
        <w:t xml:space="preserve"> </w:t>
      </w:r>
      <w:r>
        <w:t xml:space="preserve">resulting OK-to-use versus do-not-rely labels are in</w:t>
      </w:r>
      <w:r>
        <w:t xml:space="preserve"> </w:t>
      </w:r>
      <w:r>
        <w:rPr>
          <w:rStyle w:val="VerbatimChar"/>
        </w:rPr>
        <w:t xml:space="preserve">results/tables/corrected/trust_flags.csv</w:t>
      </w:r>
      <w:r>
        <w:t xml:space="preserve"> </w:t>
      </w:r>
      <w:r>
        <w:t xml:space="preserve">and drive the dashboard’s certainty</w:t>
      </w:r>
      <w:r>
        <w:t xml:space="preserve"> </w:t>
      </w:r>
      <w:r>
        <w:t xml:space="preserve">layer; out-of-support is the dominant driver of do-not-rely flags in</w:t>
      </w:r>
      <w:r>
        <w:t xml:space="preserve"> </w:t>
      </w:r>
      <w:r>
        <w:t xml:space="preserve">unsurveyed districts.</w:t>
      </w:r>
    </w:p>
    <w:bookmarkEnd w:id="54"/>
    <w:bookmarkEnd w:id="55"/>
    <w:bookmarkStart w:id="64" w:name="discussion"/>
    <w:p>
      <w:pPr>
        <w:pStyle w:val="Heading1"/>
      </w:pPr>
      <w:r>
        <w:t xml:space="preserve">4. Discussion</w:t>
      </w:r>
    </w:p>
    <w:bookmarkStart w:id="56" w:name="summary"/>
    <w:p>
      <w:pPr>
        <w:pStyle w:val="Heading2"/>
      </w:pPr>
      <w:r>
        <w:t xml:space="preserve">4.1 Summary</w:t>
      </w:r>
    </w:p>
    <w:p>
      <w:pPr>
        <w:pStyle w:val="FirstParagraph"/>
      </w:pPr>
      <w:r>
        <w:t xml:space="preserve">We harmonised individual-level biomarker measurements from four</w:t>
      </w:r>
      <w:r>
        <w:t xml:space="preserve"> </w:t>
      </w:r>
      <w:r>
        <w:t xml:space="preserve">sub-Saharan African DHS (three West African plus Malawi) to evaluate</w:t>
      </w:r>
      <w:r>
        <w:t xml:space="preserve"> </w:t>
      </w:r>
      <w:r>
        <w:t xml:space="preserve">whether ensemble machine-learning models can</w:t>
      </w:r>
      <w:r>
        <w:t xml:space="preserve"> </w:t>
      </w:r>
      <w:r>
        <w:t xml:space="preserve">reproduce admin-2 micronutrient deficiency prevalence. Three findings</w:t>
      </w:r>
      <w:r>
        <w:t xml:space="preserve"> </w:t>
      </w:r>
      <w:r>
        <w:t xml:space="preserve">have programmatic significance.</w:t>
      </w:r>
    </w:p>
    <w:p>
      <w:pPr>
        <w:pStyle w:val="BodyText"/>
      </w:pPr>
      <w:r>
        <w:t xml:space="preserve">First, within-country admin-2 accuracy is modest once evaluated</w:t>
      </w:r>
      <w:r>
        <w:t xml:space="preserve"> </w:t>
      </w:r>
      <w:r>
        <w:t xml:space="preserve">out-of-fold, and—contrary to in-sample appearances—aggregating</w:t>
      </w:r>
      <w:r>
        <w:t xml:space="preserve"> </w:t>
      </w:r>
      <w:r>
        <w:t xml:space="preserve">individual-level predictions to admin-2 (median Pearson r 0.53)</w:t>
      </w:r>
      <w:r>
        <w:t xml:space="preserve"> </w:t>
      </w:r>
      <w:r>
        <w:t xml:space="preserve">outperforms fitting an ensemble</w:t>
      </w:r>
      <w:r>
        <w:t xml:space="preserve"> </w:t>
      </w:r>
      <w:r>
        <w:rPr>
          <w:i/>
          <w:iCs/>
        </w:rPr>
        <w:t xml:space="preserve">directly at the admin-2 level</w:t>
      </w:r>
      <w:r>
        <w:t xml:space="preserve"> </w:t>
      </w:r>
      <w:r>
        <w:t xml:space="preserve">(median</w:t>
      </w:r>
      <w:r>
        <w:t xml:space="preserve"> </w:t>
      </w:r>
      <w:r>
        <w:t xml:space="preserve">r 0.12, MSE-loss variant), which overfits badly in the area-level p ≫ n</w:t>
      </w:r>
      <w:r>
        <w:t xml:space="preserve"> </w:t>
      </w:r>
      <w:r>
        <w:t xml:space="preserve">setting (14–87 areal units against ~150 screened covariates). The</w:t>
      </w:r>
      <w:r>
        <w:t xml:space="preserve"> </w:t>
      </w:r>
      <w:r>
        <w:t xml:space="preserve">individual-level aggregate still shows compression toward the country mean</w:t>
      </w:r>
      <w:r>
        <w:t xml:space="preserve"> </w:t>
      </w:r>
      <w:r>
        <w:t xml:space="preserve">and negative biases of up to 20 percentage points for iron, so neither</w:t>
      </w:r>
      <w:r>
        <w:t xml:space="preserve"> </w:t>
      </w:r>
      <w:r>
        <w:t xml:space="preserve">approach delivers the near-perfect ranking that in-sample evaluation had</w:t>
      </w:r>
      <w:r>
        <w:t xml:space="preserve"> </w:t>
      </w:r>
      <w:r>
        <w:t xml:space="preserve">suggested. This qualifies the usual small-area-estimation expectation that</w:t>
      </w:r>
      <w:r>
        <w:t xml:space="preserve"> </w:t>
      </w:r>
      <w:r>
        <w:t xml:space="preserve">the unit of estimation should match the unit of deliverable</w:t>
      </w:r>
      <w:r>
        <w:t xml:space="preserve"> </w:t>
      </w:r>
      <w:r>
        <w:t xml:space="preserve">(Mercer et al. 2015; Wakefield, Okonek, and Pedersen 2020)</w:t>
      </w:r>
      <w:r>
        <w:t xml:space="preserve">: with so few areal units, the</w:t>
      </w:r>
      <w:r>
        <w:t xml:space="preserve"> </w:t>
      </w:r>
      <w:r>
        <w:t xml:space="preserve">data-richer individual-level fit generalises more reliably than a model</w:t>
      </w:r>
      <w:r>
        <w:t xml:space="preserve"> </w:t>
      </w:r>
      <w:r>
        <w:t xml:space="preserve">trained directly on the areas.</w:t>
      </w:r>
    </w:p>
    <w:p>
      <w:pPr>
        <w:pStyle w:val="BodyText"/>
      </w:pPr>
      <w:r>
        <w:t xml:space="preserve">Second, cross-country transportability is limited. Trained on three West</w:t>
      </w:r>
      <w:r>
        <w:t xml:space="preserve"> </w:t>
      </w:r>
      <w:r>
        <w:t xml:space="preserve">African countries and tested on a fourth, the SuperLearner achieved</w:t>
      </w:r>
      <w:r>
        <w:t xml:space="preserve"> </w:t>
      </w:r>
      <w:r>
        <w:t xml:space="preserve">median Pearson r of 0.21 across 16 outcome–holdout combinations, with</w:t>
      </w:r>
      <w:r>
        <w:t xml:space="preserve"> </w:t>
      </w:r>
      <w:r>
        <w:t xml:space="preserve">absolute errors of 1.5–44 percentage points and frequent anti-predictive</w:t>
      </w:r>
      <w:r>
        <w:t xml:space="preserve"> </w:t>
      </w:r>
      <w:r>
        <w:t xml:space="preserve">ordering. Iron-deficiency outcomes were the most transportable; vitamin-A</w:t>
      </w:r>
      <w:r>
        <w:t xml:space="preserve"> </w:t>
      </w:r>
      <w:r>
        <w:t xml:space="preserve">deficiency was not transportable. Malawi, the only training country</w:t>
      </w:r>
      <w:r>
        <w:t xml:space="preserve"> </w:t>
      </w:r>
      <w:r>
        <w:t xml:space="preserve">outside West Africa, produced anti-correlated predictions when held out</w:t>
      </w:r>
      <w:r>
        <w:t xml:space="preserve"> </w:t>
      </w:r>
      <w:r>
        <w:t xml:space="preserve">across three of four outcomes — a regional generalisation gap that should</w:t>
      </w:r>
      <w:r>
        <w:t xml:space="preserve"> </w:t>
      </w:r>
      <w:r>
        <w:t xml:space="preserve">caution against using these models for spatial targeting in unseen</w:t>
      </w:r>
      <w:r>
        <w:t xml:space="preserve"> </w:t>
      </w:r>
      <w:r>
        <w:t xml:space="preserve">geographies without local validation.</w:t>
      </w:r>
    </w:p>
    <w:p>
      <w:pPr>
        <w:pStyle w:val="BodyText"/>
      </w:pPr>
      <w:r>
        <w:t xml:space="preserve">Third, the SuperLearner does not reliably outperform standard SAE methods.</w:t>
      </w:r>
      <w:r>
        <w:t xml:space="preserve"> </w:t>
      </w:r>
      <w:r>
        <w:t xml:space="preserve">A plain 8-covariate OLS or an elastic-net penalised regression matched</w:t>
      </w:r>
      <w:r>
        <w:t xml:space="preserve"> </w:t>
      </w:r>
      <w:r>
        <w:t xml:space="preserve">or beat the ensemble on a majority of LOCO splits. The ensemble’s</w:t>
      </w:r>
      <w:r>
        <w:t xml:space="preserve"> </w:t>
      </w:r>
      <w:r>
        <w:t xml:space="preserve">advantages, when present, concentrated in specific outcome–country</w:t>
      </w:r>
      <w:r>
        <w:t xml:space="preserve"> </w:t>
      </w:r>
      <w:r>
        <w:t xml:space="preserve">combinations where ranger captured genuine non-linear spatial signal.</w:t>
      </w:r>
      <w:r>
        <w:t xml:space="preserve"> </w:t>
      </w:r>
      <w:r>
        <w:t xml:space="preserve">Bayesian SAE comparators provided modest additional calibration gains,</w:t>
      </w:r>
      <w:r>
        <w:t xml:space="preserve"> </w:t>
      </w:r>
      <w:r>
        <w:t xml:space="preserve">particularly for low-prevalence outcomes where shrinkage to area-level</w:t>
      </w:r>
      <w:r>
        <w:t xml:space="preserve"> </w:t>
      </w:r>
      <w:r>
        <w:t xml:space="preserve">random effects stabilised estimates.</w:t>
      </w:r>
    </w:p>
    <w:bookmarkEnd w:id="56"/>
    <w:bookmarkStart w:id="57" w:name="X8384bfb506f112a014e118517ad335639a7a3de"/>
    <w:p>
      <w:pPr>
        <w:pStyle w:val="Heading2"/>
      </w:pPr>
      <w:r>
        <w:t xml:space="preserve">4.2 The aggregation problem and</w:t>
      </w:r>
      <w:r>
        <w:t xml:space="preserve"> </w:t>
      </w:r>
      <w:r>
        <w:t xml:space="preserve">“fit at the unit of deliverable”</w:t>
      </w:r>
    </w:p>
    <w:p>
      <w:pPr>
        <w:pStyle w:val="FirstParagraph"/>
      </w:pPr>
      <w:r>
        <w:t xml:space="preserve">The mechanism by which individual-level predictions degrade upon</w:t>
      </w:r>
      <w:r>
        <w:t xml:space="preserve"> </w:t>
      </w:r>
      <w:r>
        <w:t xml:space="preserve">aggregation merits explicit treatment. A well-calibrated probabilistic</w:t>
      </w:r>
      <w:r>
        <w:t xml:space="preserve"> </w:t>
      </w:r>
      <w:r>
        <w:t xml:space="preserve">classifier under high noise shrinks individual-level predictions toward</w:t>
      </w:r>
      <w:r>
        <w:t xml:space="preserve"> </w:t>
      </w:r>
      <w:r>
        <w:t xml:space="preserve">the marginal class probability — this is the correct loss-minimising</w:t>
      </w:r>
      <w:r>
        <w:t xml:space="preserve"> </w:t>
      </w:r>
      <w:r>
        <w:t xml:space="preserve">behaviour</w:t>
      </w:r>
      <w:r>
        <w:t xml:space="preserve"> </w:t>
      </w:r>
      <w:r>
        <w:t xml:space="preserve">(Niculescu-Mizil and Caruana 2005)</w:t>
      </w:r>
      <w:r>
        <w:t xml:space="preserve">. When such predictions are</w:t>
      </w:r>
      <w:r>
        <w:t xml:space="preserve"> </w:t>
      </w:r>
      <w:r>
        <w:t xml:space="preserve">aggregated across all individuals in an admin-2 unit, the shrinkage</w:t>
      </w:r>
      <w:r>
        <w:t xml:space="preserve"> </w:t>
      </w:r>
      <w:r>
        <w:t xml:space="preserve">does not cancel; it pulls every area-level mean toward the country</w:t>
      </w:r>
      <w:r>
        <w:t xml:space="preserve"> </w:t>
      </w:r>
      <w:r>
        <w:t xml:space="preserve">prevalence. In high-prevalence settings this produces large negative</w:t>
      </w:r>
      <w:r>
        <w:t xml:space="preserve"> </w:t>
      </w:r>
      <w:r>
        <w:t xml:space="preserve">biases; in low-prevalence settings, positive biases. Calibration of</w:t>
      </w:r>
      <w:r>
        <w:t xml:space="preserve"> </w:t>
      </w:r>
      <w:r>
        <w:t xml:space="preserve">admin-2 outputs against survey-weighted admin-2 prevalence is therefore</w:t>
      </w:r>
      <w:r>
        <w:t xml:space="preserve"> </w:t>
      </w:r>
      <w:r>
        <w:t xml:space="preserve">necessary if individual-level models are repurposed as area-level</w:t>
      </w:r>
      <w:r>
        <w:t xml:space="preserve"> </w:t>
      </w:r>
      <w:r>
        <w:t xml:space="preserve">maps. We follow the small-area-estimation tradition in recommending the</w:t>
      </w:r>
      <w:r>
        <w:t xml:space="preserve"> </w:t>
      </w:r>
      <w:r>
        <w:t xml:space="preserve">opposite path — fitting at the admin-2 unit directly — when the</w:t>
      </w:r>
      <w:r>
        <w:t xml:space="preserve"> </w:t>
      </w:r>
      <w:r>
        <w:t xml:space="preserve">deliverable is spatial.</w:t>
      </w:r>
    </w:p>
    <w:p>
      <w:pPr>
        <w:pStyle w:val="BodyText"/>
      </w:pPr>
      <w:r>
        <w:t xml:space="preserve">This conclusion is consistent with</w:t>
      </w:r>
      <w:r>
        <w:t xml:space="preserve"> </w:t>
      </w:r>
      <w:r>
        <w:t xml:space="preserve">Mercer et al. (2015)</w:t>
      </w:r>
      <w:r>
        <w:t xml:space="preserve"> </w:t>
      </w:r>
      <w:r>
        <w:t xml:space="preserve">and</w:t>
      </w:r>
      <w:r>
        <w:t xml:space="preserve"> </w:t>
      </w:r>
      <w:r>
        <w:t xml:space="preserve">Wakefield, Okonek, and Pedersen (2020)</w:t>
      </w:r>
      <w:r>
        <w:t xml:space="preserve">, who emphasise that for DHS-derived admin-level</w:t>
      </w:r>
      <w:r>
        <w:t xml:space="preserve"> </w:t>
      </w:r>
      <w:r>
        <w:t xml:space="preserve">prevalence the natural model is one fit at the admin level with known</w:t>
      </w:r>
      <w:r>
        <w:t xml:space="preserve"> </w:t>
      </w:r>
      <w:r>
        <w:t xml:space="preserve">sampling variances, structured (e.g., ICAR or BYM2) random effects,</w:t>
      </w:r>
      <w:r>
        <w:t xml:space="preserve"> </w:t>
      </w:r>
      <w:r>
        <w:t xml:space="preserve">and auxiliary covariates. Our finding that BYM2 and Fay–Herriot are</w:t>
      </w:r>
      <w:r>
        <w:t xml:space="preserve"> </w:t>
      </w:r>
      <w:r>
        <w:t xml:space="preserve">competitive with — and on some outcomes superior to — a multi-learner</w:t>
      </w:r>
      <w:r>
        <w:t xml:space="preserve"> </w:t>
      </w:r>
      <w:r>
        <w:t xml:space="preserve">ensemble is consistent with this tradition.</w:t>
      </w:r>
    </w:p>
    <w:bookmarkEnd w:id="57"/>
    <w:bookmarkStart w:id="58" w:name="X3056f5d8ad96ffc98d3bdd210856764d26c417f"/>
    <w:p>
      <w:pPr>
        <w:pStyle w:val="Heading2"/>
      </w:pPr>
      <w:r>
        <w:t xml:space="preserve">4.3 Why does the SuperLearner sometimes underperform?</w:t>
      </w:r>
    </w:p>
    <w:p>
      <w:pPr>
        <w:pStyle w:val="FirstParagraph"/>
      </w:pPr>
      <w:r>
        <w:t xml:space="preserve">The most striking single result is the child-iron Sierra Leone LOCO</w:t>
      </w:r>
      <w:r>
        <w:t xml:space="preserve"> </w:t>
      </w:r>
      <w:r>
        <w:t xml:space="preserve">case, where the SuperLearner produces anti-predictive ranking</w:t>
      </w:r>
      <w:r>
        <w:t xml:space="preserve"> </w:t>
      </w:r>
      <w:r>
        <w:t xml:space="preserve">(r = −0.19) while a plain OLS achieves r = 0.51. We interpret this as</w:t>
      </w:r>
      <w:r>
        <w:t xml:space="preserve"> </w:t>
      </w:r>
      <w:r>
        <w:t xml:space="preserve">a model-selection failure of the ensemble: with only 14 admin-2 areas</w:t>
      </w:r>
      <w:r>
        <w:t xml:space="preserve"> </w:t>
      </w:r>
      <w:r>
        <w:t xml:space="preserve">in the held-out set and approximately 152 covariates, the cross-validated</w:t>
      </w:r>
      <w:r>
        <w:t xml:space="preserve"> </w:t>
      </w:r>
      <w:r>
        <w:t xml:space="preserve">risk estimator within the ensemble has high variance, and the cv-selected</w:t>
      </w:r>
      <w:r>
        <w:t xml:space="preserve"> </w:t>
      </w:r>
      <w:r>
        <w:t xml:space="preserve">learner (ranger in this case) appears to have over-fit to a</w:t>
      </w:r>
      <w:r>
        <w:t xml:space="preserve"> </w:t>
      </w:r>
      <w:r>
        <w:t xml:space="preserve">non-transportable feature pattern. Simpler regularised models with</w:t>
      </w:r>
      <w:r>
        <w:t xml:space="preserve"> </w:t>
      </w:r>
      <w:r>
        <w:t xml:space="preserve">implicit variable shrinkage are more robust under these conditions.</w:t>
      </w:r>
    </w:p>
    <w:p>
      <w:pPr>
        <w:pStyle w:val="BodyText"/>
      </w:pPr>
      <w:r>
        <w:t xml:space="preserve">This suggests that ensemble methods should be benchmarked against</w:t>
      </w:r>
      <w:r>
        <w:t xml:space="preserve"> </w:t>
      </w:r>
      <w:r>
        <w:t xml:space="preserve">parsimonious alternatives whenever the test set is small or the target</w:t>
      </w:r>
      <w:r>
        <w:t xml:space="preserve"> </w:t>
      </w:r>
      <w:r>
        <w:t xml:space="preserve">population is meaningfully outside the training distribution. The</w:t>
      </w:r>
      <w:r>
        <w:t xml:space="preserve"> </w:t>
      </w:r>
      <w:r>
        <w:t xml:space="preserve">17.7-hour computational cost of our SuperLearner pipeline relative to a</w:t>
      </w:r>
      <w:r>
        <w:t xml:space="preserve"> </w:t>
      </w:r>
      <w:r>
        <w:t xml:space="preserve">~1-minute OLS baseline is justified only on a subset of country–outcome</w:t>
      </w:r>
      <w:r>
        <w:t xml:space="preserve"> </w:t>
      </w:r>
      <w:r>
        <w:t xml:space="preserve">combinations.</w:t>
      </w:r>
    </w:p>
    <w:bookmarkEnd w:id="58"/>
    <w:bookmarkStart w:id="59" w:name="implications-for-programming"/>
    <w:p>
      <w:pPr>
        <w:pStyle w:val="Heading2"/>
      </w:pPr>
      <w:r>
        <w:t xml:space="preserve">4.4 Implications for programming</w:t>
      </w:r>
    </w:p>
    <w:p>
      <w:pPr>
        <w:pStyle w:val="FirstParagraph"/>
      </w:pPr>
      <w:r>
        <w:t xml:space="preserve">Admin-2 deficiency maps derived from this approach are interpretable as</w:t>
      </w:r>
      <w:r>
        <w:t xml:space="preserve"> </w:t>
      </w:r>
      <w:r>
        <w:rPr>
          <w:i/>
          <w:iCs/>
        </w:rPr>
        <w:t xml:space="preserve">relative ranking</w:t>
      </w:r>
      <w:r>
        <w:t xml:space="preserve"> </w:t>
      </w:r>
      <w:r>
        <w:t xml:space="preserve">tools within a country with biomarker data — useful</w:t>
      </w:r>
      <w:r>
        <w:t xml:space="preserve"> </w:t>
      </w:r>
      <w:r>
        <w:t xml:space="preserve">for prioritising districts within a national-level intervention. They</w:t>
      </w:r>
      <w:r>
        <w:t xml:space="preserve"> </w:t>
      </w:r>
      <w:r>
        <w:t xml:space="preserve">are not suitable for absolute-level inference (calibration slopes drift</w:t>
      </w:r>
      <w:r>
        <w:t xml:space="preserve"> </w:t>
      </w:r>
      <w:r>
        <w:t xml:space="preserve">substantially) without additional anchoring against direct national</w:t>
      </w:r>
      <w:r>
        <w:t xml:space="preserve"> </w:t>
      </w:r>
      <w:r>
        <w:t xml:space="preserve">estimates</w:t>
      </w:r>
      <w:r>
        <w:t xml:space="preserve"> </w:t>
      </w:r>
      <w:r>
        <w:t xml:space="preserve">(Stevens et al. 2022)</w:t>
      </w:r>
      <w:r>
        <w:t xml:space="preserve">. For an unsurveyed country, our</w:t>
      </w:r>
      <w:r>
        <w:t xml:space="preserve"> </w:t>
      </w:r>
      <w:r>
        <w:t xml:space="preserve">results suggest that LOCO-based predictions should be treated as coarse</w:t>
      </w:r>
      <w:r>
        <w:t xml:space="preserve"> </w:t>
      </w:r>
      <w:r>
        <w:t xml:space="preserve">risk triage at most, and only within the same broad agroecological</w:t>
      </w:r>
      <w:r>
        <w:t xml:space="preserve"> </w:t>
      </w:r>
      <w:r>
        <w:t xml:space="preserve">region as the training set.</w:t>
      </w:r>
    </w:p>
    <w:p>
      <w:pPr>
        <w:pStyle w:val="BodyText"/>
      </w:pPr>
      <w:r>
        <w:t xml:space="preserve">The VMNIS and BRINDA national-level databases</w:t>
      </w:r>
      <w:r>
        <w:t xml:space="preserve"> </w:t>
      </w:r>
      <w:r>
        <w:t xml:space="preserve">(World Health Organization 2023; Suchdev et al. 2016)</w:t>
      </w:r>
      <w:r>
        <w:t xml:space="preserve"> </w:t>
      </w:r>
      <w:r>
        <w:t xml:space="preserve">offer one path to external validation. A natural</w:t>
      </w:r>
      <w:r>
        <w:t xml:space="preserve"> </w:t>
      </w:r>
      <w:r>
        <w:t xml:space="preserve">next step is to apply the best-LOCO parsimonious model — a penalised</w:t>
      </w:r>
      <w:r>
        <w:t xml:space="preserve"> </w:t>
      </w:r>
      <w:r>
        <w:t xml:space="preserve">regression on area-level GEE aggregates — to additional African</w:t>
      </w:r>
      <w:r>
        <w:t xml:space="preserve"> </w:t>
      </w:r>
      <w:r>
        <w:t xml:space="preserve">countries with biomarker data already collated in BRINDA/VMNIS, and</w:t>
      </w:r>
      <w:r>
        <w:t xml:space="preserve"> </w:t>
      </w:r>
      <w:r>
        <w:t xml:space="preserve">to estimate calibration and bias of admin-2 maps in those populations.</w:t>
      </w:r>
      <w:r>
        <w:t xml:space="preserve"> </w:t>
      </w:r>
      <w:r>
        <w:t xml:space="preserve">A companion analysis using earth-observation rasters for Côte d’Ivoire</w:t>
      </w:r>
      <w:r>
        <w:t xml:space="preserve"> </w:t>
      </w:r>
      <w:r>
        <w:t xml:space="preserve">(available in the project repository) is in progress.</w:t>
      </w:r>
    </w:p>
    <w:bookmarkEnd w:id="59"/>
    <w:bookmarkStart w:id="60" w:name="limitations"/>
    <w:p>
      <w:pPr>
        <w:pStyle w:val="Heading2"/>
      </w:pPr>
      <w:r>
        <w:t xml:space="preserve">4.5 Limitations</w:t>
      </w:r>
    </w:p>
    <w:p>
      <w:pPr>
        <w:pStyle w:val="FirstParagraph"/>
      </w:pPr>
      <w:r>
        <w:t xml:space="preserve">Our sample comprises four sub-Saharan African countries — three in West</w:t>
      </w:r>
      <w:r>
        <w:t xml:space="preserve"> </w:t>
      </w:r>
      <w:r>
        <w:t xml:space="preserve">Africa plus Malawi — so the rest of East, Central, and Southern Africa is</w:t>
      </w:r>
      <w:r>
        <w:t xml:space="preserve"> </w:t>
      </w:r>
      <w:r>
        <w:t xml:space="preserve">unrepresented. Because the predictors are resolved at admin-2, the</w:t>
      </w:r>
      <w:r>
        <w:t xml:space="preserve"> </w:t>
      </w:r>
      <w:r>
        <w:t xml:space="preserve">effective sample size for area-level models is the number of polygons</w:t>
      </w:r>
      <w:r>
        <w:t xml:space="preserve"> </w:t>
      </w:r>
      <w:r>
        <w:t xml:space="preserve">(14–87 per country) rather than the underlying individuals, which limits</w:t>
      </w:r>
      <w:r>
        <w:t xml:space="preserve"> </w:t>
      </w:r>
      <w:r>
        <w:t xml:space="preserve">the degrees of freedom for both within- and cross-country fitting and</w:t>
      </w:r>
      <w:r>
        <w:t xml:space="preserve"> </w:t>
      </w:r>
      <w:r>
        <w:t xml:space="preserve">makes the within-country cross-validated correlations an optimistic bound</w:t>
      </w:r>
      <w:r>
        <w:t xml:space="preserve"> </w:t>
      </w:r>
      <w:r>
        <w:t xml:space="preserve">(most acutely for Sierra Leone, with only 14 polygons). We did not formally</w:t>
      </w:r>
      <w:r>
        <w:t xml:space="preserve"> </w:t>
      </w:r>
      <w:r>
        <w:t xml:space="preserve">quantify the contribution of survey design weights to admin-2 prevalence</w:t>
      </w:r>
      <w:r>
        <w:t xml:space="preserve"> </w:t>
      </w:r>
      <w:r>
        <w:t xml:space="preserve">estimates; assuming a fixed design-effect of 1.5 (DHS-typical) is an</w:t>
      </w:r>
      <w:r>
        <w:t xml:space="preserve"> </w:t>
      </w:r>
      <w:r>
        <w:t xml:space="preserve">approximation. We restricted the cross-country common-vocabulary GEE</w:t>
      </w:r>
      <w:r>
        <w:t xml:space="preserve"> </w:t>
      </w:r>
      <w:r>
        <w:t xml:space="preserve">covariate set to 152 variables, and other satellite-derived predictors</w:t>
      </w:r>
      <w:r>
        <w:t xml:space="preserve"> </w:t>
      </w:r>
      <w:r>
        <w:t xml:space="preserve">not present in all four countries (notably finer-grained land-use</w:t>
      </w:r>
      <w:r>
        <w:t xml:space="preserve"> </w:t>
      </w:r>
      <w:r>
        <w:t xml:space="preserve">classes) were excluded. Finally, our raw binary classifiers’ calibration</w:t>
      </w:r>
      <w:r>
        <w:t xml:space="preserve"> </w:t>
      </w:r>
      <w:r>
        <w:t xml:space="preserve">diagnostics flagged 13 of 23 outcomes with negative Brier skill; post-hoc</w:t>
      </w:r>
      <w:r>
        <w:t xml:space="preserve"> </w:t>
      </w:r>
      <w:r>
        <w:t xml:space="preserve">recalibration restored all of them to non-negative skill, but the</w:t>
      </w:r>
      <w:r>
        <w:t xml:space="preserve"> </w:t>
      </w:r>
      <w:r>
        <w:t xml:space="preserve">underlying discrimination at very low prevalence remains weak (several</w:t>
      </w:r>
      <w:r>
        <w:t xml:space="preserve"> </w:t>
      </w:r>
      <w:r>
        <w:t xml:space="preserve">AUCs near 0.5) and these outcomes should be treated as exploratory.</w:t>
      </w:r>
    </w:p>
    <w:bookmarkEnd w:id="60"/>
    <w:bookmarkStart w:id="61" w:name="external-validation-pathway"/>
    <w:p>
      <w:pPr>
        <w:pStyle w:val="Heading2"/>
      </w:pPr>
      <w:r>
        <w:t xml:space="preserve">4.6 External validation pathway</w:t>
      </w:r>
    </w:p>
    <w:p>
      <w:pPr>
        <w:pStyle w:val="FirstParagraph"/>
      </w:pPr>
      <w:r>
        <w:t xml:space="preserve">The findings presented here are based on a largely West African LOCO</w:t>
      </w:r>
      <w:r>
        <w:t xml:space="preserve"> </w:t>
      </w:r>
      <w:r>
        <w:t xml:space="preserve">panel (three West African countries plus Malawi) and a single external</w:t>
      </w:r>
      <w:r>
        <w:t xml:space="preserve"> </w:t>
      </w:r>
      <w:r>
        <w:t xml:space="preserve">held-out country (Côte d’Ivoire). We have</w:t>
      </w:r>
      <w:r>
        <w:t xml:space="preserve"> </w:t>
      </w:r>
      <w:r>
        <w:t xml:space="preserve">prepared a multi-source national-level benchmark to evaluate future</w:t>
      </w:r>
      <w:r>
        <w:t xml:space="preserve"> </w:t>
      </w:r>
      <w:r>
        <w:t xml:space="preserve">expansions of the model to East and Southern Africa, comprising: (i) the</w:t>
      </w:r>
      <w:r>
        <w:t xml:space="preserve"> </w:t>
      </w:r>
      <w:r>
        <w:t xml:space="preserve">Kenya National Micronutrient Survey 2011</w:t>
      </w:r>
      <w:r>
        <w:t xml:space="preserve"> </w:t>
      </w:r>
      <w:r>
        <w:t xml:space="preserve">(Ministry of Health, Republic of Kenya et al. 2011)</w:t>
      </w:r>
      <w:r>
        <w:t xml:space="preserve">, which provides</w:t>
      </w:r>
      <w:r>
        <w:t xml:space="preserve"> </w:t>
      </w:r>
      <w:r>
        <w:t xml:space="preserve">nationally-representative biomarker prevalence for vitamin A, iron,</w:t>
      </w:r>
      <w:r>
        <w:t xml:space="preserve"> </w:t>
      </w:r>
      <w:r>
        <w:t xml:space="preserve">zinc, folate, B12 and iodine across pre-school children, school-age</w:t>
      </w:r>
      <w:r>
        <w:t xml:space="preserve"> </w:t>
      </w:r>
      <w:r>
        <w:t xml:space="preserve">children, pregnant women, non-pregnant women, and men; (ii) modelled</w:t>
      </w:r>
      <w:r>
        <w:t xml:space="preserve"> </w:t>
      </w:r>
      <w:r>
        <w:t xml:space="preserve">WHO/UNICEF joint anaemia prevalence estimates for all eight focus</w:t>
      </w:r>
      <w:r>
        <w:t xml:space="preserve"> </w:t>
      </w:r>
      <w:r>
        <w:t xml:space="preserve">countries, retrieved via the WHO Global Health Observatory API; and</w:t>
      </w:r>
      <w:r>
        <w:t xml:space="preserve"> </w:t>
      </w:r>
      <w:r>
        <w:t xml:space="preserve">(iii) WHO Vitamin and Mineral Nutrition Information System (VMNIS)</w:t>
      </w:r>
      <w:r>
        <w:t xml:space="preserve"> </w:t>
      </w:r>
      <w:r>
        <w:t xml:space="preserve">historical survey-level prevalence for the same eight countries, from</w:t>
      </w:r>
      <w:r>
        <w:t xml:space="preserve"> </w:t>
      </w:r>
      <w:r>
        <w:t xml:space="preserve">the latest publicly-released long-format dump. The Stevens et al. 2022</w:t>
      </w:r>
      <w:r>
        <w:t xml:space="preserve"> </w:t>
      </w:r>
      <w:r>
        <w:rPr>
          <w:i/>
          <w:iCs/>
        </w:rPr>
        <w:t xml:space="preserve">Lancet Global Health</w:t>
      </w:r>
      <w:r>
        <w:t xml:space="preserve"> </w:t>
      </w:r>
      <w:r>
        <w:t xml:space="preserve">pooled posterior estimates</w:t>
      </w:r>
      <w:r>
        <w:t xml:space="preserve"> </w:t>
      </w:r>
      <w:r>
        <w:t xml:space="preserve">(Stevens et al. 2022)</w:t>
      </w:r>
      <w:r>
        <w:t xml:space="preserve"> </w:t>
      </w:r>
      <w:r>
        <w:t xml:space="preserve">are the</w:t>
      </w:r>
      <w:r>
        <w:t xml:space="preserve"> </w:t>
      </w:r>
      <w:r>
        <w:t xml:space="preserve">natural comparator for our national-level predictions; however, the</w:t>
      </w:r>
      <w:r>
        <w:t xml:space="preserve"> </w:t>
      </w:r>
      <w:r>
        <w:t xml:space="preserve">country-level Bayesian posteriors are not publicly released, only the</w:t>
      </w:r>
      <w:r>
        <w:t xml:space="preserve"> </w:t>
      </w:r>
      <w:r>
        <w:t xml:space="preserve">22 input surveys used to fit the model, and none of our cohort countries</w:t>
      </w:r>
      <w:r>
        <w:t xml:space="preserve"> </w:t>
      </w:r>
      <w:r>
        <w:t xml:space="preserve">are among them. The full assembled benchmark is in</w:t>
      </w:r>
      <w:r>
        <w:t xml:space="preserve"> </w:t>
      </w:r>
      <w:r>
        <w:rPr>
          <w:rStyle w:val="VerbatimChar"/>
        </w:rPr>
        <w:t xml:space="preserve">results/external/{vmnis_national,who_anaemia_country,knms2011_national_summary,kenya_national_benchmark}.csv</w:t>
      </w:r>
      <w:r>
        <w:t xml:space="preserve">.</w:t>
      </w:r>
    </w:p>
    <w:p>
      <w:pPr>
        <w:pStyle w:val="BodyText"/>
      </w:pPr>
      <w:r>
        <w:t xml:space="preserve">Three concrete next-step datasets, each requiring a Data Use Agreement</w:t>
      </w:r>
      <w:r>
        <w:t xml:space="preserve"> </w:t>
      </w:r>
      <w:r>
        <w:t xml:space="preserve">with the originating ministry, would substantially expand the LOCO panel</w:t>
      </w:r>
      <w:r>
        <w:t xml:space="preserve"> </w:t>
      </w:r>
      <w:r>
        <w:t xml:space="preserve">beyond West Africa: the Kenya National Micronutrient Survey (KNMS 2011),</w:t>
      </w:r>
      <w:r>
        <w:t xml:space="preserve"> </w:t>
      </w:r>
      <w:r>
        <w:t xml:space="preserve">the Tanzania National Nutrition Survey 2018, and the Ethiopia National</w:t>
      </w:r>
      <w:r>
        <w:t xml:space="preserve"> </w:t>
      </w:r>
      <w:r>
        <w:t xml:space="preserve">Micronutrient Survey 2016. All three include the full vitamin A / iron /</w:t>
      </w:r>
      <w:r>
        <w:t xml:space="preserve"> </w:t>
      </w:r>
      <w:r>
        <w:t xml:space="preserve">zinc / folate / B12 / iodine biomarker panel collected under the BRINDA</w:t>
      </w:r>
      <w:r>
        <w:t xml:space="preserve"> </w:t>
      </w:r>
      <w:r>
        <w:t xml:space="preserve">inflammation-adjustment framework, making harmonisation with our four</w:t>
      </w:r>
      <w:r>
        <w:t xml:space="preserve"> </w:t>
      </w:r>
      <w:r>
        <w:t xml:space="preserve">training countries straightforward. As a lighter-weight alternative,</w:t>
      </w:r>
      <w:r>
        <w:t xml:space="preserve"> </w:t>
      </w:r>
      <w:r>
        <w:t xml:space="preserve">the most recent DHS rounds with haemoglobin biomarker (Kenya DHS 2022,</w:t>
      </w:r>
      <w:r>
        <w:t xml:space="preserve"> </w:t>
      </w:r>
      <w:r>
        <w:t xml:space="preserve">Tanzania DHS 2022, Burkina Faso DHS 2021) can be added with no further</w:t>
      </w:r>
      <w:r>
        <w:t xml:space="preserve"> </w:t>
      </w:r>
      <w:r>
        <w:t xml:space="preserve">paperwork beyond the user’s existing DHS account, providing iron-deficiency</w:t>
      </w:r>
      <w:r>
        <w:t xml:space="preserve"> </w:t>
      </w:r>
      <w:r>
        <w:t xml:space="preserve">anaemia coverage for three additional East/Sahelian countries. We</w:t>
      </w:r>
      <w:r>
        <w:t xml:space="preserve"> </w:t>
      </w:r>
      <w:r>
        <w:t xml:space="preserve">provide country-agnostic ingestion stubs (</w:t>
      </w:r>
      <w:r>
        <w:rPr>
          <w:rStyle w:val="VerbatimChar"/>
        </w:rPr>
        <w:t xml:space="preserve">R/ingest_new_country.R</w:t>
      </w:r>
      <w:r>
        <w:t xml:space="preserve">,</w:t>
      </w:r>
      <w:r>
        <w:t xml:space="preserve"> </w:t>
      </w:r>
      <w:r>
        <w:t xml:space="preserve">function</w:t>
      </w:r>
      <w:r>
        <w:t xml:space="preserve"> </w:t>
      </w:r>
      <w:r>
        <w:rPr>
          <w:rStyle w:val="VerbatimChar"/>
        </w:rPr>
        <w:t xml:space="preserve">stub_new_country_config()</w:t>
      </w:r>
      <w:r>
        <w:t xml:space="preserve">) for each of these candidates;</w:t>
      </w:r>
      <w:r>
        <w:t xml:space="preserve"> </w:t>
      </w:r>
      <w:r>
        <w:t xml:space="preserve">once a harmonised survey file lands in</w:t>
      </w:r>
      <w:r>
        <w:t xml:space="preserve"> </w:t>
      </w:r>
      <w:r>
        <w:rPr>
          <w:rStyle w:val="VerbatimChar"/>
        </w:rPr>
        <w:t xml:space="preserve">data/IPD/&lt;country&gt;/</w:t>
      </w:r>
      <w:r>
        <w:t xml:space="preserve">, the entire</w:t>
      </w:r>
      <w:r>
        <w:t xml:space="preserve"> </w:t>
      </w:r>
      <w:r>
        <w:t xml:space="preserve">LOCO, calibration, SHAP, and dashboard pipeline regenerates automatically.</w:t>
      </w:r>
    </w:p>
    <w:bookmarkEnd w:id="61"/>
    <w:bookmarkStart w:id="62" w:name="future-methodological-directions"/>
    <w:p>
      <w:pPr>
        <w:pStyle w:val="Heading2"/>
      </w:pPr>
      <w:r>
        <w:t xml:space="preserve">4.7 Future methodological directions</w:t>
      </w:r>
    </w:p>
    <w:p>
      <w:pPr>
        <w:pStyle w:val="FirstParagraph"/>
      </w:pPr>
      <w:r>
        <w:t xml:space="preserve">The results above locate the limits of the current approach precisely — modest</w:t>
      </w:r>
      <w:r>
        <w:t xml:space="preserve"> </w:t>
      </w:r>
      <w:r>
        <w:t xml:space="preserve">within-country ranking, transport failure that is predominantly a national-</w:t>
      </w:r>
      <w:r>
        <w:rPr>
          <w:i/>
          <w:iCs/>
        </w:rPr>
        <w:t xml:space="preserve">level</w:t>
      </w:r>
      <w:r>
        <w:t xml:space="preserve"> </w:t>
      </w:r>
      <w:r>
        <w:t xml:space="preserve">calibration error rather than a ranking error, and an ensemble that does not beat</w:t>
      </w:r>
      <w:r>
        <w:t xml:space="preserve"> </w:t>
      </w:r>
      <w:r>
        <w:t xml:space="preserve">parsimonious SAE baselines — and these limits motivate several planned</w:t>
      </w:r>
      <w:r>
        <w:t xml:space="preserve"> </w:t>
      </w:r>
      <w:r>
        <w:t xml:space="preserve">extensions. We describe them here as directions rather than results.</w:t>
      </w:r>
    </w:p>
    <w:p>
      <w:pPr>
        <w:pStyle w:val="BodyText"/>
      </w:pPr>
      <w:r>
        <w:t xml:space="preserve">First,</w:t>
      </w:r>
      <w:r>
        <w:t xml:space="preserve"> </w:t>
      </w:r>
      <w:r>
        <w:rPr>
          <w:b/>
          <w:bCs/>
        </w:rPr>
        <w:t xml:space="preserve">decision-focused estimation.</w:t>
      </w:r>
      <w:r>
        <w:t xml:space="preserve"> </w:t>
      </w:r>
      <w:r>
        <w:t xml:space="preserve">For programmatic use the relevant target</w:t>
      </w:r>
      <w:r>
        <w:t xml:space="preserve"> </w:t>
      </w:r>
      <w:r>
        <w:t xml:space="preserve">is rarely the exact prevalence of a district but whether it lies above a</w:t>
      </w:r>
      <w:r>
        <w:t xml:space="preserve"> </w:t>
      </w:r>
      <w:r>
        <w:t xml:space="preserve">public-health action threshold, and whether the highest-risk districts are</w:t>
      </w:r>
      <w:r>
        <w:t xml:space="preserve"> </w:t>
      </w:r>
      <w:r>
        <w:t xml:space="preserve">correctly prioritised. Because the SuperLearner’s base learners optimise</w:t>
      </w:r>
      <w:r>
        <w:t xml:space="preserve"> </w:t>
      </w:r>
      <w:r>
        <w:t xml:space="preserve">likelihood or squared-error loss while the ensembling (or discrete-selection)</w:t>
      </w:r>
      <w:r>
        <w:t xml:space="preserve"> </w:t>
      </w:r>
      <w:r>
        <w:t xml:space="preserve">step may target any criterion</w:t>
      </w:r>
      <w:r>
        <w:t xml:space="preserve"> </w:t>
      </w:r>
      <w:r>
        <w:t xml:space="preserve">(Laan, Polley, and Hubbard 2007)</w:t>
      </w:r>
      <w:r>
        <w:t xml:space="preserve">, the ensemble can be tuned</w:t>
      </w:r>
      <w:r>
        <w:t xml:space="preserve"> </w:t>
      </w:r>
      <w:r>
        <w:t xml:space="preserve">directly for an aggregate, asymmetric objective — for example maximising recall of</w:t>
      </w:r>
      <w:r>
        <w:t xml:space="preserve"> </w:t>
      </w:r>
      <w:r>
        <w:t xml:space="preserve">the truly high-risk areas (top-quantile or above-threshold) subject to a bounded</w:t>
      </w:r>
      <w:r>
        <w:t xml:space="preserve"> </w:t>
      </w:r>
      <w:r>
        <w:t xml:space="preserve">false-positive rate. This reframes the deliverable toward the ranking signal that,</w:t>
      </w:r>
      <w:r>
        <w:t xml:space="preserve"> </w:t>
      </w:r>
      <w:r>
        <w:t xml:space="preserve">as shown above, transports more reliably than absolute level, and is</w:t>
      </w:r>
      <w:r>
        <w:t xml:space="preserve"> </w:t>
      </w:r>
      <w:r>
        <w:t xml:space="preserve">statistically less demanding than level estimation.</w:t>
      </w:r>
    </w:p>
    <w:p>
      <w:pPr>
        <w:pStyle w:val="BodyText"/>
      </w:pPr>
      <w:r>
        <w:t xml:space="preserve">Second,</w:t>
      </w:r>
      <w:r>
        <w:t xml:space="preserve"> </w:t>
      </w:r>
      <w:r>
        <w:rPr>
          <w:b/>
          <w:bCs/>
        </w:rPr>
        <w:t xml:space="preserve">anchoring to known national prevalence.</w:t>
      </w:r>
      <w:r>
        <w:t xml:space="preserve"> </w:t>
      </w:r>
      <w:r>
        <w:t xml:space="preserve">Because transport failure is</w:t>
      </w:r>
      <w:r>
        <w:t xml:space="preserve"> </w:t>
      </w:r>
      <w:r>
        <w:t xml:space="preserve">concentrated in the national level rather than the within-country ordering</w:t>
      </w:r>
      <w:r>
        <w:t xml:space="preserve"> </w:t>
      </w:r>
      <w:r>
        <w:t xml:space="preserve">(</w:t>
      </w:r>
      <w:hyperlink w:anchor="fig-transport-calibration">
        <w:r>
          <w:rPr>
            <w:rStyle w:val="Hyperlink"/>
          </w:rPr>
          <w:t xml:space="preserve">Figure 2</w:t>
        </w:r>
      </w:hyperlink>
      <w:r>
        <w:t xml:space="preserve">), a one-parameter level recalibration that constrains</w:t>
      </w:r>
      <w:r>
        <w:t xml:space="preserve"> </w:t>
      </w:r>
      <w:r>
        <w:t xml:space="preserve">a transported prediction’s population-weighted mean to a known or historical</w:t>
      </w:r>
      <w:r>
        <w:t xml:space="preserve"> </w:t>
      </w:r>
      <w:r>
        <w:t xml:space="preserve">national value (e.g. from VMNIS or the BRINDA pooled analyses</w:t>
      </w:r>
      <w:r>
        <w:t xml:space="preserve"> </w:t>
      </w:r>
      <w:r>
        <w:t xml:space="preserve">(World Health Organization 2023; Suchdev et al. 2016)</w:t>
      </w:r>
      <w:r>
        <w:t xml:space="preserve">) should remove much of the LOCO level bias by</w:t>
      </w:r>
      <w:r>
        <w:t xml:space="preserve"> </w:t>
      </w:r>
      <w:r>
        <w:t xml:space="preserve">construction, leaving the ranking unchanged. Such anchors are obtainable for many</w:t>
      </w:r>
      <w:r>
        <w:t xml:space="preserve"> </w:t>
      </w:r>
      <w:r>
        <w:t xml:space="preserve">countries that lack the individual-level data needed to fit a model.</w:t>
      </w:r>
    </w:p>
    <w:p>
      <w:pPr>
        <w:pStyle w:val="BodyText"/>
      </w:pPr>
      <w:r>
        <w:t xml:space="preserve">Third,</w:t>
      </w:r>
      <w:r>
        <w:t xml:space="preserve"> </w:t>
      </w:r>
      <w:r>
        <w:rPr>
          <w:b/>
          <w:bCs/>
        </w:rPr>
        <w:t xml:space="preserve">borrowing strength across co-occurring deficiencies.</w:t>
      </w:r>
      <w:r>
        <w:t xml:space="preserve"> </w:t>
      </w:r>
      <w:r>
        <w:t xml:space="preserve">The micronutrient</w:t>
      </w:r>
      <w:r>
        <w:t xml:space="preserve"> </w:t>
      </w:r>
      <w:r>
        <w:t xml:space="preserve">outcomes are biologically correlated but were modelled independently here.</w:t>
      </w:r>
      <w:r>
        <w:t xml:space="preserve"> </w:t>
      </w:r>
      <w:r>
        <w:t xml:space="preserve">Modelling them jointly through a forward factorisation of their conditional</w:t>
      </w:r>
      <w:r>
        <w:t xml:space="preserve"> </w:t>
      </w:r>
      <w:r>
        <w:t xml:space="preserve">density — predicting the most-informative outcome first (iron, measured in all</w:t>
      </w:r>
      <w:r>
        <w:t xml:space="preserve"> </w:t>
      </w:r>
      <w:r>
        <w:t xml:space="preserve">four countries) and supplying predicted upstream deficiencies, with</w:t>
      </w:r>
      <w:r>
        <w:t xml:space="preserve"> </w:t>
      </w:r>
      <w:r>
        <w:t xml:space="preserve">missing-indicator encoding and imputation, as covariates for subsequent outcomes</w:t>
      </w:r>
      <w:r>
        <w:t xml:space="preserve"> </w:t>
      </w:r>
      <w:r>
        <w:t xml:space="preserve">— is a standard route to exploiting that covariance and may stabilise the</w:t>
      </w:r>
      <w:r>
        <w:t xml:space="preserve"> </w:t>
      </w:r>
      <w:r>
        <w:t xml:space="preserve">data-poorest outcomes (zinc, B12). We expect within-country gains to exceed</w:t>
      </w:r>
      <w:r>
        <w:t xml:space="preserve"> </w:t>
      </w:r>
      <w:r>
        <w:t xml:space="preserve">transport gains, since transported upstream predictions themselves carry error.</w:t>
      </w:r>
    </w:p>
    <w:p>
      <w:pPr>
        <w:pStyle w:val="BodyText"/>
      </w:pPr>
      <w:r>
        <w:t xml:space="preserve">Fourth,</w:t>
      </w:r>
      <w:r>
        <w:t xml:space="preserve"> </w:t>
      </w:r>
      <w:r>
        <w:rPr>
          <w:b/>
          <w:bCs/>
        </w:rPr>
        <w:t xml:space="preserve">inference and value-of-information.</w:t>
      </w:r>
      <w:r>
        <w:t xml:space="preserve"> </w:t>
      </w:r>
      <w:r>
        <w:t xml:space="preserve">Valid uncertainty on the aggregate</w:t>
      </w:r>
      <w:r>
        <w:t xml:space="preserve"> </w:t>
      </w:r>
      <w:r>
        <w:t xml:space="preserve">deliverable (national or admin-level prevalence) — via cross-validated</w:t>
      </w:r>
      <w:r>
        <w:t xml:space="preserve"> </w:t>
      </w:r>
      <w:r>
        <w:t xml:space="preserve">loss-based inference, conformal prediction intervals, or the area-resampling</w:t>
      </w:r>
      <w:r>
        <w:t xml:space="preserve"> </w:t>
      </w:r>
      <w:r>
        <w:t xml:space="preserve">bootstrap already reported — enables a complementary product that is robust to the</w:t>
      </w:r>
      <w:r>
        <w:t xml:space="preserve"> </w:t>
      </w:r>
      <w:r>
        <w:t xml:space="preserve">data being imperfect: a value-of-information map that ranks candidate survey</w:t>
      </w:r>
      <w:r>
        <w:t xml:space="preserve"> </w:t>
      </w:r>
      <w:r>
        <w:t xml:space="preserve">locations by the product of predicted risk and predicted uncertainty, identifying</w:t>
      </w:r>
      <w:r>
        <w:t xml:space="preserve"> </w:t>
      </w:r>
      <w:r>
        <w:t xml:space="preserve">where a new biomarker survey would be most informative. For a field constrained by</w:t>
      </w:r>
      <w:r>
        <w:t xml:space="preserve"> </w:t>
      </w:r>
      <w:r>
        <w:t xml:space="preserve">the cost and rarity of biomarker measurement, guiding</w:t>
      </w:r>
      <w:r>
        <w:t xml:space="preserve"> </w:t>
      </w:r>
      <w:r>
        <w:rPr>
          <w:i/>
          <w:iCs/>
        </w:rPr>
        <w:t xml:space="preserve">where to measure next</w:t>
      </w:r>
      <w:r>
        <w:t xml:space="preserve"> </w:t>
      </w:r>
      <w:r>
        <w:t xml:space="preserve">may</w:t>
      </w:r>
      <w:r>
        <w:t xml:space="preserve"> </w:t>
      </w:r>
      <w:r>
        <w:t xml:space="preserve">be as valuable as the prevalence estimates themselves.</w:t>
      </w:r>
    </w:p>
    <w:p>
      <w:pPr>
        <w:pStyle w:val="BodyText"/>
      </w:pPr>
      <w:r>
        <w:t xml:space="preserve">Finally, two lower-level refinements follow from the analysis: fitting</w:t>
      </w:r>
      <w:r>
        <w:t xml:space="preserve"> </w:t>
      </w:r>
      <w:r>
        <w:t xml:space="preserve">area-prevalence learners under a binomial (rather than Gaussian) loss to respect</w:t>
      </w:r>
      <w:r>
        <w:t xml:space="preserve"> </w:t>
      </w:r>
      <w:r>
        <w:t xml:space="preserve">the bounded, mean-variance-linked response, and adding a principal-components</w:t>
      </w:r>
      <w:r>
        <w:t xml:space="preserve"> </w:t>
      </w:r>
      <w:r>
        <w:t xml:space="preserve">learner suited to the many correlated predictors spanning distinct domains</w:t>
      </w:r>
      <w:r>
        <w:t xml:space="preserve"> </w:t>
      </w:r>
      <w:r>
        <w:t xml:space="preserve">(climate, soil, poverty). The most consequential validation step, however, is to</w:t>
      </w:r>
      <w:r>
        <w:t xml:space="preserve"> </w:t>
      </w:r>
      <w:r>
        <w:t xml:space="preserve">re-run the entire methodology on anaemia (haemoglobin), which is measured in</w:t>
      </w:r>
      <w:r>
        <w:t xml:space="preserve"> </w:t>
      </w:r>
      <w:r>
        <w:t xml:space="preserve">nearly every sub-Saharan African DHS at large sample size: a trusted,</w:t>
      </w:r>
      <w:r>
        <w:t xml:space="preserve"> </w:t>
      </w:r>
      <w:r>
        <w:t xml:space="preserve">abundant outcome would separate methodological limitations from the disputed</w:t>
      </w:r>
      <w:r>
        <w:t xml:space="preserve"> </w:t>
      </w:r>
      <w:r>
        <w:t xml:space="preserve">comparability of the micronutrient biomarkers themselves, and would expand the</w:t>
      </w:r>
      <w:r>
        <w:t xml:space="preserve"> </w:t>
      </w:r>
      <w:r>
        <w:t xml:space="preserve">cross-country panel far beyond the four countries available here.</w:t>
      </w:r>
    </w:p>
    <w:bookmarkEnd w:id="62"/>
    <w:bookmarkStart w:id="63" w:name="conclusions"/>
    <w:p>
      <w:pPr>
        <w:pStyle w:val="Heading2"/>
      </w:pPr>
      <w:r>
        <w:t xml:space="preserve">4.8 Conclusions</w:t>
      </w:r>
    </w:p>
    <w:p>
      <w:pPr>
        <w:pStyle w:val="FirstParagraph"/>
      </w:pPr>
      <w:r>
        <w:t xml:space="preserve">Within countries with biomarker data, admin-2 spatial ranking is only</w:t>
      </w:r>
      <w:r>
        <w:t xml:space="preserve"> </w:t>
      </w:r>
      <w:r>
        <w:t xml:space="preserve">modestly accurate when evaluated out-of-fold; aggregating individual-level</w:t>
      </w:r>
      <w:r>
        <w:t xml:space="preserve"> </w:t>
      </w:r>
      <w:r>
        <w:t xml:space="preserve">SuperLearner predictions outperforms fitting an ensemble directly on</w:t>
      </w:r>
      <w:r>
        <w:t xml:space="preserve"> </w:t>
      </w:r>
      <w:r>
        <w:t xml:space="preserve">admin-2 aggregates, which overfits given the small number of areal units.</w:t>
      </w:r>
      <w:r>
        <w:t xml:space="preserve"> </w:t>
      </w:r>
      <w:r>
        <w:t xml:space="preserve">Across countries, transportability is</w:t>
      </w:r>
      <w:r>
        <w:t xml:space="preserve"> </w:t>
      </w:r>
      <w:r>
        <w:t xml:space="preserve">limited and ensemble methods do not consistently outperform standard</w:t>
      </w:r>
      <w:r>
        <w:t xml:space="preserve"> </w:t>
      </w:r>
      <w:r>
        <w:t xml:space="preserve">small-area-estimation approaches. We recommend that within-country</w:t>
      </w:r>
      <w:r>
        <w:t xml:space="preserve"> </w:t>
      </w:r>
      <w:r>
        <w:t xml:space="preserve">performance be reported only from out-of-fold (not in-sample) predictions,</w:t>
      </w:r>
      <w:r>
        <w:t xml:space="preserve"> </w:t>
      </w:r>
      <w:r>
        <w:t xml:space="preserve">that future deployments of such models be benchmarked against Bayesian and</w:t>
      </w:r>
      <w:r>
        <w:t xml:space="preserve"> </w:t>
      </w:r>
      <w:r>
        <w:t xml:space="preserve">frequentist SAE methods, and that absolute-level predictions in unseen</w:t>
      </w:r>
      <w:r>
        <w:t xml:space="preserve"> </w:t>
      </w:r>
      <w:r>
        <w:t xml:space="preserve">countries be anchored against direct national estimates before use in</w:t>
      </w:r>
      <w:r>
        <w:t xml:space="preserve"> </w:t>
      </w:r>
      <w:r>
        <w:t xml:space="preserve">resource-allocation decisions.</w:t>
      </w:r>
    </w:p>
    <w:bookmarkEnd w:id="63"/>
    <w:bookmarkEnd w:id="64"/>
    <w:bookmarkStart w:id="65" w:name="acknowledgements"/>
    <w:p>
      <w:pPr>
        <w:pStyle w:val="Heading1"/>
      </w:pPr>
      <w:r>
        <w:t xml:space="preserve">5. Acknowledgements</w:t>
      </w:r>
    </w:p>
    <w:p>
      <w:pPr>
        <w:pStyle w:val="FirstParagraph"/>
      </w:pPr>
      <w:r>
        <w:t xml:space="preserve">Funded by the Bill &amp; Melinda Gates Foundation (grant number INV-XXXXXX).</w:t>
      </w:r>
      <w:r>
        <w:t xml:space="preserve"> </w:t>
      </w:r>
      <w:r>
        <w:t xml:space="preserve">The funder had no role in study design, analysis, decision to publish,</w:t>
      </w:r>
      <w:r>
        <w:t xml:space="preserve"> </w:t>
      </w:r>
      <w:r>
        <w:t xml:space="preserve">or manuscript preparation.</w:t>
      </w:r>
    </w:p>
    <w:bookmarkEnd w:id="65"/>
    <w:bookmarkStart w:id="66" w:name="author-contributions"/>
    <w:p>
      <w:pPr>
        <w:pStyle w:val="Heading1"/>
      </w:pPr>
      <w:r>
        <w:t xml:space="preserve">6. Author contributions</w:t>
      </w:r>
    </w:p>
    <w:p>
      <w:pPr>
        <w:pStyle w:val="FirstParagraph"/>
      </w:pPr>
      <w:r>
        <w:t xml:space="preserve">ANM conceived the study, conducted the analysis, and drafted the</w:t>
      </w:r>
      <w:r>
        <w:t xml:space="preserve"> </w:t>
      </w:r>
      <w:r>
        <w:t xml:space="preserve">manuscript. Co-authors to be added on revision.</w:t>
      </w:r>
    </w:p>
    <w:bookmarkEnd w:id="66"/>
    <w:bookmarkStart w:id="68" w:name="data-availability"/>
    <w:p>
      <w:pPr>
        <w:pStyle w:val="Heading1"/>
      </w:pPr>
      <w:r>
        <w:t xml:space="preserve">7. Data availability</w:t>
      </w:r>
    </w:p>
    <w:p>
      <w:pPr>
        <w:pStyle w:val="FirstParagraph"/>
      </w:pPr>
      <w:r>
        <w:t xml:space="preserve">DHS biomarker data are available from the DHS Program</w:t>
      </w:r>
      <w:r>
        <w:t xml:space="preserve"> </w:t>
      </w:r>
      <w:r>
        <w:t xml:space="preserve">(</w:t>
      </w:r>
      <w:hyperlink r:id="rId67">
        <w:r>
          <w:rPr>
            <w:rStyle w:val="Hyperlink"/>
          </w:rPr>
          <w:t xml:space="preserve">https://dhsprogram.com/</w:t>
        </w:r>
      </w:hyperlink>
      <w:r>
        <w:t xml:space="preserve">) following registration. Pipeline code,</w:t>
      </w:r>
      <w:r>
        <w:t xml:space="preserve"> </w:t>
      </w:r>
      <w:r>
        <w:t xml:space="preserve">including the area-level SuperLearner, frequentist baselines, and</w:t>
      </w:r>
      <w:r>
        <w:t xml:space="preserve"> </w:t>
      </w:r>
      <w:r>
        <w:t xml:space="preserve">INLA-based BYM2 implementation, are available at</w:t>
      </w:r>
      <w:r>
        <w:t xml:space="preserve"> </w:t>
      </w:r>
      <w:r>
        <w:t xml:space="preserve">.</w:t>
      </w:r>
    </w:p>
    <w:bookmarkEnd w:id="68"/>
    <w:bookmarkStart w:id="109" w:name="references"/>
    <w:p>
      <w:pPr>
        <w:pStyle w:val="Heading1"/>
      </w:pPr>
      <w:r>
        <w:t xml:space="preserve">8. References</w:t>
      </w:r>
    </w:p>
    <w:bookmarkStart w:id="108" w:name="refs"/>
    <w:bookmarkStart w:id="70"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69">
        <w:r>
          <w:rPr>
            <w:rStyle w:val="Hyperlink"/>
          </w:rPr>
          <w:t xml:space="preserve">https://doi.org/10.1007/BF00116466</w:t>
        </w:r>
      </w:hyperlink>
      <w:r>
        <w:t xml:space="preserve">.</w:t>
      </w:r>
    </w:p>
    <w:bookmarkEnd w:id="70"/>
    <w:bookmarkStart w:id="72"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1">
        <w:r>
          <w:rPr>
            <w:rStyle w:val="Hyperlink"/>
          </w:rPr>
          <w:t xml:space="preserve">https://doi.org/10.1080/01621459.1979.10482505</w:t>
        </w:r>
      </w:hyperlink>
      <w:r>
        <w:t xml:space="preserve">.</w:t>
      </w:r>
    </w:p>
    <w:bookmarkEnd w:id="72"/>
    <w:bookmarkStart w:id="74"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3">
        <w:r>
          <w:rPr>
            <w:rStyle w:val="Hyperlink"/>
          </w:rPr>
          <w:t xml:space="preserve">https://doi.org/10.1016/j.rse.2017.06.031</w:t>
        </w:r>
      </w:hyperlink>
      <w:r>
        <w:t xml:space="preserve">.</w:t>
      </w:r>
    </w:p>
    <w:bookmarkEnd w:id="74"/>
    <w:bookmarkStart w:id="76"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75">
        <w:r>
          <w:rPr>
            <w:rStyle w:val="Hyperlink"/>
          </w:rPr>
          <w:t xml:space="preserve">https://doi.org/10.2202/1544-6115.1309</w:t>
        </w:r>
      </w:hyperlink>
      <w:r>
        <w:t xml:space="preserve">.</w:t>
      </w:r>
    </w:p>
    <w:bookmarkEnd w:id="76"/>
    <w:bookmarkStart w:id="78" w:name="ref-landau2021targets"/>
    <w:p>
      <w:pPr>
        <w:pStyle w:val="Bibliography"/>
      </w:pPr>
      <w:r>
        <w:t xml:space="preserve">Landau, William Michael. 2021.</w:t>
      </w:r>
      <w:r>
        <w:t xml:space="preserve"> </w:t>
      </w:r>
      <w:r>
        <w:t xml:space="preserve">“The</w:t>
      </w:r>
      <w:r>
        <w:t xml:space="preserve"> </w:t>
      </w:r>
      <w:r>
        <w:t xml:space="preserve">targets</w:t>
      </w:r>
      <w:r>
        <w:t xml:space="preserve"> </w:t>
      </w:r>
      <w:r>
        <w:t xml:space="preserve">R</w:t>
      </w:r>
      <w:r>
        <w:t xml:space="preserve"> </w:t>
      </w:r>
      <w:r>
        <w:t xml:space="preserve">Package: A Dynamic Make-Like Function-Oriented Pipeline Toolkit for Reproducibility and High-Performance Computing.”</w:t>
      </w:r>
      <w:r>
        <w:t xml:space="preserve"> </w:t>
      </w:r>
      <w:r>
        <w:rPr>
          <w:i/>
          <w:iCs/>
        </w:rPr>
        <w:t xml:space="preserve">Journal of Open Source Software</w:t>
      </w:r>
      <w:r>
        <w:t xml:space="preserve"> </w:t>
      </w:r>
      <w:r>
        <w:t xml:space="preserve">6 (57): 2959.</w:t>
      </w:r>
      <w:r>
        <w:t xml:space="preserve"> </w:t>
      </w:r>
      <w:hyperlink r:id="rId77">
        <w:r>
          <w:rPr>
            <w:rStyle w:val="Hyperlink"/>
          </w:rPr>
          <w:t xml:space="preserve">https://doi.org/10.21105/joss.02959</w:t>
        </w:r>
      </w:hyperlink>
      <w:r>
        <w:t xml:space="preserve">.</w:t>
      </w:r>
    </w:p>
    <w:bookmarkEnd w:id="78"/>
    <w:bookmarkStart w:id="80"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79">
        <w:r>
          <w:rPr>
            <w:rStyle w:val="Hyperlink"/>
          </w:rPr>
          <w:t xml:space="preserve">https://doi.org/10.1038/s41591-020-0807-6</w:t>
        </w:r>
      </w:hyperlink>
      <w:r>
        <w:t xml:space="preserve">.</w:t>
      </w:r>
    </w:p>
    <w:bookmarkEnd w:id="80"/>
    <w:bookmarkStart w:id="82"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1">
        <w:r>
          <w:rPr>
            <w:rStyle w:val="Hyperlink"/>
          </w:rPr>
          <w:t xml:space="preserve">https://doi.org/10.1214/15-AOAS872</w:t>
        </w:r>
      </w:hyperlink>
      <w:r>
        <w:t xml:space="preserve">.</w:t>
      </w:r>
    </w:p>
    <w:bookmarkEnd w:id="82"/>
    <w:bookmarkStart w:id="84" w:name="ref-knms2011"/>
    <w:p>
      <w:pPr>
        <w:pStyle w:val="Bibliography"/>
      </w:pPr>
      <w:r>
        <w:t xml:space="preserve">Ministry of Health, Republic of Kenya, Kenya Medical Research Institute, National Public Health Laboratory Services, Kenya National Bureau of Statistics, Global Alliance for Improved Nutrition, and UNICEF Kenya Country Office. 2011.</w:t>
      </w:r>
      <w:r>
        <w:t xml:space="preserve"> </w:t>
      </w:r>
      <w:r>
        <w:t xml:space="preserve">“The</w:t>
      </w:r>
      <w:r>
        <w:t xml:space="preserve"> </w:t>
      </w:r>
      <w:r>
        <w:t xml:space="preserve">Kenya</w:t>
      </w:r>
      <w:r>
        <w:t xml:space="preserve"> </w:t>
      </w:r>
      <w:r>
        <w:t xml:space="preserve">National Micronutrient Survey 2011.”</w:t>
      </w:r>
      <w:r>
        <w:t xml:space="preserve"> </w:t>
      </w:r>
      <w:r>
        <w:t xml:space="preserve">Ministry of Health, Republic of Kenya.</w:t>
      </w:r>
      <w:r>
        <w:t xml:space="preserve"> </w:t>
      </w:r>
      <w:hyperlink r:id="rId83">
        <w:r>
          <w:rPr>
            <w:rStyle w:val="Hyperlink"/>
          </w:rPr>
          <w:t xml:space="preserve">https://www.gainhealth.org/sites/default/files/publications/documents/kenya-national-micronutrient-survey-report-2011.pdf</w:t>
        </w:r>
      </w:hyperlink>
      <w:r>
        <w:t xml:space="preserve">.</w:t>
      </w:r>
    </w:p>
    <w:bookmarkEnd w:id="84"/>
    <w:bookmarkStart w:id="86"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85">
        <w:r>
          <w:rPr>
            <w:rStyle w:val="Hyperlink"/>
          </w:rPr>
          <w:t xml:space="preserve">https://doi.org/10.3945/ajcn.116.142273</w:t>
        </w:r>
      </w:hyperlink>
      <w:r>
        <w:t xml:space="preserve">.</w:t>
      </w:r>
    </w:p>
    <w:bookmarkEnd w:id="86"/>
    <w:bookmarkStart w:id="88"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87">
        <w:r>
          <w:rPr>
            <w:rStyle w:val="Hyperlink"/>
          </w:rPr>
          <w:t xml:space="preserve">https://doi.org/10.1145/1102351.1102430</w:t>
        </w:r>
      </w:hyperlink>
      <w:r>
        <w:t xml:space="preserve">.</w:t>
      </w:r>
    </w:p>
    <w:bookmarkEnd w:id="88"/>
    <w:bookmarkStart w:id="90"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89">
        <w:r>
          <w:rPr>
            <w:rStyle w:val="Hyperlink"/>
          </w:rPr>
          <w:t xml:space="preserve">https://doi.org/10.1038/nature25760</w:t>
        </w:r>
      </w:hyperlink>
      <w:r>
        <w:t xml:space="preserve">.</w:t>
      </w:r>
    </w:p>
    <w:bookmarkEnd w:id="90"/>
    <w:bookmarkStart w:id="92"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1">
        <w:r>
          <w:rPr>
            <w:rStyle w:val="Hyperlink"/>
          </w:rPr>
          <w:t xml:space="preserve">https://doi.org/10.1177/0962280216660421</w:t>
        </w:r>
      </w:hyperlink>
      <w:r>
        <w:t xml:space="preserve">.</w:t>
      </w:r>
    </w:p>
    <w:bookmarkEnd w:id="92"/>
    <w:bookmarkStart w:id="94" w:name="ref-rue2009approximate"/>
    <w:p>
      <w:pPr>
        <w:pStyle w:val="Bibliography"/>
      </w:pPr>
      <w:r>
        <w:t xml:space="preserve">Rue, Håvard, Sara Martino, and Nicolas Chopin. 2009.</w:t>
      </w:r>
      <w:r>
        <w:t xml:space="preserve"> </w:t>
      </w:r>
      <w:r>
        <w:t xml:space="preserve">“Approximate</w:t>
      </w:r>
      <w:r>
        <w:t xml:space="preserve"> </w:t>
      </w:r>
      <w:r>
        <w:t xml:space="preserve">Bayesian</w:t>
      </w:r>
      <w:r>
        <w:t xml:space="preserve"> </w:t>
      </w:r>
      <w:r>
        <w:t xml:space="preserve">Inference for Latent</w:t>
      </w:r>
      <w:r>
        <w:t xml:space="preserve"> </w:t>
      </w:r>
      <w:r>
        <w:t xml:space="preserve">Gaussian</w:t>
      </w:r>
      <w:r>
        <w:t xml:space="preserve"> </w:t>
      </w:r>
      <w:r>
        <w:t xml:space="preserve">Models by Using Integrated Nested</w:t>
      </w:r>
      <w:r>
        <w:t xml:space="preserve"> </w:t>
      </w:r>
      <w:r>
        <w:t xml:space="preserve">Laplace</w:t>
      </w:r>
      <w:r>
        <w:t xml:space="preserve"> </w:t>
      </w:r>
      <w:r>
        <w:t xml:space="preserve">Approximations.”</w:t>
      </w:r>
      <w:r>
        <w:t xml:space="preserve"> </w:t>
      </w:r>
      <w:r>
        <w:rPr>
          <w:i/>
          <w:iCs/>
        </w:rPr>
        <w:t xml:space="preserve">Journal of the Royal Statistical Society: Series B (Statistical Methodology)</w:t>
      </w:r>
      <w:r>
        <w:t xml:space="preserve"> </w:t>
      </w:r>
      <w:r>
        <w:t xml:space="preserve">71 (2): 319–92.</w:t>
      </w:r>
      <w:r>
        <w:t xml:space="preserve"> </w:t>
      </w:r>
      <w:hyperlink r:id="rId93">
        <w:r>
          <w:rPr>
            <w:rStyle w:val="Hyperlink"/>
          </w:rPr>
          <w:t xml:space="preserve">https://doi.org/10.1111/j.1467-9868.2008.00700.x</w:t>
        </w:r>
      </w:hyperlink>
      <w:r>
        <w:t xml:space="preserve">.</w:t>
      </w:r>
    </w:p>
    <w:bookmarkEnd w:id="94"/>
    <w:bookmarkStart w:id="96" w:name="ref-vansmedenetal2019sample"/>
    <w:p>
      <w:pPr>
        <w:pStyle w:val="Bibliography"/>
      </w:pPr>
      <w:r>
        <w:t xml:space="preserve">Smeden, Maarten van, Karel G M Moons, Joris A H de Groot, Gary S Collins, Douglas G Altman, Marinus J C Eijkemans, and Johannes B Reitsma. 2019.</w:t>
      </w:r>
      <w:r>
        <w:t xml:space="preserve"> </w:t>
      </w:r>
      <w:r>
        <w:t xml:space="preserve">“Sample Size for Binary Logistic Prediction Models: Beyond Events Per Variable Criteria.”</w:t>
      </w:r>
      <w:r>
        <w:t xml:space="preserve"> </w:t>
      </w:r>
      <w:r>
        <w:rPr>
          <w:i/>
          <w:iCs/>
        </w:rPr>
        <w:t xml:space="preserve">Statistical Methods in Medical Research</w:t>
      </w:r>
      <w:r>
        <w:t xml:space="preserve"> </w:t>
      </w:r>
      <w:r>
        <w:t xml:space="preserve">28 (8): 2455–74.</w:t>
      </w:r>
      <w:r>
        <w:t xml:space="preserve"> </w:t>
      </w:r>
      <w:hyperlink r:id="rId95">
        <w:r>
          <w:rPr>
            <w:rStyle w:val="Hyperlink"/>
          </w:rPr>
          <w:t xml:space="preserve">https://doi.org/10.1177/0962280218784726</w:t>
        </w:r>
      </w:hyperlink>
      <w:r>
        <w:t xml:space="preserve">.</w:t>
      </w:r>
    </w:p>
    <w:bookmarkEnd w:id="96"/>
    <w:bookmarkStart w:id="98"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97">
        <w:r>
          <w:rPr>
            <w:rStyle w:val="Hyperlink"/>
          </w:rPr>
          <w:t xml:space="preserve">https://doi.org/10.1016/S2214-109X(22)00367-9</w:t>
        </w:r>
      </w:hyperlink>
      <w:r>
        <w:t xml:space="preserve">.</w:t>
      </w:r>
    </w:p>
    <w:bookmarkEnd w:id="98"/>
    <w:bookmarkStart w:id="100"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99">
        <w:r>
          <w:rPr>
            <w:rStyle w:val="Hyperlink"/>
          </w:rPr>
          <w:t xml:space="preserve">https://doi.org/10.3945/an.115.010215</w:t>
        </w:r>
      </w:hyperlink>
      <w:r>
        <w:t xml:space="preserve">.</w:t>
      </w:r>
    </w:p>
    <w:bookmarkEnd w:id="100"/>
    <w:bookmarkStart w:id="102"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101">
        <w:r>
          <w:rPr>
            <w:rStyle w:val="Hyperlink"/>
          </w:rPr>
          <w:t xml:space="preserve">https://doi.org/10.1111/insr.12400</w:t>
        </w:r>
      </w:hyperlink>
      <w:r>
        <w:t xml:space="preserve">.</w:t>
      </w:r>
    </w:p>
    <w:bookmarkEnd w:id="102"/>
    <w:bookmarkStart w:id="103"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03"/>
    <w:bookmarkStart w:id="105" w:name="ref-who2020anaemia"/>
    <w:p>
      <w:pPr>
        <w:pStyle w:val="Bibliography"/>
      </w:pPr>
      <w:r>
        <w:t xml:space="preserve">———. 2021.</w:t>
      </w:r>
      <w:r>
        <w:t xml:space="preserve"> </w:t>
      </w:r>
      <w:r>
        <w:t xml:space="preserve">“WHO Global Anaemia Estimates, 2021 Edition.”</w:t>
      </w:r>
      <w:r>
        <w:t xml:space="preserve"> </w:t>
      </w:r>
      <w:hyperlink r:id="rId104">
        <w:r>
          <w:rPr>
            <w:rStyle w:val="Hyperlink"/>
          </w:rPr>
          <w:t xml:space="preserve">https://www.who.int/data/gho/data/themes/topics/anaemia_in_women_and_children</w:t>
        </w:r>
      </w:hyperlink>
      <w:r>
        <w:t xml:space="preserve">.</w:t>
      </w:r>
    </w:p>
    <w:bookmarkEnd w:id="105"/>
    <w:bookmarkStart w:id="107" w:name="ref-who_vmnis"/>
    <w:p>
      <w:pPr>
        <w:pStyle w:val="Bibliography"/>
      </w:pPr>
      <w:r>
        <w:t xml:space="preserve">———. 2023.</w:t>
      </w:r>
      <w:r>
        <w:t xml:space="preserve"> </w:t>
      </w:r>
      <w:r>
        <w:t xml:space="preserve">“Vitamin and Mineral Nutrition Information System (VMNIS).”</w:t>
      </w:r>
      <w:r>
        <w:t xml:space="preserve"> </w:t>
      </w:r>
      <w:hyperlink r:id="rId106">
        <w:r>
          <w:rPr>
            <w:rStyle w:val="Hyperlink"/>
          </w:rPr>
          <w:t xml:space="preserve">https://www.who.int/teams/nutrition-and-food-safety/databases/vitamin-and-mineral-nutrition-information-system</w:t>
        </w:r>
      </w:hyperlink>
      <w:r>
        <w:t xml:space="preserve">.</w:t>
      </w:r>
    </w:p>
    <w:bookmarkEnd w:id="107"/>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67" Target="https://dhsprogram.com/" TargetMode="External" /><Relationship Type="http://schemas.openxmlformats.org/officeDocument/2006/relationships/hyperlink" Id="rId69" Target="https://doi.org/10.1007/BF00116466" TargetMode="External" /><Relationship Type="http://schemas.openxmlformats.org/officeDocument/2006/relationships/hyperlink" Id="rId97" Target="https://doi.org/10.1016/S2214-109X(22)00367-9" TargetMode="External" /><Relationship Type="http://schemas.openxmlformats.org/officeDocument/2006/relationships/hyperlink" Id="rId73" Target="https://doi.org/10.1016/j.rse.2017.06.031" TargetMode="External" /><Relationship Type="http://schemas.openxmlformats.org/officeDocument/2006/relationships/hyperlink" Id="rId89" Target="https://doi.org/10.1038/nature25760" TargetMode="External" /><Relationship Type="http://schemas.openxmlformats.org/officeDocument/2006/relationships/hyperlink" Id="rId79" Target="https://doi.org/10.1038/s41591-020-0807-6" TargetMode="External" /><Relationship Type="http://schemas.openxmlformats.org/officeDocument/2006/relationships/hyperlink" Id="rId71" Target="https://doi.org/10.1080/01621459.1979.10482505" TargetMode="External" /><Relationship Type="http://schemas.openxmlformats.org/officeDocument/2006/relationships/hyperlink" Id="rId101" Target="https://doi.org/10.1111/insr.12400" TargetMode="External" /><Relationship Type="http://schemas.openxmlformats.org/officeDocument/2006/relationships/hyperlink" Id="rId93" Target="https://doi.org/10.1111/j.1467-9868.2008.00700.x" TargetMode="External" /><Relationship Type="http://schemas.openxmlformats.org/officeDocument/2006/relationships/hyperlink" Id="rId87" Target="https://doi.org/10.1145/1102351.1102430" TargetMode="External" /><Relationship Type="http://schemas.openxmlformats.org/officeDocument/2006/relationships/hyperlink" Id="rId91" Target="https://doi.org/10.1177/0962280216660421" TargetMode="External" /><Relationship Type="http://schemas.openxmlformats.org/officeDocument/2006/relationships/hyperlink" Id="rId95" Target="https://doi.org/10.1177/0962280218784726" TargetMode="External" /><Relationship Type="http://schemas.openxmlformats.org/officeDocument/2006/relationships/hyperlink" Id="rId81" Target="https://doi.org/10.1214/15-AOAS872" TargetMode="External" /><Relationship Type="http://schemas.openxmlformats.org/officeDocument/2006/relationships/hyperlink" Id="rId77" Target="https://doi.org/10.21105/joss.02959" TargetMode="External" /><Relationship Type="http://schemas.openxmlformats.org/officeDocument/2006/relationships/hyperlink" Id="rId75" Target="https://doi.org/10.2202/1544-6115.1309" TargetMode="External" /><Relationship Type="http://schemas.openxmlformats.org/officeDocument/2006/relationships/hyperlink" Id="rId85" Target="https://doi.org/10.3945/ajcn.116.142273" TargetMode="External" /><Relationship Type="http://schemas.openxmlformats.org/officeDocument/2006/relationships/hyperlink" Id="rId99" Target="https://doi.org/10.3945/an.115.010215" TargetMode="External" /><Relationship Type="http://schemas.openxmlformats.org/officeDocument/2006/relationships/hyperlink" Id="rId83" Target="https://www.gainhealth.org/sites/default/files/publications/documents/kenya-national-micronutrient-survey-report-2011.pdf" TargetMode="External" /><Relationship Type="http://schemas.openxmlformats.org/officeDocument/2006/relationships/hyperlink" Id="rId104" Target="https://www.who.int/data/gho/data/themes/topics/anaemia_in_women_and_children" TargetMode="External" /><Relationship Type="http://schemas.openxmlformats.org/officeDocument/2006/relationships/hyperlink" Id="rId106"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67" Target="https://dhsprogram.com/" TargetMode="External" /><Relationship Type="http://schemas.openxmlformats.org/officeDocument/2006/relationships/hyperlink" Id="rId69" Target="https://doi.org/10.1007/BF00116466" TargetMode="External" /><Relationship Type="http://schemas.openxmlformats.org/officeDocument/2006/relationships/hyperlink" Id="rId97" Target="https://doi.org/10.1016/S2214-109X(22)00367-9" TargetMode="External" /><Relationship Type="http://schemas.openxmlformats.org/officeDocument/2006/relationships/hyperlink" Id="rId73" Target="https://doi.org/10.1016/j.rse.2017.06.031" TargetMode="External" /><Relationship Type="http://schemas.openxmlformats.org/officeDocument/2006/relationships/hyperlink" Id="rId89" Target="https://doi.org/10.1038/nature25760" TargetMode="External" /><Relationship Type="http://schemas.openxmlformats.org/officeDocument/2006/relationships/hyperlink" Id="rId79" Target="https://doi.org/10.1038/s41591-020-0807-6" TargetMode="External" /><Relationship Type="http://schemas.openxmlformats.org/officeDocument/2006/relationships/hyperlink" Id="rId71" Target="https://doi.org/10.1080/01621459.1979.10482505" TargetMode="External" /><Relationship Type="http://schemas.openxmlformats.org/officeDocument/2006/relationships/hyperlink" Id="rId101" Target="https://doi.org/10.1111/insr.12400" TargetMode="External" /><Relationship Type="http://schemas.openxmlformats.org/officeDocument/2006/relationships/hyperlink" Id="rId93" Target="https://doi.org/10.1111/j.1467-9868.2008.00700.x" TargetMode="External" /><Relationship Type="http://schemas.openxmlformats.org/officeDocument/2006/relationships/hyperlink" Id="rId87" Target="https://doi.org/10.1145/1102351.1102430" TargetMode="External" /><Relationship Type="http://schemas.openxmlformats.org/officeDocument/2006/relationships/hyperlink" Id="rId91" Target="https://doi.org/10.1177/0962280216660421" TargetMode="External" /><Relationship Type="http://schemas.openxmlformats.org/officeDocument/2006/relationships/hyperlink" Id="rId95" Target="https://doi.org/10.1177/0962280218784726" TargetMode="External" /><Relationship Type="http://schemas.openxmlformats.org/officeDocument/2006/relationships/hyperlink" Id="rId81" Target="https://doi.org/10.1214/15-AOAS872" TargetMode="External" /><Relationship Type="http://schemas.openxmlformats.org/officeDocument/2006/relationships/hyperlink" Id="rId77" Target="https://doi.org/10.21105/joss.02959" TargetMode="External" /><Relationship Type="http://schemas.openxmlformats.org/officeDocument/2006/relationships/hyperlink" Id="rId75" Target="https://doi.org/10.2202/1544-6115.1309" TargetMode="External" /><Relationship Type="http://schemas.openxmlformats.org/officeDocument/2006/relationships/hyperlink" Id="rId85" Target="https://doi.org/10.3945/ajcn.116.142273" TargetMode="External" /><Relationship Type="http://schemas.openxmlformats.org/officeDocument/2006/relationships/hyperlink" Id="rId99" Target="https://doi.org/10.3945/an.115.010215" TargetMode="External" /><Relationship Type="http://schemas.openxmlformats.org/officeDocument/2006/relationships/hyperlink" Id="rId83" Target="https://www.gainhealth.org/sites/default/files/publications/documents/kenya-national-micronutrient-survey-report-2011.pdf" TargetMode="External" /><Relationship Type="http://schemas.openxmlformats.org/officeDocument/2006/relationships/hyperlink" Id="rId104" Target="https://www.who.int/data/gho/data/themes/topics/anaemia_in_women_and_children" TargetMode="External" /><Relationship Type="http://schemas.openxmlformats.org/officeDocument/2006/relationships/hyperlink" Id="rId106"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Subnational micronutrient deficiency prediction in sub-Saharan Africa from proxy indicators: a multi-country SuperLearner ensemble benchmarked against small-area-estimation methods</dc:title>
  <dc:creator>Andrew N. Mertens</dc:creator>
  <cp:keywords>micronutrient deficiency, small area estimation, DHS, transportability, SuperLearner, vitamin A, iron deficiency</cp:keywords>
  <dcterms:created xsi:type="dcterms:W3CDTF">2026-06-26T18:39:56Z</dcterms:created>
  <dcterms:modified xsi:type="dcterms:W3CDTF">2026-06-26T18:39:56Z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are central to targeted nutrition programming, yet biomarker surveys remain scarce and geographically uneven. We assessed whether ensemble machine-learning models trained on harmonised Demographic and Health Surveys (DHS) and remote-sensing predictors can reproduce admin-2 deficiency patterns within and across four sub-Saharan African countries (three in West Africa plus Malawi), and whether they outperform canonical small-area estimation (SAE) methods.Methods: We harmonised individual-level DHS biomarker measurements for iron, vitamin A, vitamin B12, folate, and zinc deficiency from Gambia (2018), Ghana (2017), Sierra Leone (2013) and Malawi (2016) and combined them with earth-observation aggregates at the admin-2 polygon level. Four estimation strategies were compared: (1) individual-level SuperLearner aggregated to admin-2; (2) area-level SuperLearner fit directly on admin-2 aggregates; (3) frequentist regressions (OLS, elastic-net) and a country-mean baseline; (4) Bayesian small-area methods including Fay–Herriot and the BYM2 model (Besag–York–Mollié, PC priors) fit via integrated nested Laplace approximation (INLA). All approaches were evaluated within country by k-fold cross-validation and across countries by leave-one-country-out (LOCO) holdout. Performance metrics were Pearson r and Spearman ρ for spatial ranking, MAE and RMSE in percentage points for absolute error, and calibration slope. Headline metrics are from a leakage-free corrected analysis (preprocessing confined to each training fold; folds blocked by survey cluster and spatial region; out-of-fold recalibration), which is the analysis of record; the original pipeline is retained as a sensitivity comparison.Results: Evaluated with genuinely out-of-fold predictions, within-country admin-2 ranking was modest. Aggregating individual-level SuperLearner predictions to admin-2 ranked districts best (median Pearson r 0.53, range −0.39 to 0.87), though with large negative biases (up to ~20 percentage points) for iron. The area-level SuperLearner fit directly on admin-2 aggregates appeared excellent under in-sample evaluation but was substantially weaker out-of-fold (MSE-loss median r 0.12, range −0.57 to 0.61; 0 of 24 evaluable country–outcome combinations reached r ≥ 0.9 and about half were ≤ 0), reflecting overfitting in the area-level p ≫ n setting (14–87 areas, ~2,400 candidate covariates). Cross-country (LOCO) performance was weaker still: median r ≈ 0.1–0.2, with absolute errors of 1.5–44 percentage points and systematic underestimation in high-prevalence settings. Iron-deficiency outcomes transported best; vitamin-A-deficiency outcomes essentially did not transport (median r near zero, often with anti-predictive ordering). Benchmark frequentist regressions and Bayesian SAE models matched or exceeded the SuperLearner on the large majority of LOCO splits (the best benchmark beat the prescreened ensemble on 10 of 13 evaluable head-to-head splits), indicating that the ensemble’s predictive gains are concentrated on specific outcome–country combinations rather than general.Conclusions: Under honest out-of-fold evaluation, admin-2 prediction of micronutrient deficiency is only modestly accurate within countries; the apparent excellence of the directly-fit area-level ensemble was an artifact of in-sample evaluation, and individual-level prediction aggregated to admin-2 is the stronger area-level approach. Out-of-country transport remains unreliable for spatial targeting, especially outside the West African geography and for vitamin-A-deficiency outcomes. Standard small-area-estimation methods are a strong baseline that ensembles do not consistently beat; benchmarking should accompany any decision-relevant deployment of these models.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2026-06-26</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Subnational micronutrient prediction in sub-Saharan Africa</vt:lpwstr>
  </property>
  <property fmtid="{D5CDD505-2E9C-101B-9397-08002B2CF9AE}" pid="17" name="tbl-cap-location">
    <vt:lpwstr>top</vt:lpwstr>
  </property>
  <property fmtid="{D5CDD505-2E9C-101B-9397-08002B2CF9AE}" pid="18" name="toc-title">
    <vt:lpwstr>Table of contents</vt:lpwstr>
  </property>
</Properties>
</file>