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2026-06-26</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within and across four</w:t>
      </w:r>
      <w:r>
        <w:t xml:space="preserve"> </w:t>
      </w:r>
      <w:r>
        <w:t xml:space="preserve">sub-Saharan African countries (three in West Africa plus Malawi), and whether</w:t>
      </w:r>
      <w:r>
        <w:t xml:space="preserve"> </w:t>
      </w:r>
      <w:r>
        <w:t xml:space="preserve">they outperform canonical small-area estimation (SAE) methods.</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 admin-2 polygon level. Four estimation</w:t>
      </w:r>
      <w:r>
        <w:t xml:space="preserve"> </w:t>
      </w:r>
      <w:r>
        <w:t xml:space="preserve">strategies were compared: (1) individual-level SuperLearner aggregated to</w:t>
      </w:r>
      <w:r>
        <w:t xml:space="preserve"> </w:t>
      </w:r>
      <w:r>
        <w:t xml:space="preserve">admin-2; (2) area-level SuperLearner fit directly on admin-2 aggregates;</w:t>
      </w:r>
      <w:r>
        <w:t xml:space="preserve"> </w:t>
      </w:r>
      <w:r>
        <w:t xml:space="preserve">(3) frequentist regressions (OLS, elastic-net) and a country-mean baseline;</w:t>
      </w:r>
      <w:r>
        <w:t xml:space="preserve"> </w:t>
      </w:r>
      <w:r>
        <w:t xml:space="preserve">(4) Bayesian small-area methods including Fay–Herriot and the BYM2 model</w:t>
      </w:r>
      <w:r>
        <w:t xml:space="preserve"> </w:t>
      </w:r>
      <w:r>
        <w:t xml:space="preserve">(Besag–York–Mollié, PC priors) fit via integrated nested Laplace approximation</w:t>
      </w:r>
      <w:r>
        <w:t xml:space="preserve"> </w:t>
      </w:r>
      <w:r>
        <w:t xml:space="preserve">(INLA). All approaches were evaluated within country by k-fold cross-validation</w:t>
      </w:r>
      <w:r>
        <w:t xml:space="preserve"> </w:t>
      </w:r>
      <w:r>
        <w:t xml:space="preserve">and across countries by leave-one-country-out (LOCO) holdout. Performance</w:t>
      </w:r>
      <w:r>
        <w:t xml:space="preserve"> </w:t>
      </w:r>
      <w:r>
        <w:t xml:space="preserve">metrics were Pearson r and Spearman ρ for spatial ranking, MAE and RMSE in</w:t>
      </w:r>
      <w:r>
        <w:t xml:space="preserve"> </w:t>
      </w:r>
      <w:r>
        <w:t xml:space="preserve">percentage points for absolute error, and calibration slope. Headline metrics</w:t>
      </w:r>
      <w:r>
        <w:t xml:space="preserve"> </w:t>
      </w:r>
      <w:r>
        <w:t xml:space="preserve">are from a leakage-free corrected analysis (preprocessing confined to each</w:t>
      </w:r>
      <w:r>
        <w:t xml:space="preserve"> </w:t>
      </w:r>
      <w:r>
        <w:t xml:space="preserve">training fold; folds blocked by survey cluster and spatial region; out-of-fold</w:t>
      </w:r>
      <w:r>
        <w:t xml:space="preserve"> </w:t>
      </w:r>
      <w:r>
        <w:t xml:space="preserve">recalibration), which is the analysis of record; the original pipeline is</w:t>
      </w:r>
      <w:r>
        <w:t xml:space="preserve"> </w:t>
      </w:r>
      <w:r>
        <w:t xml:space="preserve">retained as a sensitivity comparison.</w:t>
      </w:r>
    </w:p>
    <w:p>
      <w:pPr>
        <w:pStyle w:val="Abstract"/>
      </w:pPr>
      <w:r>
        <w:rPr>
          <w:b/>
          <w:bCs/>
        </w:rPr>
        <w:t xml:space="preserve">Results:</w:t>
      </w:r>
      <w:r>
        <w:t xml:space="preserve"> </w:t>
      </w:r>
      <w:r>
        <w:t xml:space="preserve">Evaluated with genuinely out-of-fold predictions, within-country</w:t>
      </w:r>
      <w:r>
        <w:t xml:space="preserve"> </w:t>
      </w:r>
      <w:r>
        <w:t xml:space="preserve">admin-2 ranking was modest. Aggregating individual-level SuperLearner</w:t>
      </w:r>
      <w:r>
        <w:t xml:space="preserve"> </w:t>
      </w:r>
      <w:r>
        <w:t xml:space="preserve">predictions to admin-2 ranked districts best (median Pearson r 0.53, range</w:t>
      </w:r>
      <w:r>
        <w:t xml:space="preserve"> </w:t>
      </w:r>
      <w:r>
        <w:t xml:space="preserve">−0.39 to 0.87), though with large negative biases (up to ~20 percentage</w:t>
      </w:r>
      <w:r>
        <w:t xml:space="preserve"> </w:t>
      </w:r>
      <w:r>
        <w:t xml:space="preserve">points) for iron. The area-level SuperLearner fit directly on admin-2</w:t>
      </w:r>
      <w:r>
        <w:t xml:space="preserve"> </w:t>
      </w:r>
      <w:r>
        <w:t xml:space="preserve">aggregates appeared excellent under in-sample evaluation but was substantially</w:t>
      </w:r>
      <w:r>
        <w:t xml:space="preserve"> </w:t>
      </w:r>
      <w:r>
        <w:t xml:space="preserve">weaker out-of-fold (MSE-loss median r 0.12, range −0.57 to 0.61; 0 of 24</w:t>
      </w:r>
      <w:r>
        <w:t xml:space="preserve"> </w:t>
      </w:r>
      <w:r>
        <w:t xml:space="preserve">evaluable country–outcome combinations reached r ≥ 0.9 and about half were</w:t>
      </w:r>
      <w:r>
        <w:t xml:space="preserve"> </w:t>
      </w:r>
      <w:r>
        <w:t xml:space="preserve">≤ 0), reflecting overfitting in the area-level p ≫ n setting (14–87 areas,</w:t>
      </w:r>
      <w:r>
        <w:t xml:space="preserve"> </w:t>
      </w:r>
      <w:r>
        <w:t xml:space="preserve">~2,400 candidate covariates). Cross-country (LOCO) performance</w:t>
      </w:r>
      <w:r>
        <w:t xml:space="preserve"> </w:t>
      </w:r>
      <w:r>
        <w:t xml:space="preserve">was weaker still: median r ≈ 0.1–0.2, with absolute</w:t>
      </w:r>
      <w:r>
        <w:t xml:space="preserve"> </w:t>
      </w:r>
      <w:r>
        <w:t xml:space="preserve">errors of 1.5–44 percentage points and systematic underestimation in</w:t>
      </w:r>
      <w:r>
        <w:t xml:space="preserve"> </w:t>
      </w:r>
      <w:r>
        <w:t xml:space="preserve">high-prevalence settings. Iron-deficiency outcomes transported best;</w:t>
      </w:r>
      <w:r>
        <w:t xml:space="preserve"> </w:t>
      </w:r>
      <w:r>
        <w:t xml:space="preserve">vitamin-A-deficiency outcomes essentially did not transport (median r near</w:t>
      </w:r>
      <w:r>
        <w:t xml:space="preserve"> </w:t>
      </w:r>
      <w:r>
        <w:t xml:space="preserve">zero, often with anti-predictive ordering). Benchmark frequentist regressions</w:t>
      </w:r>
      <w:r>
        <w:t xml:space="preserve"> </w:t>
      </w:r>
      <w:r>
        <w:t xml:space="preserve">and Bayesian SAE models matched or exceeded the SuperLearner on the large</w:t>
      </w:r>
      <w:r>
        <w:t xml:space="preserve"> </w:t>
      </w:r>
      <w:r>
        <w:t xml:space="preserve">majority of LOCO splits (the best benchmark beat the prescreened ensemble</w:t>
      </w:r>
      <w:r>
        <w:t xml:space="preserve"> </w:t>
      </w:r>
      <w:r>
        <w:t xml:space="preserve">on 10 of 13 evaluable head-to-head splits),</w:t>
      </w:r>
      <w:r>
        <w:t xml:space="preserve"> </w:t>
      </w:r>
      <w:r>
        <w:t xml:space="preserve">indicating that the ensemble’s predictive gains are concentrated on specific</w:t>
      </w:r>
      <w:r>
        <w:t xml:space="preserve"> </w:t>
      </w:r>
      <w:r>
        <w:t xml:space="preserve">outcome–country combinations rather than general.</w:t>
      </w:r>
    </w:p>
    <w:p>
      <w:pPr>
        <w:pStyle w:val="Abstract"/>
      </w:pPr>
      <w:r>
        <w:rPr>
          <w:b/>
          <w:bCs/>
        </w:rPr>
        <w:t xml:space="preserve">Conclusions:</w:t>
      </w:r>
      <w:r>
        <w:t xml:space="preserve"> </w:t>
      </w:r>
      <w:r>
        <w:t xml:space="preserve">Under honest out-of-fold evaluation, admin-2 prediction of</w:t>
      </w:r>
      <w:r>
        <w:t xml:space="preserve"> </w:t>
      </w:r>
      <w:r>
        <w:t xml:space="preserve">micronutrient deficiency is only modestly accurate within countries; the</w:t>
      </w:r>
      <w:r>
        <w:t xml:space="preserve"> </w:t>
      </w:r>
      <w:r>
        <w:t xml:space="preserve">apparent excellence of the directly-fit area-level ensemble was an artifact of</w:t>
      </w:r>
      <w:r>
        <w:t xml:space="preserve"> </w:t>
      </w:r>
      <w:r>
        <w:t xml:space="preserve">in-sample evaluation, and individual-level prediction aggregated to admin-2 is</w:t>
      </w:r>
      <w:r>
        <w:t xml:space="preserve"> </w:t>
      </w:r>
      <w:r>
        <w:t xml:space="preserve">the stronger area-level approach. Out-of-country transport remains unreliable for spatial targeting,</w:t>
      </w:r>
      <w:r>
        <w:t xml:space="preserve"> </w:t>
      </w:r>
      <w:r>
        <w:t xml:space="preserve">especially outside the West African geography and for vitamin-A-deficiency</w:t>
      </w:r>
      <w:r>
        <w:t xml:space="preserve"> </w:t>
      </w:r>
      <w:r>
        <w:t xml:space="preserve">outcomes. Standard small-area-estimation methods are a strong baseline that</w:t>
      </w:r>
      <w:r>
        <w:t xml:space="preserve"> </w:t>
      </w:r>
      <w:r>
        <w:t xml:space="preserve">ensembles do not consistently beat; benchmarking should accompany any</w:t>
      </w:r>
      <w:r>
        <w:t xml:space="preserve"> </w:t>
      </w:r>
      <w:r>
        <w:t xml:space="preserve">decision-relevant deployment of these models.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w:t>
      </w:r>
      <w:r>
        <w:t xml:space="preserve"> </w:t>
      </w:r>
      <w:r>
        <w:t xml:space="preserve">Malawi) and use these to evaluate four estimation strategies</w:t>
      </w:r>
      <w:r>
        <w:t xml:space="preserve"> </w:t>
      </w:r>
      <w:r>
        <w:t xml:space="preserve">spanning machine-learning and SAE traditions, within-country and across</w:t>
      </w:r>
      <w:r>
        <w:t xml:space="preserve"> </w:t>
      </w:r>
      <w:r>
        <w:t xml:space="preserve">countries. We benchmark a multi-learner SuperLearner ensemble (combining</w:t>
      </w:r>
      <w:r>
        <w:t xml:space="preserve"> </w:t>
      </w:r>
      <w:r>
        <w:t xml:space="preserve">elastic-net, ranger, gradient-boosted trees, and dropout BART) against</w:t>
      </w:r>
      <w:r>
        <w:t xml:space="preserve"> </w:t>
      </w:r>
      <w:r>
        <w:t xml:space="preserve">Bayesian areal models and frequentist baselines, and report whether the</w:t>
      </w:r>
      <w:r>
        <w:t xml:space="preserve"> </w:t>
      </w:r>
      <w:r>
        <w:t xml:space="preserve">added complexity of the ensemble produces gains in spatial ranking or</w:t>
      </w:r>
      <w:r>
        <w:t xml:space="preserve"> </w:t>
      </w:r>
      <w:r>
        <w:t xml:space="preserve">transportability that justify its use for global-health programming.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r>
        <w:t xml:space="preserve"> </w:t>
      </w:r>
      <w:r>
        <w:t xml:space="preserve">Within each survey we extracted deficiency biomarkers for women of</w:t>
      </w:r>
      <w:r>
        <w:t xml:space="preserve"> </w:t>
      </w:r>
      <w:r>
        <w:t xml:space="preserve">reproductive age (15–49 y) and children 6–59 months as available</w:t>
      </w:r>
      <w:r>
        <w:t xml:space="preserve"> </w:t>
      </w:r>
      <w:r>
        <w:t xml:space="preserve">(</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1102</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807</w:t>
                  </w:r>
                </w:p>
              </w:tc>
              <w:tc>
                <w:tcPr/>
                <w:p>
                  <w:pPr>
                    <w:pStyle w:val="Compact"/>
                    <w:jc w:val="left"/>
                    <w:jc w:val="center"/>
                  </w:pPr>
                  <w:r>
                    <w:t xml:space="preserve">1.4%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1102</w:t>
                  </w:r>
                </w:p>
              </w:tc>
              <w:tc>
                <w:tcPr/>
                <w:p>
                  <w:pPr>
                    <w:pStyle w:val="Compact"/>
                    <w:jc w:val="left"/>
                    <w:jc w:val="center"/>
                  </w:pPr>
                  <w:r>
                    <w:t xml:space="preserve">9.7%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752</w:t>
                  </w:r>
                </w:p>
              </w:tc>
              <w:tc>
                <w:tcPr/>
                <w:p>
                  <w:pPr>
                    <w:pStyle w:val="Compact"/>
                    <w:jc w:val="left"/>
                    <w:jc w:val="center"/>
                  </w:pPr>
                  <w:r>
                    <w:t xml:space="preserve">9.8%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799</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809</w:t>
                  </w:r>
                </w:p>
              </w:tc>
              <w:tc>
                <w:tcPr/>
                <w:p>
                  <w:pPr>
                    <w:pStyle w:val="Compact"/>
                    <w:jc w:val="left"/>
                    <w:jc w:val="center"/>
                  </w:pPr>
                  <w:r>
                    <w:t xml:space="preserve">2.8%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1087</w:t>
                  </w:r>
                </w:p>
              </w:tc>
              <w:tc>
                <w:tcPr/>
                <w:p>
                  <w:pPr>
                    <w:pStyle w:val="Compact"/>
                    <w:jc w:val="left"/>
                    <w:jc w:val="center"/>
                  </w:pPr>
                  <w:r>
                    <w:t xml:space="preserve">58.6%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814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comprised over 2,500 earth-observation aggregates</w:t>
      </w:r>
      <w:r>
        <w:t xml:space="preserve"> </w:t>
      </w:r>
      <w:r>
        <w:t xml:space="preserve">extracted from Google Earth Engine</w:t>
      </w:r>
      <w:r>
        <w:t xml:space="preserve"> </w:t>
      </w:r>
      <w:r>
        <w:t xml:space="preserve">(Gorelick et al. 2017)</w:t>
      </w:r>
      <w:r>
        <w:t xml:space="preserve"> </w:t>
      </w:r>
      <w:r>
        <w:t xml:space="preserve">for each</w:t>
      </w:r>
      <w:r>
        <w:t xml:space="preserve"> </w:t>
      </w:r>
      <w:r>
        <w:t xml:space="preserve">admin-2 polygon using exact-extract weighted by polygon overlap. Layers</w:t>
      </w:r>
      <w:r>
        <w:t xml:space="preserve"> </w:t>
      </w:r>
      <w:r>
        <w:t xml:space="preserve">included Worldpop population density, ESA WorldCover land use,</w:t>
      </w:r>
      <w:r>
        <w:t xml:space="preserve"> </w:t>
      </w:r>
      <w:r>
        <w:t xml:space="preserve">accessibility surfaces, NDVI/EVI temporal aggregates, atmospheric</w:t>
      </w:r>
      <w:r>
        <w:t xml:space="preserve"> </w:t>
      </w:r>
      <w:r>
        <w:t xml:space="preserve">parameters, elevation, and night-time lights. Variables present in fewer</w:t>
      </w:r>
      <w:r>
        <w:t xml:space="preserve"> </w:t>
      </w:r>
      <w:r>
        <w:t xml:space="preserve">than three countries’ GEE extracts were excluded from cross-country</w:t>
      </w:r>
      <w:r>
        <w:t xml:space="preserve"> </w:t>
      </w:r>
      <w:r>
        <w:t xml:space="preserve">analyses, producing a common-vocabulary set of 152 variables.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frequentist baselines (a</w:t>
      </w:r>
      <w:r>
        <w:t xml:space="preserve"> </w:t>
      </w:r>
      <w:r>
        <w:t xml:space="preserve">country-mean floor, OLS, and cross-validated elastic-net); Bayesian areal</w:t>
      </w:r>
      <w:r>
        <w:t xml:space="preserve"> </w:t>
      </w:r>
      <w:r>
        <w:t xml:space="preserve">models (the Fay–Herriot model</w:t>
      </w:r>
      <w:r>
        <w:t xml:space="preserve"> </w:t>
      </w:r>
      <w:r>
        <w:t xml:space="preserve">(Fay and Herriot 1979; Mercer et al. 2015)</w:t>
      </w:r>
      <w:r>
        <w:t xml:space="preserve"> </w:t>
      </w:r>
      <w:r>
        <w:t xml:space="preserve">and the</w:t>
      </w:r>
      <w:r>
        <w:t xml:space="preserve"> </w:t>
      </w:r>
      <w:r>
        <w:t xml:space="preserve">BYM2 disease-mapping model fit by integrated nested Laplace approximation</w:t>
      </w:r>
      <w:r>
        <w:t xml:space="preserve"> </w:t>
      </w:r>
      <w:r>
        <w:t xml:space="preserve">(Riebler et al. 2016; Rue, Martino, and Chopin 2009)</w:t>
      </w:r>
      <w:r>
        <w:t xml:space="preserve">); and a set of</w:t>
      </w:r>
      <w:r>
        <w:t xml:space="preserve"> </w:t>
      </w:r>
      <w:r>
        <w:t xml:space="preserve">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The</w:t>
      </w:r>
      <w:r>
        <w:t xml:space="preserve"> </w:t>
      </w:r>
      <w:r>
        <w:rPr>
          <w:b/>
          <w:bCs/>
        </w:rPr>
        <w:t xml:space="preserve">individual-level SuperLearner aggregated to admin-2</w:t>
      </w:r>
      <w:r>
        <w:t xml:space="preserve"> </w:t>
      </w:r>
      <w:r>
        <w:t xml:space="preserve">fits a</w:t>
      </w:r>
      <w:r>
        <w:t xml:space="preserve"> </w:t>
      </w:r>
      <w:r>
        <w:t xml:space="preserve">person-level ensemble and averages its predictions up to the district; it</w:t>
      </w:r>
      <w:r>
        <w:t xml:space="preserve"> </w:t>
      </w:r>
      <w:r>
        <w:t xml:space="preserve">shares the same inputs but is reported as a sensitivity analysis, because</w:t>
      </w:r>
      <w:r>
        <w:t xml:space="preserve"> </w:t>
      </w:r>
      <w:r>
        <w:t xml:space="preserve">aggregating shrunken person-level probabilities biases area means (Results).</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bookmarkEnd w:id="25"/>
    <w:bookmarkStart w:id="26" w:name="evaluation"/>
    <w:p>
      <w:pPr>
        <w:pStyle w:val="Heading2"/>
      </w:pPr>
      <w:r>
        <w:t xml:space="preserve">2.5 Evaluation</w:t>
      </w:r>
    </w:p>
    <w:p>
      <w:pPr>
        <w:pStyle w:val="FirstParagraph"/>
      </w:pPr>
      <w:r>
        <w:t xml:space="preserve">We evaluated two questions.</w:t>
      </w:r>
      <w:r>
        <w:t xml:space="preserve"> </w:t>
      </w:r>
      <w:r>
        <w:rPr>
          <w:b/>
          <w:bCs/>
        </w:rPr>
        <w:t xml:space="preserve">Within-country</w:t>
      </w:r>
      <w:r>
        <w:t xml:space="preserve"> </w:t>
      </w:r>
      <w:r>
        <w:t xml:space="preserve">spatial accuracy was</w:t>
      </w:r>
      <w:r>
        <w:t xml:space="preserve"> </w:t>
      </w:r>
      <w:r>
        <w:t xml:space="preserve">estimated by 5-fold cross-validation on each country’s admin-2 set,</w:t>
      </w:r>
      <w:r>
        <w:t xml:space="preserve"> </w:t>
      </w:r>
      <w:r>
        <w:t xml:space="preserve">with metrics computed on the union of out-of-fold predictions.</w:t>
      </w:r>
      <w:r>
        <w:t xml:space="preserve"> </w:t>
      </w:r>
      <w:r>
        <w:rPr>
          <w:b/>
          <w:bCs/>
        </w:rPr>
        <w:t xml:space="preserve">Cross-country transportability</w:t>
      </w:r>
      <w:r>
        <w:t xml:space="preserve"> </w:t>
      </w:r>
      <w:r>
        <w:t xml:space="preserve">was assessed by leave-one-country-out</w:t>
      </w:r>
      <w:r>
        <w:t xml:space="preserve"> </w:t>
      </w:r>
      <w:r>
        <w:t xml:space="preserve">(LOCO) holdout on the pooled admin-2 dataset: the model is trained on</w:t>
      </w:r>
      <w:r>
        <w:t xml:space="preserve"> </w:t>
      </w:r>
      <w:r>
        <w:t xml:space="preserve">three countries’ admin-2 areas (n = 119–192) and evaluated on the</w:t>
      </w:r>
      <w:r>
        <w:t xml:space="preserve"> </w:t>
      </w:r>
      <w:r>
        <w:t xml:space="preserve">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55"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87). Sample</w:t>
      </w:r>
      <w:r>
        <w:t xml:space="preserve"> </w:t>
      </w:r>
      <w:r>
        <w:t xml:space="preserve">sizes per country and biomarker are presented in</w:t>
      </w:r>
      <w:r>
        <w:t xml:space="preserve"> </w:t>
      </w:r>
      <w:hyperlink w:anchor="tbl-cohort">
        <w:r>
          <w:rPr>
            <w:rStyle w:val="Hyperlink"/>
          </w:rPr>
          <w:t xml:space="preserve">Table 1</w:t>
        </w:r>
      </w:hyperlink>
      <w:r>
        <w:t xml:space="preserve">. Observed</w:t>
      </w:r>
      <w:r>
        <w:t xml:space="preserve"> </w:t>
      </w:r>
      <w:r>
        <w:t xml:space="preserve">admin-2 deficiency prevalence varied widely across outcomes and</w:t>
      </w:r>
      <w:r>
        <w:t xml:space="preserve"> </w:t>
      </w:r>
      <w:r>
        <w:t xml:space="preserve">countries, with iron deficiency in children ranging from 5% (Sierra</w:t>
      </w:r>
      <w:r>
        <w:t xml:space="preserve"> </w:t>
      </w:r>
      <w:r>
        <w:t xml:space="preserve">Leone) to 64% (Gambia), and vitamin-A deficiency in women remaining</w:t>
      </w:r>
      <w:r>
        <w:t xml:space="preserve"> </w:t>
      </w:r>
      <w:r>
        <w:t xml:space="preserve">below 5% in most 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w:t>
      </w:r>
      <w:r>
        <w:t xml:space="preserve"> </w:t>
      </w:r>
      <w:r>
        <w:t xml:space="preserve">was modest, and the apparent superiority of the directly-fit area-level</w:t>
      </w:r>
      <w:r>
        <w:t xml:space="preserve"> </w:t>
      </w:r>
      <w:r>
        <w:t xml:space="preserve">SuperLearner did not survive honest cross-validation (</w:t>
      </w:r>
      <w:hyperlink w:anchor="tbl-area-comparison">
        <w:r>
          <w:rPr>
            <w:rStyle w:val="Hyperlink"/>
          </w:rPr>
          <w:t xml:space="preserve">Table 2</w:t>
        </w:r>
      </w:hyperlink>
      <w:r>
        <w:t xml:space="preserve">).</w:t>
      </w:r>
      <w:r>
        <w:t xml:space="preserve"> </w:t>
      </w:r>
      <w:r>
        <w:t xml:space="preserve">The area-level SuperLearner reached a median out-of-fold Pearson r of only</w:t>
      </w:r>
      <w:r>
        <w:t xml:space="preserve"> </w:t>
      </w:r>
      <w:r>
        <w:t xml:space="preserve">0.12 (MSE loss; 0.14 for NLL) between predicted and survey-weighted admin-2</w:t>
      </w:r>
      <w:r>
        <w:t xml:space="preserve"> </w:t>
      </w:r>
      <w:r>
        <w:t xml:space="preserve">prevalence, with 0 of 24 evaluable country–outcome combinations exceeding</w:t>
      </w:r>
      <w:r>
        <w:t xml:space="preserve"> </w:t>
      </w:r>
      <w:r>
        <w:t xml:space="preserve">r ≥ 0.9 and roughly half at or below zero (range −0.57 to 0.61). In</w:t>
      </w:r>
      <w:r>
        <w:t xml:space="preserve"> </w:t>
      </w:r>
      <w:r>
        <w:t xml:space="preserve">contrast, aggregating the individual-level SuperLearner’s out-of-fold</w:t>
      </w:r>
      <w:r>
        <w:t xml:space="preserve"> </w:t>
      </w:r>
      <w:r>
        <w:t xml:space="preserve">predictions to admin-2 ranked districts substantially better (median r</w:t>
      </w:r>
      <w:r>
        <w:t xml:space="preserve"> </w:t>
      </w:r>
      <w:r>
        <w:t xml:space="preserve">0.53, range −0.39 to 0.87), albeit with larger negative biases for iron.</w:t>
      </w:r>
    </w:p>
    <w:p>
      <w:pPr>
        <w:pStyle w:val="BodyText"/>
      </w:pPr>
      <w:r>
        <w:t xml:space="preserve">This reversal reflects the area-level p ≫ n setting. Because the proxy</w:t>
      </w:r>
      <w:r>
        <w:t xml:space="preserve"> </w:t>
      </w:r>
      <w:r>
        <w:t xml:space="preserve">and earth-observation predictors are resolved at the admin-2 level, the</w:t>
      </w:r>
      <w:r>
        <w:t xml:space="preserve"> </w:t>
      </w:r>
      <w:r>
        <w:t xml:space="preserve">effective sample size for area-level fitting is the number of polygons —</w:t>
      </w:r>
      <w:r>
        <w:t xml:space="preserve"> </w:t>
      </w:r>
      <w:r>
        <w:t xml:space="preserve">14 in Sierra Leone, 30 in Gambia, 75 in Ghana, and 87 in Malawi — against</w:t>
      </w:r>
      <w:r>
        <w:t xml:space="preserve"> </w:t>
      </w:r>
      <w:r>
        <w:t xml:space="preserve">roughly 150 screened candidate covariates, leaving few residual degrees of</w:t>
      </w:r>
      <w:r>
        <w:t xml:space="preserve"> </w:t>
      </w:r>
      <w:r>
        <w:t xml:space="preserve">freedom. An earlier in-sample evaluation — predicting the training areas</w:t>
      </w:r>
      <w:r>
        <w:t xml:space="preserve"> </w:t>
      </w:r>
      <w:r>
        <w:t xml:space="preserve">from the fully-fitted ensemble — produced near-perfect correlations (r up</w:t>
      </w:r>
      <w:r>
        <w:t xml:space="preserve"> </w:t>
      </w:r>
      <w:r>
        <w:t xml:space="preserve">to 1.00), but these were overfitting artifacts rather than transportable</w:t>
      </w:r>
      <w:r>
        <w:t xml:space="preserve"> </w:t>
      </w:r>
      <w:r>
        <w:t xml:space="preserve">signal; the present numbers use genuine out-of-fold prediction. The</w:t>
      </w:r>
      <w:r>
        <w:t xml:space="preserve"> </w:t>
      </w:r>
      <w:r>
        <w:t xml:space="preserve">individual-level model, fit on hundreds to thousands of individuals,</w:t>
      </w:r>
      <w:r>
        <w:t xml:space="preserve"> </w:t>
      </w:r>
      <w:r>
        <w:t xml:space="preserve">generalises better once aggregated. We report the number of areas alongside</w:t>
      </w:r>
      <w:r>
        <w:t xml:space="preserve"> </w:t>
      </w:r>
      <w:r>
        <w:t xml:space="preserve">individual sample sizes throughout and treat the individual-level aggregate</w:t>
      </w:r>
      <w:r>
        <w:t xml:space="preserve"> </w:t>
      </w:r>
      <w:r>
        <w:t xml:space="preserve">as the more reliable within-country estimator.</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three approaches: individual SuperLearner aggregated to admin-2, area-level SuperLearner with MSE loss, and area-level SuperLearner with NLL loss. Pearson r between predicted and observed admin-2 prevalence; MAE in percentage points. From results/tables/area_comparison_all.csv.</w:t>
            </w:r>
          </w:p>
          <w:tbl>
            <w:tblPr>
              <w:tblStyle w:val="Table"/>
              <w:tblW w:type="pct" w:w="5000"/>
              <w:tblLayout w:type="fixed"/>
              <w:tblLook w:firstRow="1" w:lastRow="0" w:firstColumn="0" w:lastColumn="0" w:noHBand="0" w:noVBand="0" w:val="0020"/>
            </w:tblPr>
            <w:tblGrid>
              <w:gridCol w:w="1560"/>
              <w:gridCol w:w="1560"/>
              <w:gridCol w:w="1680"/>
              <w:gridCol w:w="840"/>
              <w:gridCol w:w="1080"/>
              <w:gridCol w:w="120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0.196</w:t>
                  </w:r>
                </w:p>
              </w:tc>
              <w:tc>
                <w:tcPr/>
                <w:p>
                  <w:pPr>
                    <w:pStyle w:val="Compact"/>
                    <w:jc w:val="right"/>
                    <w:jc w:val="center"/>
                  </w:pPr>
                  <w:r>
                    <w:t xml:space="preserve">13.24</w:t>
                  </w:r>
                </w:p>
              </w:tc>
              <w:tc>
                <w:tcPr/>
                <w:p>
                  <w:pPr>
                    <w:pStyle w:val="Compact"/>
                    <w:jc w:val="right"/>
                    <w:jc w:val="center"/>
                  </w:pPr>
                  <w:r>
                    <w:t xml:space="preserve">-0.73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0.212</w:t>
                  </w:r>
                </w:p>
              </w:tc>
              <w:tc>
                <w:tcPr/>
                <w:p>
                  <w:pPr>
                    <w:pStyle w:val="Compact"/>
                    <w:jc w:val="right"/>
                    <w:jc w:val="center"/>
                  </w:pPr>
                  <w:r>
                    <w:t xml:space="preserve">13.19</w:t>
                  </w:r>
                </w:p>
              </w:tc>
              <w:tc>
                <w:tcPr/>
                <w:p>
                  <w:pPr>
                    <w:pStyle w:val="Compact"/>
                    <w:jc w:val="right"/>
                    <w:jc w:val="center"/>
                  </w:pPr>
                  <w:r>
                    <w:t xml:space="preserve">1.39</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0.528</w:t>
                  </w:r>
                </w:p>
              </w:tc>
              <w:tc>
                <w:tcPr/>
                <w:p>
                  <w:pPr>
                    <w:pStyle w:val="Compact"/>
                    <w:jc w:val="right"/>
                    <w:jc w:val="center"/>
                  </w:pPr>
                  <w:r>
                    <w:t xml:space="preserve">21.71</w:t>
                  </w:r>
                </w:p>
              </w:tc>
              <w:tc>
                <w:tcPr/>
                <w:p>
                  <w:pPr>
                    <w:pStyle w:val="Compact"/>
                    <w:jc w:val="right"/>
                    <w:jc w:val="center"/>
                  </w:pPr>
                  <w:r>
                    <w:t xml:space="preserve">-21.24</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0.400</w:t>
                  </w:r>
                </w:p>
              </w:tc>
              <w:tc>
                <w:tcPr/>
                <w:p>
                  <w:pPr>
                    <w:pStyle w:val="Compact"/>
                    <w:jc w:val="right"/>
                    <w:jc w:val="center"/>
                  </w:pPr>
                  <w:r>
                    <w:t xml:space="preserve">9.34</w:t>
                  </w:r>
                </w:p>
              </w:tc>
              <w:tc>
                <w:tcPr/>
                <w:p>
                  <w:pPr>
                    <w:pStyle w:val="Compact"/>
                    <w:jc w:val="right"/>
                    <w:jc w:val="center"/>
                  </w:pPr>
                  <w:r>
                    <w:t xml:space="preserve">0.05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0.370</w:t>
                  </w:r>
                </w:p>
              </w:tc>
              <w:tc>
                <w:tcPr/>
                <w:p>
                  <w:pPr>
                    <w:pStyle w:val="Compact"/>
                    <w:jc w:val="right"/>
                    <w:jc w:val="center"/>
                  </w:pPr>
                  <w:r>
                    <w:t xml:space="preserve">9.89</w:t>
                  </w:r>
                </w:p>
              </w:tc>
              <w:tc>
                <w:tcPr/>
                <w:p>
                  <w:pPr>
                    <w:pStyle w:val="Compact"/>
                    <w:jc w:val="right"/>
                    <w:jc w:val="center"/>
                  </w:pPr>
                  <w:r>
                    <w:t xml:space="preserve">-4.78</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0.683</w:t>
                  </w:r>
                </w:p>
              </w:tc>
              <w:tc>
                <w:tcPr/>
                <w:p>
                  <w:pPr>
                    <w:pStyle w:val="Compact"/>
                    <w:jc w:val="right"/>
                    <w:jc w:val="center"/>
                  </w:pPr>
                  <w:r>
                    <w:t xml:space="preserve">8.00</w:t>
                  </w:r>
                </w:p>
              </w:tc>
              <w:tc>
                <w:tcPr/>
                <w:p>
                  <w:pPr>
                    <w:pStyle w:val="Compact"/>
                    <w:jc w:val="right"/>
                    <w:jc w:val="center"/>
                  </w:pPr>
                  <w:r>
                    <w:t xml:space="preserve">-1.40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0.622</w:t>
                  </w:r>
                </w:p>
              </w:tc>
              <w:tc>
                <w:tcPr/>
                <w:p>
                  <w:pPr>
                    <w:pStyle w:val="Compact"/>
                    <w:jc w:val="right"/>
                    <w:jc w:val="center"/>
                  </w:pPr>
                  <w:r>
                    <w:t xml:space="preserve">10.60</w:t>
                  </w:r>
                </w:p>
              </w:tc>
              <w:tc>
                <w:tcPr/>
                <w:p>
                  <w:pPr>
                    <w:pStyle w:val="Compact"/>
                    <w:jc w:val="right"/>
                    <w:jc w:val="center"/>
                  </w:pPr>
                  <w:r>
                    <w:t xml:space="preserve">-0.80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0.616</w:t>
                  </w:r>
                </w:p>
              </w:tc>
              <w:tc>
                <w:tcPr/>
                <w:p>
                  <w:pPr>
                    <w:pStyle w:val="Compact"/>
                    <w:jc w:val="right"/>
                    <w:jc w:val="center"/>
                  </w:pPr>
                  <w:r>
                    <w:t xml:space="preserve">10.63</w:t>
                  </w:r>
                </w:p>
              </w:tc>
              <w:tc>
                <w:tcPr/>
                <w:p>
                  <w:pPr>
                    <w:pStyle w:val="Compact"/>
                    <w:jc w:val="right"/>
                    <w:jc w:val="center"/>
                  </w:pPr>
                  <w:r>
                    <w:t xml:space="preserve">-0.54</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0.692</w:t>
                  </w:r>
                </w:p>
              </w:tc>
              <w:tc>
                <w:tcPr/>
                <w:p>
                  <w:pPr>
                    <w:pStyle w:val="Compact"/>
                    <w:jc w:val="right"/>
                    <w:jc w:val="center"/>
                  </w:pPr>
                  <w:r>
                    <w:t xml:space="preserve">17.89</w:t>
                  </w:r>
                </w:p>
              </w:tc>
              <w:tc>
                <w:tcPr/>
                <w:p>
                  <w:pPr>
                    <w:pStyle w:val="Compact"/>
                    <w:jc w:val="right"/>
                    <w:jc w:val="center"/>
                  </w:pPr>
                  <w:r>
                    <w:t xml:space="preserve">-17.89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0.325</w:t>
                  </w:r>
                </w:p>
              </w:tc>
              <w:tc>
                <w:tcPr/>
                <w:p>
                  <w:pPr>
                    <w:pStyle w:val="Compact"/>
                    <w:jc w:val="right"/>
                    <w:jc w:val="center"/>
                  </w:pPr>
                  <w:r>
                    <w:t xml:space="preserve">3.55</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-0.014</w:t>
                  </w:r>
                </w:p>
              </w:tc>
              <w:tc>
                <w:tcPr/>
                <w:p>
                  <w:pPr>
                    <w:pStyle w:val="Compact"/>
                    <w:jc w:val="right"/>
                    <w:jc w:val="center"/>
                  </w:pPr>
                  <w:r>
                    <w:t xml:space="preserve">3.72</w:t>
                  </w:r>
                </w:p>
              </w:tc>
              <w:tc>
                <w:tcPr/>
                <w:p>
                  <w:pPr>
                    <w:pStyle w:val="Compact"/>
                    <w:jc w:val="right"/>
                    <w:jc w:val="center"/>
                  </w:pPr>
                  <w:r>
                    <w:t xml:space="preserve">-1.92</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0.510</w:t>
                  </w:r>
                </w:p>
              </w:tc>
              <w:tc>
                <w:tcPr/>
                <w:p>
                  <w:pPr>
                    <w:pStyle w:val="Compact"/>
                    <w:jc w:val="right"/>
                    <w:jc w:val="center"/>
                  </w:pPr>
                  <w:r>
                    <w:t xml:space="preserve">3.02</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0.590</w:t>
                  </w:r>
                </w:p>
              </w:tc>
              <w:tc>
                <w:tcPr/>
                <w:p>
                  <w:pPr>
                    <w:pStyle w:val="Compact"/>
                    <w:jc w:val="right"/>
                    <w:jc w:val="center"/>
                  </w:pPr>
                  <w:r>
                    <w:t xml:space="preserve">11.35</w:t>
                  </w:r>
                </w:p>
              </w:tc>
              <w:tc>
                <w:tcPr/>
                <w:p>
                  <w:pPr>
                    <w:pStyle w:val="Compact"/>
                    <w:jc w:val="right"/>
                    <w:jc w:val="center"/>
                  </w:pPr>
                  <w:r>
                    <w:t xml:space="preserve">0.14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0.544</w:t>
                  </w:r>
                </w:p>
              </w:tc>
              <w:tc>
                <w:tcPr/>
                <w:p>
                  <w:pPr>
                    <w:pStyle w:val="Compact"/>
                    <w:jc w:val="right"/>
                    <w:jc w:val="center"/>
                  </w:pPr>
                  <w:r>
                    <w:t xml:space="preserve">13.97</w:t>
                  </w:r>
                </w:p>
              </w:tc>
              <w:tc>
                <w:tcPr/>
                <w:p>
                  <w:pPr>
                    <w:pStyle w:val="Compact"/>
                    <w:jc w:val="right"/>
                    <w:jc w:val="center"/>
                  </w:pPr>
                  <w:r>
                    <w:t xml:space="preserve">-6.28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0.736</w:t>
                  </w:r>
                </w:p>
              </w:tc>
              <w:tc>
                <w:tcPr/>
                <w:p>
                  <w:pPr>
                    <w:pStyle w:val="Compact"/>
                    <w:jc w:val="right"/>
                    <w:jc w:val="center"/>
                  </w:pPr>
                  <w:r>
                    <w:t xml:space="preserve">9.72</w:t>
                  </w:r>
                </w:p>
              </w:tc>
              <w:tc>
                <w:tcPr/>
                <w:p>
                  <w:pPr>
                    <w:pStyle w:val="Compact"/>
                    <w:jc w:val="right"/>
                    <w:jc w:val="center"/>
                  </w:pPr>
                  <w:r>
                    <w:t xml:space="preserve">0.83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0.289</w:t>
                  </w:r>
                </w:p>
              </w:tc>
              <w:tc>
                <w:tcPr/>
                <w:p>
                  <w:pPr>
                    <w:pStyle w:val="Compact"/>
                    <w:jc w:val="right"/>
                    <w:jc w:val="center"/>
                  </w:pPr>
                  <w:r>
                    <w:t xml:space="preserve">9.28</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0.281</w:t>
                  </w:r>
                </w:p>
              </w:tc>
              <w:tc>
                <w:tcPr/>
                <w:p>
                  <w:pPr>
                    <w:pStyle w:val="Compact"/>
                    <w:jc w:val="right"/>
                    <w:jc w:val="center"/>
                  </w:pPr>
                  <w:r>
                    <w:t xml:space="preserve">11.02</w:t>
                  </w:r>
                </w:p>
              </w:tc>
              <w:tc>
                <w:tcPr/>
                <w:p>
                  <w:pPr>
                    <w:pStyle w:val="Compact"/>
                    <w:jc w:val="right"/>
                    <w:jc w:val="center"/>
                  </w:pPr>
                  <w:r>
                    <w:t xml:space="preserve">-7.60</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-0.326</w:t>
                  </w:r>
                </w:p>
              </w:tc>
              <w:tc>
                <w:tcPr/>
                <w:p>
                  <w:pPr>
                    <w:pStyle w:val="Compact"/>
                    <w:jc w:val="right"/>
                    <w:jc w:val="center"/>
                  </w:pPr>
                  <w:r>
                    <w:t xml:space="preserve">9.96</w:t>
                  </w:r>
                </w:p>
              </w:tc>
              <w:tc>
                <w:tcPr/>
                <w:p>
                  <w:pPr>
                    <w:pStyle w:val="Compact"/>
                    <w:jc w:val="right"/>
                    <w:jc w:val="center"/>
                  </w:pPr>
                  <w:r>
                    <w:t xml:space="preserve">1.44</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0.125</w:t>
                  </w:r>
                </w:p>
              </w:tc>
              <w:tc>
                <w:tcPr/>
                <w:p>
                  <w:pPr>
                    <w:pStyle w:val="Compact"/>
                    <w:jc w:val="right"/>
                    <w:jc w:val="center"/>
                  </w:pPr>
                  <w:r>
                    <w:t xml:space="preserve">12.21</w:t>
                  </w:r>
                </w:p>
              </w:tc>
              <w:tc>
                <w:tcPr/>
                <w:p>
                  <w:pPr>
                    <w:pStyle w:val="Compact"/>
                    <w:jc w:val="right"/>
                    <w:jc w:val="center"/>
                  </w:pPr>
                  <w:r>
                    <w:t xml:space="preserve">1.52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0.396</w:t>
                  </w:r>
                </w:p>
              </w:tc>
              <w:tc>
                <w:tcPr/>
                <w:p>
                  <w:pPr>
                    <w:pStyle w:val="Compact"/>
                    <w:jc w:val="right"/>
                    <w:jc w:val="center"/>
                  </w:pPr>
                  <w:r>
                    <w:t xml:space="preserve">8.95</w:t>
                  </w:r>
                </w:p>
              </w:tc>
              <w:tc>
                <w:tcPr/>
                <w:p>
                  <w:pPr>
                    <w:pStyle w:val="Compact"/>
                    <w:jc w:val="right"/>
                    <w:jc w:val="center"/>
                  </w:pPr>
                  <w:r>
                    <w:t xml:space="preserve">-7.13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0.677</w:t>
                  </w:r>
                </w:p>
              </w:tc>
              <w:tc>
                <w:tcPr/>
                <w:p>
                  <w:pPr>
                    <w:pStyle w:val="Compact"/>
                    <w:jc w:val="right"/>
                    <w:jc w:val="center"/>
                  </w:pPr>
                  <w:r>
                    <w:t xml:space="preserve">8.59</w:t>
                  </w:r>
                </w:p>
              </w:tc>
              <w:tc>
                <w:tcPr/>
                <w:p>
                  <w:pPr>
                    <w:pStyle w:val="Compact"/>
                    <w:jc w:val="right"/>
                    <w:jc w:val="center"/>
                  </w:pPr>
                  <w:r>
                    <w:t xml:space="preserve">-1.07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0.428</w:t>
                  </w:r>
                </w:p>
              </w:tc>
              <w:tc>
                <w:tcPr/>
                <w:p>
                  <w:pPr>
                    <w:pStyle w:val="Compact"/>
                    <w:jc w:val="right"/>
                    <w:jc w:val="center"/>
                  </w:pPr>
                  <w:r>
                    <w:t xml:space="preserve">22.44</w:t>
                  </w:r>
                </w:p>
              </w:tc>
              <w:tc>
                <w:tcPr/>
                <w:p>
                  <w:pPr>
                    <w:pStyle w:val="Compact"/>
                    <w:jc w:val="right"/>
                    <w:jc w:val="center"/>
                  </w:pPr>
                  <w:r>
                    <w:t xml:space="preserve">1.48</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0.409</w:t>
                  </w:r>
                </w:p>
              </w:tc>
              <w:tc>
                <w:tcPr/>
                <w:p>
                  <w:pPr>
                    <w:pStyle w:val="Compact"/>
                    <w:jc w:val="right"/>
                    <w:jc w:val="center"/>
                  </w:pPr>
                  <w:r>
                    <w:t xml:space="preserve">23.77</w:t>
                  </w:r>
                </w:p>
              </w:tc>
              <w:tc>
                <w:tcPr/>
                <w:p>
                  <w:pPr>
                    <w:pStyle w:val="Compact"/>
                    <w:jc w:val="right"/>
                    <w:jc w:val="center"/>
                  </w:pPr>
                  <w:r>
                    <w:t xml:space="preserve">3.63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0.504</w:t>
                  </w:r>
                </w:p>
              </w:tc>
              <w:tc>
                <w:tcPr/>
                <w:p>
                  <w:pPr>
                    <w:pStyle w:val="Compact"/>
                    <w:jc w:val="right"/>
                    <w:jc w:val="center"/>
                  </w:pPr>
                  <w:r>
                    <w:t xml:space="preserve">20.83</w:t>
                  </w:r>
                </w:p>
              </w:tc>
              <w:tc>
                <w:tcPr/>
                <w:p>
                  <w:pPr>
                    <w:pStyle w:val="Compact"/>
                    <w:jc w:val="right"/>
                    <w:jc w:val="center"/>
                  </w:pPr>
                  <w:r>
                    <w:t xml:space="preserve">-0.37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0.474</w:t>
                  </w:r>
                </w:p>
              </w:tc>
              <w:tc>
                <w:tcPr/>
                <w:p>
                  <w:pPr>
                    <w:pStyle w:val="Compact"/>
                    <w:jc w:val="right"/>
                    <w:jc w:val="center"/>
                  </w:pPr>
                  <w:r>
                    <w:t xml:space="preserve">8.46</w:t>
                  </w:r>
                </w:p>
              </w:tc>
              <w:tc>
                <w:tcPr/>
                <w:p>
                  <w:pPr>
                    <w:pStyle w:val="Compact"/>
                    <w:jc w:val="right"/>
                    <w:jc w:val="center"/>
                  </w:pPr>
                  <w:r>
                    <w:t xml:space="preserve">0.13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0.326</w:t>
                  </w:r>
                </w:p>
              </w:tc>
              <w:tc>
                <w:tcPr/>
                <w:p>
                  <w:pPr>
                    <w:pStyle w:val="Compact"/>
                    <w:jc w:val="right"/>
                    <w:jc w:val="center"/>
                  </w:pPr>
                  <w:r>
                    <w:t xml:space="preserve">9.78</w:t>
                  </w:r>
                </w:p>
              </w:tc>
              <w:tc>
                <w:tcPr/>
                <w:p>
                  <w:pPr>
                    <w:pStyle w:val="Compact"/>
                    <w:jc w:val="right"/>
                    <w:jc w:val="center"/>
                  </w:pPr>
                  <w:r>
                    <w:t xml:space="preserve">-5.94</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0.510</w:t>
                  </w:r>
                </w:p>
              </w:tc>
              <w:tc>
                <w:tcPr/>
                <w:p>
                  <w:pPr>
                    <w:pStyle w:val="Compact"/>
                    <w:jc w:val="right"/>
                    <w:jc w:val="center"/>
                  </w:pPr>
                  <w:r>
                    <w:t xml:space="preserve">8.65</w:t>
                  </w:r>
                </w:p>
              </w:tc>
              <w:tc>
                <w:tcPr/>
                <w:p>
                  <w:pPr>
                    <w:pStyle w:val="Compact"/>
                    <w:jc w:val="right"/>
                    <w:jc w:val="center"/>
                  </w:pPr>
                  <w:r>
                    <w:t xml:space="preserve">-3.91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-0.241</w:t>
                  </w:r>
                </w:p>
              </w:tc>
              <w:tc>
                <w:tcPr/>
                <w:p>
                  <w:pPr>
                    <w:pStyle w:val="Compact"/>
                    <w:jc w:val="right"/>
                    <w:jc w:val="center"/>
                  </w:pPr>
                  <w:r>
                    <w:t xml:space="preserve">2.85</w:t>
                  </w:r>
                </w:p>
              </w:tc>
              <w:tc>
                <w:tcPr/>
                <w:p>
                  <w:pPr>
                    <w:pStyle w:val="Compact"/>
                    <w:jc w:val="right"/>
                    <w:jc w:val="center"/>
                  </w:pPr>
                  <w:r>
                    <w:t xml:space="preserve">0.04</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-0.207</w:t>
                  </w:r>
                </w:p>
              </w:tc>
              <w:tc>
                <w:tcPr/>
                <w:p>
                  <w:pPr>
                    <w:pStyle w:val="Compact"/>
                    <w:jc w:val="right"/>
                    <w:jc w:val="center"/>
                  </w:pPr>
                  <w:r>
                    <w:t xml:space="preserve">1.89</w:t>
                  </w:r>
                </w:p>
              </w:tc>
              <w:tc>
                <w:tcPr/>
                <w:p>
                  <w:pPr>
                    <w:pStyle w:val="Compact"/>
                    <w:jc w:val="right"/>
                    <w:jc w:val="center"/>
                  </w:pPr>
                  <w:r>
                    <w:t xml:space="preserve">-1.29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-0.304</w:t>
                  </w:r>
                </w:p>
              </w:tc>
              <w:tc>
                <w:tcPr/>
                <w:p>
                  <w:pPr>
                    <w:pStyle w:val="Compact"/>
                    <w:jc w:val="right"/>
                    <w:jc w:val="center"/>
                  </w:pPr>
                  <w:r>
                    <w:t xml:space="preserve">2.72</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0.227</w:t>
                  </w:r>
                </w:p>
              </w:tc>
              <w:tc>
                <w:tcPr/>
                <w:p>
                  <w:pPr>
                    <w:pStyle w:val="Compact"/>
                    <w:jc w:val="right"/>
                    <w:jc w:val="center"/>
                  </w:pPr>
                  <w:r>
                    <w:t xml:space="preserve">11.53</w:t>
                  </w:r>
                </w:p>
              </w:tc>
              <w:tc>
                <w:tcPr/>
                <w:p>
                  <w:pPr>
                    <w:pStyle w:val="Compact"/>
                    <w:jc w:val="right"/>
                    <w:jc w:val="center"/>
                  </w:pPr>
                  <w:r>
                    <w:t xml:space="preserve">-0.40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0.197</w:t>
                  </w:r>
                </w:p>
              </w:tc>
              <w:tc>
                <w:tcPr/>
                <w:p>
                  <w:pPr>
                    <w:pStyle w:val="Compact"/>
                    <w:jc w:val="right"/>
                    <w:jc w:val="center"/>
                  </w:pPr>
                  <w:r>
                    <w:t xml:space="preserve">13.56</w:t>
                  </w:r>
                </w:p>
              </w:tc>
              <w:tc>
                <w:tcPr/>
                <w:p>
                  <w:pPr>
                    <w:pStyle w:val="Compact"/>
                    <w:jc w:val="right"/>
                    <w:jc w:val="center"/>
                  </w:pPr>
                  <w:r>
                    <w:t xml:space="preserve">-6.98</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0.335</w:t>
                  </w:r>
                </w:p>
              </w:tc>
              <w:tc>
                <w:tcPr/>
                <w:p>
                  <w:pPr>
                    <w:pStyle w:val="Compact"/>
                    <w:jc w:val="right"/>
                    <w:jc w:val="center"/>
                  </w:pPr>
                  <w:r>
                    <w:t xml:space="preserve">12.46</w:t>
                  </w:r>
                </w:p>
              </w:tc>
              <w:tc>
                <w:tcPr/>
                <w:p>
                  <w:pPr>
                    <w:pStyle w:val="Compact"/>
                    <w:jc w:val="right"/>
                    <w:jc w:val="center"/>
                  </w:pPr>
                  <w:r>
                    <w:t xml:space="preserve">-9.12</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0.094</w:t>
                  </w:r>
                </w:p>
              </w:tc>
              <w:tc>
                <w:tcPr/>
                <w:p>
                  <w:pPr>
                    <w:pStyle w:val="Compact"/>
                    <w:jc w:val="right"/>
                    <w:jc w:val="center"/>
                  </w:pPr>
                  <w:r>
                    <w:t xml:space="preserve">8.52</w:t>
                  </w:r>
                </w:p>
              </w:tc>
              <w:tc>
                <w:tcPr/>
                <w:p>
                  <w:pPr>
                    <w:pStyle w:val="Compact"/>
                    <w:jc w:val="right"/>
                    <w:jc w:val="center"/>
                  </w:pPr>
                  <w:r>
                    <w:t xml:space="preserve">0.35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0.099</w:t>
                  </w:r>
                </w:p>
              </w:tc>
              <w:tc>
                <w:tcPr/>
                <w:p>
                  <w:pPr>
                    <w:pStyle w:val="Compact"/>
                    <w:jc w:val="right"/>
                    <w:jc w:val="center"/>
                  </w:pPr>
                  <w:r>
                    <w:t xml:space="preserve">8.23</w:t>
                  </w:r>
                </w:p>
              </w:tc>
              <w:tc>
                <w:tcPr/>
                <w:p>
                  <w:pPr>
                    <w:pStyle w:val="Compact"/>
                    <w:jc w:val="right"/>
                    <w:jc w:val="center"/>
                  </w:pPr>
                  <w:r>
                    <w:t xml:space="preserve">-6.23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0.184</w:t>
                  </w:r>
                </w:p>
              </w:tc>
              <w:tc>
                <w:tcPr/>
                <w:p>
                  <w:pPr>
                    <w:pStyle w:val="Compact"/>
                    <w:jc w:val="right"/>
                    <w:jc w:val="center"/>
                  </w:pPr>
                  <w:r>
                    <w:t xml:space="preserve">8.19</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-0.166</w:t>
                  </w:r>
                </w:p>
              </w:tc>
              <w:tc>
                <w:tcPr/>
                <w:p>
                  <w:pPr>
                    <w:pStyle w:val="Compact"/>
                    <w:jc w:val="right"/>
                    <w:jc w:val="center"/>
                  </w:pPr>
                  <w:r>
                    <w:t xml:space="preserve">21.79</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-0.226</w:t>
                  </w:r>
                </w:p>
              </w:tc>
              <w:tc>
                <w:tcPr/>
                <w:p>
                  <w:pPr>
                    <w:pStyle w:val="Compact"/>
                    <w:jc w:val="right"/>
                    <w:jc w:val="center"/>
                  </w:pPr>
                  <w:r>
                    <w:t xml:space="preserve">24.03</w:t>
                  </w:r>
                </w:p>
              </w:tc>
              <w:tc>
                <w:tcPr/>
                <w:p>
                  <w:pPr>
                    <w:pStyle w:val="Compact"/>
                    <w:jc w:val="right"/>
                    <w:jc w:val="center"/>
                  </w:pPr>
                  <w:r>
                    <w:t xml:space="preserve">1.80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-0.223</w:t>
                  </w:r>
                </w:p>
              </w:tc>
              <w:tc>
                <w:tcPr/>
                <w:p>
                  <w:pPr>
                    <w:pStyle w:val="Compact"/>
                    <w:jc w:val="right"/>
                    <w:jc w:val="center"/>
                  </w:pPr>
                  <w:r>
                    <w:t xml:space="preserve">20.23</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0.130</w:t>
                  </w:r>
                </w:p>
              </w:tc>
              <w:tc>
                <w:tcPr/>
                <w:p>
                  <w:pPr>
                    <w:pStyle w:val="Compact"/>
                    <w:jc w:val="right"/>
                    <w:jc w:val="center"/>
                  </w:pPr>
                  <w:r>
                    <w:t xml:space="preserve">4.54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-0.063</w:t>
                  </w:r>
                </w:p>
              </w:tc>
              <w:tc>
                <w:tcPr/>
                <w:p>
                  <w:pPr>
                    <w:pStyle w:val="Compact"/>
                    <w:jc w:val="right"/>
                    <w:jc w:val="center"/>
                  </w:pPr>
                  <w:r>
                    <w:t xml:space="preserve">3.41</w:t>
                  </w:r>
                </w:p>
              </w:tc>
              <w:tc>
                <w:tcPr/>
                <w:p>
                  <w:pPr>
                    <w:pStyle w:val="Compact"/>
                    <w:jc w:val="right"/>
                    <w:jc w:val="center"/>
                  </w:pPr>
                  <w:r>
                    <w:t xml:space="preserve">-2.32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0.402</w:t>
                  </w:r>
                </w:p>
              </w:tc>
              <w:tc>
                <w:tcPr/>
                <w:p>
                  <w:pPr>
                    <w:pStyle w:val="Compact"/>
                    <w:jc w:val="right"/>
                    <w:jc w:val="center"/>
                  </w:pPr>
                  <w:r>
                    <w:t xml:space="preserve">4.06</w:t>
                  </w:r>
                </w:p>
              </w:tc>
              <w:tc>
                <w:tcPr/>
                <w:p>
                  <w:pPr>
                    <w:pStyle w:val="Compact"/>
                    <w:jc w:val="right"/>
                    <w:jc w:val="center"/>
                  </w:pPr>
                  <w:r>
                    <w:t xml:space="preserve">0.40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0.360</w:t>
                  </w:r>
                </w:p>
              </w:tc>
              <w:tc>
                <w:tcPr/>
                <w:p>
                  <w:pPr>
                    <w:pStyle w:val="Compact"/>
                    <w:jc w:val="right"/>
                    <w:jc w:val="center"/>
                  </w:pPr>
                  <w:r>
                    <w:t xml:space="preserve">15.53</w:t>
                  </w:r>
                </w:p>
              </w:tc>
              <w:tc>
                <w:tcPr/>
                <w:p>
                  <w:pPr>
                    <w:pStyle w:val="Compact"/>
                    <w:jc w:val="right"/>
                    <w:jc w:val="center"/>
                  </w:pPr>
                  <w:r>
                    <w:t xml:space="preserve">0.56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0.283</w:t>
                  </w:r>
                </w:p>
              </w:tc>
              <w:tc>
                <w:tcPr/>
                <w:p>
                  <w:pPr>
                    <w:pStyle w:val="Compact"/>
                    <w:jc w:val="right"/>
                    <w:jc w:val="center"/>
                  </w:pPr>
                  <w:r>
                    <w:t xml:space="preserve">16.84</w:t>
                  </w:r>
                </w:p>
              </w:tc>
              <w:tc>
                <w:tcPr/>
                <w:p>
                  <w:pPr>
                    <w:pStyle w:val="Compact"/>
                    <w:jc w:val="right"/>
                    <w:jc w:val="center"/>
                  </w:pPr>
                  <w:r>
                    <w:t xml:space="preserve">-10.89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0.563</w:t>
                  </w:r>
                </w:p>
              </w:tc>
              <w:tc>
                <w:tcPr/>
                <w:p>
                  <w:pPr>
                    <w:pStyle w:val="Compact"/>
                    <w:jc w:val="right"/>
                    <w:jc w:val="center"/>
                  </w:pPr>
                  <w:r>
                    <w:t xml:space="preserve">12.95</w:t>
                  </w:r>
                </w:p>
              </w:tc>
              <w:tc>
                <w:tcPr/>
                <w:p>
                  <w:pPr>
                    <w:pStyle w:val="Compact"/>
                    <w:jc w:val="right"/>
                    <w:jc w:val="center"/>
                  </w:pPr>
                  <w:r>
                    <w:t xml:space="preserve">0.79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0.109</w:t>
                  </w:r>
                </w:p>
              </w:tc>
              <w:tc>
                <w:tcPr/>
                <w:p>
                  <w:pPr>
                    <w:pStyle w:val="Compact"/>
                    <w:jc w:val="right"/>
                    <w:jc w:val="center"/>
                  </w:pPr>
                  <w:r>
                    <w:t xml:space="preserve">14.53</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0.076</w:t>
                  </w:r>
                </w:p>
              </w:tc>
              <w:tc>
                <w:tcPr/>
                <w:p>
                  <w:pPr>
                    <w:pStyle w:val="Compact"/>
                    <w:jc w:val="right"/>
                    <w:jc w:val="center"/>
                  </w:pPr>
                  <w:r>
                    <w:t xml:space="preserve">15.36</w:t>
                  </w:r>
                </w:p>
              </w:tc>
              <w:tc>
                <w:tcPr/>
                <w:p>
                  <w:pPr>
                    <w:pStyle w:val="Compact"/>
                    <w:jc w:val="right"/>
                    <w:jc w:val="center"/>
                  </w:pPr>
                  <w:r>
                    <w:t xml:space="preserve">-11.31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0.301</w:t>
                  </w:r>
                </w:p>
              </w:tc>
              <w:tc>
                <w:tcPr/>
                <w:p>
                  <w:pPr>
                    <w:pStyle w:val="Compact"/>
                    <w:jc w:val="right"/>
                    <w:jc w:val="center"/>
                  </w:pPr>
                  <w:r>
                    <w:t xml:space="preserve">13.48</w:t>
                  </w:r>
                </w:p>
              </w:tc>
              <w:tc>
                <w:tcPr/>
                <w:p>
                  <w:pPr>
                    <w:pStyle w:val="Compact"/>
                    <w:jc w:val="right"/>
                    <w:jc w:val="center"/>
                  </w:pPr>
                  <w:r>
                    <w:t xml:space="preserve">-7.97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-0.109</w:t>
                  </w:r>
                </w:p>
              </w:tc>
              <w:tc>
                <w:tcPr/>
                <w:p>
                  <w:pPr>
                    <w:pStyle w:val="Compact"/>
                    <w:jc w:val="right"/>
                    <w:jc w:val="center"/>
                  </w:pPr>
                  <w:r>
                    <w:t xml:space="preserve">3.03</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-0.109</w:t>
                  </w:r>
                </w:p>
              </w:tc>
              <w:tc>
                <w:tcPr/>
                <w:p>
                  <w:pPr>
                    <w:pStyle w:val="Compact"/>
                    <w:jc w:val="right"/>
                    <w:jc w:val="center"/>
                  </w:pPr>
                  <w:r>
                    <w:t xml:space="preserve">1.81</w:t>
                  </w:r>
                </w:p>
              </w:tc>
              <w:tc>
                <w:tcPr/>
                <w:p>
                  <w:pPr>
                    <w:pStyle w:val="Compact"/>
                    <w:jc w:val="right"/>
                    <w:jc w:val="center"/>
                  </w:pPr>
                  <w:r>
                    <w:t xml:space="preserve">-1.35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0.116</w:t>
                  </w:r>
                </w:p>
              </w:tc>
              <w:tc>
                <w:tcPr/>
                <w:p>
                  <w:pPr>
                    <w:pStyle w:val="Compact"/>
                    <w:jc w:val="right"/>
                    <w:jc w:val="center"/>
                  </w:pPr>
                  <w:r>
                    <w:t xml:space="preserve">2.05</w:t>
                  </w:r>
                </w:p>
              </w:tc>
              <w:tc>
                <w:tcPr/>
                <w:p>
                  <w:pPr>
                    <w:pStyle w:val="Compact"/>
                    <w:jc w:val="right"/>
                    <w:jc w:val="center"/>
                  </w:pPr>
                  <w:r>
                    <w:t xml:space="preserve">-0.84</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-0.288</w:t>
                  </w:r>
                </w:p>
              </w:tc>
              <w:tc>
                <w:tcPr/>
                <w:p>
                  <w:pPr>
                    <w:pStyle w:val="Compact"/>
                    <w:jc w:val="right"/>
                    <w:jc w:val="center"/>
                  </w:pPr>
                  <w:r>
                    <w:t xml:space="preserve">25.24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-0.220</w:t>
                  </w:r>
                </w:p>
              </w:tc>
              <w:tc>
                <w:tcPr/>
                <w:p>
                  <w:pPr>
                    <w:pStyle w:val="Compact"/>
                    <w:jc w:val="right"/>
                    <w:jc w:val="center"/>
                  </w:pPr>
                  <w:r>
                    <w:t xml:space="preserve">28.03</w:t>
                  </w:r>
                </w:p>
              </w:tc>
              <w:tc>
                <w:tcPr/>
                <w:p>
                  <w:pPr>
                    <w:pStyle w:val="Compact"/>
                    <w:jc w:val="right"/>
                    <w:jc w:val="center"/>
                  </w:pPr>
                  <w:r>
                    <w:t xml:space="preserve">15.98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0.148</w:t>
                  </w:r>
                </w:p>
              </w:tc>
              <w:tc>
                <w:tcPr/>
                <w:p>
                  <w:pPr>
                    <w:pStyle w:val="Compact"/>
                    <w:jc w:val="right"/>
                    <w:jc w:val="center"/>
                  </w:pPr>
                  <w:r>
                    <w:t xml:space="preserve">21.69</w:t>
                  </w:r>
                </w:p>
              </w:tc>
              <w:tc>
                <w:tcPr/>
                <w:p>
                  <w:pPr>
                    <w:pStyle w:val="Compact"/>
                    <w:jc w:val="right"/>
                    <w:jc w:val="center"/>
                  </w:pPr>
                  <w:r>
                    <w:t xml:space="preserve">-0.90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-0.281</w:t>
                  </w:r>
                </w:p>
              </w:tc>
              <w:tc>
                <w:tcPr/>
                <w:p>
                  <w:pPr>
                    <w:pStyle w:val="Compact"/>
                    <w:jc w:val="right"/>
                    <w:jc w:val="center"/>
                  </w:pPr>
                  <w:r>
                    <w:t xml:space="preserve">4.57</w:t>
                  </w:r>
                </w:p>
              </w:tc>
              <w:tc>
                <w:tcPr/>
                <w:p>
                  <w:pPr>
                    <w:pStyle w:val="Compact"/>
                    <w:jc w:val="right"/>
                    <w:jc w:val="center"/>
                  </w:pPr>
                  <w:r>
                    <w:t xml:space="preserve">-0.22</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-0.293</w:t>
                  </w:r>
                </w:p>
              </w:tc>
              <w:tc>
                <w:tcPr/>
                <w:p>
                  <w:pPr>
                    <w:pStyle w:val="Compact"/>
                    <w:jc w:val="right"/>
                    <w:jc w:val="center"/>
                  </w:pPr>
                  <w:r>
                    <w:t xml:space="preserve">5.58</w:t>
                  </w:r>
                </w:p>
              </w:tc>
              <w:tc>
                <w:tcPr/>
                <w:p>
                  <w:pPr>
                    <w:pStyle w:val="Compact"/>
                    <w:jc w:val="right"/>
                    <w:jc w:val="center"/>
                  </w:pPr>
                  <w:r>
                    <w:t xml:space="preserve">-1.35</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0.594</w:t>
                  </w:r>
                </w:p>
              </w:tc>
              <w:tc>
                <w:tcPr/>
                <w:p>
                  <w:pPr>
                    <w:pStyle w:val="Compact"/>
                    <w:jc w:val="right"/>
                    <w:jc w:val="center"/>
                  </w:pPr>
                  <w:r>
                    <w:t xml:space="preserve">2.86</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-0.624</w:t>
                  </w:r>
                </w:p>
              </w:tc>
              <w:tc>
                <w:tcPr/>
                <w:p>
                  <w:pPr>
                    <w:pStyle w:val="Compact"/>
                    <w:jc w:val="right"/>
                    <w:jc w:val="center"/>
                  </w:pPr>
                  <w:r>
                    <w:t xml:space="preserve">6.42</w:t>
                  </w:r>
                </w:p>
              </w:tc>
              <w:tc>
                <w:tcPr/>
                <w:p>
                  <w:pPr>
                    <w:pStyle w:val="Compact"/>
                    <w:jc w:val="right"/>
                    <w:jc w:val="center"/>
                  </w:pPr>
                  <w:r>
                    <w:t xml:space="preserve">0.65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-0.246</w:t>
                  </w:r>
                </w:p>
              </w:tc>
              <w:tc>
                <w:tcPr/>
                <w:p>
                  <w:pPr>
                    <w:pStyle w:val="Compact"/>
                    <w:jc w:val="right"/>
                    <w:jc w:val="center"/>
                  </w:pPr>
                  <w:r>
                    <w:t xml:space="preserve">6.04</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0.569</w:t>
                  </w:r>
                </w:p>
              </w:tc>
              <w:tc>
                <w:tcPr/>
                <w:p>
                  <w:pPr>
                    <w:pStyle w:val="Compact"/>
                    <w:jc w:val="right"/>
                    <w:jc w:val="center"/>
                  </w:pPr>
                  <w:r>
                    <w:t xml:space="preserve">3.88</w:t>
                  </w:r>
                </w:p>
              </w:tc>
              <w:tc>
                <w:tcPr/>
                <w:p>
                  <w:pPr>
                    <w:pStyle w:val="Compact"/>
                    <w:jc w:val="right"/>
                    <w:jc w:val="center"/>
                  </w:pPr>
                  <w:r>
                    <w:t xml:space="preserve">1.27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-0.572</w:t>
                  </w:r>
                </w:p>
              </w:tc>
              <w:tc>
                <w:tcPr/>
                <w:p>
                  <w:pPr>
                    <w:pStyle w:val="Compact"/>
                    <w:jc w:val="right"/>
                    <w:jc w:val="center"/>
                  </w:pPr>
                  <w:r>
                    <w:t xml:space="preserve">0.73</w:t>
                  </w:r>
                </w:p>
              </w:tc>
              <w:tc>
                <w:tcPr/>
                <w:p>
                  <w:pPr>
                    <w:pStyle w:val="Compact"/>
                    <w:jc w:val="right"/>
                    <w:jc w:val="center"/>
                  </w:pPr>
                  <w:r>
                    <w:t xml:space="preserve">0.08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-0.438</w:t>
                  </w:r>
                </w:p>
              </w:tc>
              <w:tc>
                <w:tcPr/>
                <w:p>
                  <w:pPr>
                    <w:pStyle w:val="Compact"/>
                    <w:jc w:val="right"/>
                    <w:jc w:val="center"/>
                  </w:pPr>
                  <w:r>
                    <w:t xml:space="preserve">0.58</w:t>
                  </w:r>
                </w:p>
              </w:tc>
              <w:tc>
                <w:tcPr/>
                <w:p>
                  <w:pPr>
                    <w:pStyle w:val="Compact"/>
                    <w:jc w:val="right"/>
                    <w:jc w:val="center"/>
                  </w:pPr>
                  <w:r>
                    <w:t xml:space="preserve">-0.14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-0.290</w:t>
                  </w:r>
                </w:p>
              </w:tc>
              <w:tc>
                <w:tcPr/>
                <w:p>
                  <w:pPr>
                    <w:pStyle w:val="Compact"/>
                    <w:jc w:val="right"/>
                    <w:jc w:val="center"/>
                  </w:pPr>
                  <w:r>
                    <w:t xml:space="preserve">0.67</w:t>
                  </w:r>
                </w:p>
              </w:tc>
              <w:tc>
                <w:tcPr/>
                <w:p>
                  <w:pPr>
                    <w:pStyle w:val="Compact"/>
                    <w:jc w:val="right"/>
                    <w:jc w:val="center"/>
                  </w:pPr>
                  <w:r>
                    <w:t xml:space="preserve">0.10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-0.166</w:t>
                  </w:r>
                </w:p>
              </w:tc>
              <w:tc>
                <w:tcPr/>
                <w:p>
                  <w:pPr>
                    <w:pStyle w:val="Compact"/>
                    <w:jc w:val="right"/>
                    <w:jc w:val="center"/>
                  </w:pPr>
                  <w:r>
                    <w:t xml:space="preserve">10.37</w:t>
                  </w:r>
                </w:p>
              </w:tc>
              <w:tc>
                <w:tcPr/>
                <w:p>
                  <w:pPr>
                    <w:pStyle w:val="Compact"/>
                    <w:jc w:val="right"/>
                    <w:jc w:val="center"/>
                  </w:pPr>
                  <w:r>
                    <w:t xml:space="preserve">-1.90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0.218</w:t>
                  </w:r>
                </w:p>
              </w:tc>
              <w:tc>
                <w:tcPr/>
                <w:p>
                  <w:pPr>
                    <w:pStyle w:val="Compact"/>
                    <w:jc w:val="right"/>
                    <w:jc w:val="center"/>
                  </w:pPr>
                  <w:r>
                    <w:t xml:space="preserve">13.28</w:t>
                  </w:r>
                </w:p>
              </w:tc>
              <w:tc>
                <w:tcPr/>
                <w:p>
                  <w:pPr>
                    <w:pStyle w:val="Compact"/>
                    <w:jc w:val="right"/>
                    <w:jc w:val="center"/>
                  </w:pPr>
                  <w:r>
                    <w:t xml:space="preserve">-2.53</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0.871</w:t>
                  </w:r>
                </w:p>
              </w:tc>
              <w:tc>
                <w:tcPr/>
                <w:p>
                  <w:pPr>
                    <w:pStyle w:val="Compact"/>
                    <w:jc w:val="right"/>
                    <w:jc w:val="center"/>
                  </w:pPr>
                  <w:r>
                    <w:t xml:space="preserve">4.98</w:t>
                  </w:r>
                </w:p>
              </w:tc>
              <w:tc>
                <w:tcPr/>
                <w:p>
                  <w:pPr>
                    <w:pStyle w:val="Compact"/>
                    <w:jc w:val="right"/>
                    <w:jc w:val="center"/>
                  </w:pPr>
                  <w:r>
                    <w:t xml:space="preserve">-3.20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-0.158</w:t>
                  </w:r>
                </w:p>
              </w:tc>
              <w:tc>
                <w:tcPr/>
                <w:p>
                  <w:pPr>
                    <w:pStyle w:val="Compact"/>
                    <w:jc w:val="right"/>
                    <w:jc w:val="center"/>
                  </w:pPr>
                  <w:r>
                    <w:t xml:space="preserve">7.80</w:t>
                  </w:r>
                </w:p>
              </w:tc>
              <w:tc>
                <w:tcPr/>
                <w:p>
                  <w:pPr>
                    <w:pStyle w:val="Compact"/>
                    <w:jc w:val="right"/>
                    <w:jc w:val="center"/>
                  </w:pPr>
                  <w:r>
                    <w:t xml:space="preserve">-2.36</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-0.235</w:t>
                  </w:r>
                </w:p>
              </w:tc>
              <w:tc>
                <w:tcPr/>
                <w:p>
                  <w:pPr>
                    <w:pStyle w:val="Compact"/>
                    <w:jc w:val="right"/>
                    <w:jc w:val="center"/>
                  </w:pPr>
                  <w:r>
                    <w:t xml:space="preserve">8.39</w:t>
                  </w:r>
                </w:p>
              </w:tc>
              <w:tc>
                <w:tcPr/>
                <w:p>
                  <w:pPr>
                    <w:pStyle w:val="Compact"/>
                    <w:jc w:val="right"/>
                    <w:jc w:val="center"/>
                  </w:pPr>
                  <w:r>
                    <w:t xml:space="preserve">-3.20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0.542</w:t>
                  </w:r>
                </w:p>
              </w:tc>
              <w:tc>
                <w:tcPr/>
                <w:p>
                  <w:pPr>
                    <w:pStyle w:val="Compact"/>
                    <w:jc w:val="right"/>
                    <w:jc w:val="center"/>
                  </w:pPr>
                  <w:r>
                    <w:t xml:space="preserve">8.61</w:t>
                  </w:r>
                </w:p>
              </w:tc>
              <w:tc>
                <w:tcPr/>
                <w:p>
                  <w:pPr>
                    <w:pStyle w:val="Compact"/>
                    <w:jc w:val="right"/>
                    <w:jc w:val="center"/>
                  </w:pPr>
                  <w:r>
                    <w:t xml:space="preserve">-8.31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-0.588</w:t>
                  </w:r>
                </w:p>
              </w:tc>
              <w:tc>
                <w:tcPr/>
                <w:p>
                  <w:pPr>
                    <w:pStyle w:val="Compact"/>
                    <w:jc w:val="right"/>
                    <w:jc w:val="center"/>
                  </w:pPr>
                  <w:r>
                    <w:t xml:space="preserve">1.46</w:t>
                  </w:r>
                </w:p>
              </w:tc>
              <w:tc>
                <w:tcPr/>
                <w:p>
                  <w:pPr>
                    <w:pStyle w:val="Compact"/>
                    <w:jc w:val="right"/>
                    <w:jc w:val="center"/>
                  </w:pPr>
                  <w:r>
                    <w:t xml:space="preserve">0.17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-0.633</w:t>
                  </w:r>
                </w:p>
              </w:tc>
              <w:tc>
                <w:tcPr/>
                <w:p>
                  <w:pPr>
                    <w:pStyle w:val="Compact"/>
                    <w:jc w:val="right"/>
                    <w:jc w:val="center"/>
                  </w:pPr>
                  <w:r>
                    <w:t xml:space="preserve">1.69</w:t>
                  </w:r>
                </w:p>
              </w:tc>
              <w:tc>
                <w:tcPr/>
                <w:p>
                  <w:pPr>
                    <w:pStyle w:val="Compact"/>
                    <w:jc w:val="right"/>
                    <w:jc w:val="center"/>
                  </w:pPr>
                  <w:r>
                    <w:t xml:space="preserve">-0.48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0.549</w:t>
                  </w:r>
                </w:p>
              </w:tc>
              <w:tc>
                <w:tcPr/>
                <w:p>
                  <w:pPr>
                    <w:pStyle w:val="Compact"/>
                    <w:jc w:val="right"/>
                    <w:jc w:val="center"/>
                  </w:pPr>
                  <w:r>
                    <w:t xml:space="preserve">1.07</w:t>
                  </w:r>
                </w:p>
              </w:tc>
              <w:tc>
                <w:tcPr/>
                <w:p>
                  <w:pPr>
                    <w:pStyle w:val="Compact"/>
                    <w:jc w:val="right"/>
                    <w:jc w:val="center"/>
                  </w:pPr>
                  <w:r>
                    <w:t xml:space="preserve">0.38</w:t>
                  </w:r>
                </w:p>
              </w:tc>
            </w:tr>
          </w:tbl>
          <w:bookmarkEnd w:id="29"/>
          <w:p/>
        </w:tc>
      </w:tr>
    </w:tbl>
    <w:p>
      <w:pPr>
        <w:pStyle w:val="BodyText"/>
      </w:pPr>
      <w:r>
        <w:t xml:space="preserve">In contrast, the aggregated individual-level SuperLearner exhibited a</w:t>
      </w:r>
      <w:r>
        <w:t xml:space="preserve"> </w:t>
      </w:r>
      <w:r>
        <w:t xml:space="preserve">characteristic compression pattern: predictions correlated moderately</w:t>
      </w:r>
      <w:r>
        <w:t xml:space="preserve"> </w:t>
      </w:r>
      <w:r>
        <w:t xml:space="preserve">with admin-2 prevalence (median r ≈ 0.50) but were systematically pulled</w:t>
      </w:r>
      <w:r>
        <w:t xml:space="preserve"> </w:t>
      </w:r>
      <w:r>
        <w:t xml:space="preserve">toward the country mean. For high-prevalence outcomes this produced</w:t>
      </w:r>
      <w:r>
        <w:t xml:space="preserve"> </w:t>
      </w:r>
      <w:r>
        <w:t xml:space="preserve">large negative biases of 8 to 20 percentage points (e.g., Gambia</w:t>
      </w:r>
      <w:r>
        <w:t xml:space="preserve"> </w:t>
      </w:r>
      <w:r>
        <w:t xml:space="preserve">child-iron MAE 20.8 pp, bias −20.4 pp; women-iron MAE 18.0 pp, bias</w:t>
      </w:r>
      <w:r>
        <w:t xml:space="preserve"> </w:t>
      </w:r>
      <w:r>
        <w:t xml:space="preserve">−18.0 pp). The mechanism is straightforward and consistent with the</w:t>
      </w:r>
      <w:r>
        <w:t xml:space="preserve"> </w:t>
      </w:r>
      <w:r>
        <w:t xml:space="preserve">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 The recipe</w:t>
      </w:r>
      <w:r>
        <w:t xml:space="preserve"> </w:t>
      </w:r>
      <w:r>
        <w:t xml:space="preserve">to avoid it —</w:t>
      </w:r>
      <w:r>
        <w:t xml:space="preserve"> </w:t>
      </w:r>
      <w:r>
        <w:rPr>
          <w:i/>
          <w:iCs/>
        </w:rPr>
        <w:t xml:space="preserve">fit at the unit of deliverable</w:t>
      </w:r>
      <w:r>
        <w:t xml:space="preserve"> </w:t>
      </w:r>
      <w:r>
        <w:t xml:space="preserve">— is the</w:t>
      </w:r>
      <w:r>
        <w:t xml:space="preserve"> </w:t>
      </w:r>
      <w:r>
        <w:t xml:space="preserve">small-area-estimation lesson.</w:t>
      </w:r>
    </w:p>
    <w:bookmarkEnd w:id="30"/>
    <w:bookmarkStart w:id="41" w:name="cross-country-transportability"/>
    <w:p>
      <w:pPr>
        <w:pStyle w:val="Heading2"/>
      </w:pPr>
      <w:r>
        <w:t xml:space="preserve">3.3 Cross-country transportability</w:t>
      </w:r>
    </w:p>
    <w:p>
      <w:pPr>
        <w:pStyle w:val="FirstParagraph"/>
      </w:pPr>
      <w:r>
        <w:t xml:space="preserve">LOCO holdout produced markedly weaker performance (</w:t>
      </w:r>
      <w:hyperlink w:anchor="tbl-loco">
        <w:r>
          <w:rPr>
            <w:rStyle w:val="Hyperlink"/>
          </w:rPr>
          <w:t xml:space="preserve">Table 3</w:t>
        </w:r>
      </w:hyperlink>
      <w:r>
        <w:t xml:space="preserve">;</w:t>
      </w:r>
      <w:r>
        <w:t xml:space="preserve"> </w:t>
      </w:r>
      <w:hyperlink w:anchor="fig-loco-scatter">
        <w:r>
          <w:rPr>
            <w:rStyle w:val="Hyperlink"/>
          </w:rPr>
          <w:t xml:space="preserve">Figure 1</w:t>
        </w:r>
      </w:hyperlink>
      <w:r>
        <w:t xml:space="preserve">). Pearson r across the 16 outcome–holdout</w:t>
      </w:r>
      <w:r>
        <w:t xml:space="preserve"> </w:t>
      </w:r>
      <w:r>
        <w:t xml:space="preserve">combinations had a median of 0.21 and ranged from −0.14 to 0.53 (one</w:t>
      </w:r>
      <w:r>
        <w:t xml:space="preserve"> </w:t>
      </w:r>
      <w:r>
        <w:t xml:space="preserve">holdout — women vitamin A in Gambia — was unestimable because no</w:t>
      </w:r>
      <w:r>
        <w:t xml:space="preserve"> </w:t>
      </w:r>
      <w:r>
        <w:t xml:space="preserve">covariate survived selection). Iron deficiency outcomes transported best</w:t>
      </w:r>
      <w:r>
        <w:t xml:space="preserve"> </w:t>
      </w:r>
      <w:r>
        <w:t xml:space="preserve">(median r 0.28), while vitamin-A deficiency in women essentially did not</w:t>
      </w:r>
      <w:r>
        <w:t xml:space="preserve"> </w:t>
      </w:r>
      <w:r>
        <w:t xml:space="preserve">transport across countries (median r ≈ −0.12, with anti-predictive</w:t>
      </w:r>
      <w:r>
        <w:t xml:space="preserve"> </w:t>
      </w:r>
      <w:r>
        <w:t xml:space="preserve">ordering in two of three estimable holdouts).</w:t>
      </w:r>
    </w:p>
    <w:tbl>
      <w:tblPr>
        <w:tblStyle w:val="Table"/>
        <w:tblW w:type="pct" w:w="5000"/>
        <w:tblLayout w:type="fixed"/>
        <w:tblLook w:firstRow="0" w:lastRow="0" w:firstColumn="0" w:lastColumn="0" w:noHBand="0" w:noVBand="0" w:val="0000"/>
      </w:tblPr>
      <w:tblGrid>
        <w:gridCol w:w="7920"/>
      </w:tblGrid>
      <w:tr>
        <w:tc>
          <w:tcPr/>
          <w:bookmarkStart w:id="31" w:name="tbl-loco"/>
          <w:p>
            <w:pPr>
              <w:jc w:val="center"/>
            </w:pPr>
            <w:pPr>
              <w:jc w:val="start"/>
              <w:spacing w:before="200"/>
              <w:pStyle w:val="ImageCaption"/>
            </w:pPr>
            <w:r>
              <w:t xml:space="preserve">Table 3: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0.309</w:t>
                  </w:r>
                </w:p>
              </w:tc>
              <w:tc>
                <w:tcPr/>
                <w:p>
                  <w:pPr>
                    <w:pStyle w:val="Compact"/>
                    <w:jc w:val="right"/>
                    <w:jc w:val="center"/>
                  </w:pPr>
                  <w:r>
                    <w:t xml:space="preserve">0.354</w:t>
                  </w:r>
                </w:p>
              </w:tc>
              <w:tc>
                <w:tcPr/>
                <w:p>
                  <w:pPr>
                    <w:pStyle w:val="Compact"/>
                    <w:jc w:val="right"/>
                    <w:jc w:val="center"/>
                  </w:pPr>
                  <w:r>
                    <w:t xml:space="preserve">11.73</w:t>
                  </w:r>
                </w:p>
              </w:tc>
              <w:tc>
                <w:tcPr/>
                <w:p>
                  <w:pPr>
                    <w:pStyle w:val="Compact"/>
                    <w:jc w:val="right"/>
                    <w:jc w:val="center"/>
                  </w:pPr>
                  <w:r>
                    <w:t xml:space="preserve">-8.20</w:t>
                  </w:r>
                </w:p>
              </w:tc>
              <w:tc>
                <w:tcPr/>
                <w:p>
                  <w:pPr>
                    <w:pStyle w:val="Compact"/>
                    <w:jc w:val="right"/>
                    <w:jc w:val="center"/>
                  </w:pPr>
                  <w:r>
                    <w:t xml:space="preserve">3.14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0.345</w:t>
                  </w:r>
                </w:p>
              </w:tc>
              <w:tc>
                <w:tcPr/>
                <w:p>
                  <w:pPr>
                    <w:pStyle w:val="Compact"/>
                    <w:jc w:val="right"/>
                    <w:jc w:val="center"/>
                  </w:pPr>
                  <w:r>
                    <w:t xml:space="preserve">0.330</w:t>
                  </w:r>
                </w:p>
              </w:tc>
              <w:tc>
                <w:tcPr/>
                <w:p>
                  <w:pPr>
                    <w:pStyle w:val="Compact"/>
                    <w:jc w:val="right"/>
                    <w:jc w:val="center"/>
                  </w:pPr>
                  <w:r>
                    <w:t xml:space="preserve">9.93</w:t>
                  </w:r>
                </w:p>
              </w:tc>
              <w:tc>
                <w:tcPr/>
                <w:p>
                  <w:pPr>
                    <w:pStyle w:val="Compact"/>
                    <w:jc w:val="right"/>
                    <w:jc w:val="center"/>
                  </w:pPr>
                  <w:r>
                    <w:t xml:space="preserve">-5.81</w:t>
                  </w:r>
                </w:p>
              </w:tc>
              <w:tc>
                <w:tcPr/>
                <w:p>
                  <w:pPr>
                    <w:pStyle w:val="Compact"/>
                    <w:jc w:val="right"/>
                    <w:jc w:val="center"/>
                  </w:pPr>
                  <w:r>
                    <w:t xml:space="preserve">1.14</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0.065</w:t>
                  </w:r>
                </w:p>
              </w:tc>
              <w:tc>
                <w:tcPr/>
                <w:p>
                  <w:pPr>
                    <w:pStyle w:val="Compact"/>
                    <w:jc w:val="right"/>
                    <w:jc w:val="center"/>
                  </w:pPr>
                  <w:r>
                    <w:t xml:space="preserve">0.077</w:t>
                  </w:r>
                </w:p>
              </w:tc>
              <w:tc>
                <w:tcPr/>
                <w:p>
                  <w:pPr>
                    <w:pStyle w:val="Compact"/>
                    <w:jc w:val="right"/>
                    <w:jc w:val="center"/>
                  </w:pPr>
                  <w:r>
                    <w:t xml:space="preserve">5.67</w:t>
                  </w:r>
                </w:p>
              </w:tc>
              <w:tc>
                <w:tcPr/>
                <w:p>
                  <w:pPr>
                    <w:pStyle w:val="Compact"/>
                    <w:jc w:val="right"/>
                    <w:jc w:val="center"/>
                  </w:pPr>
                  <w:r>
                    <w:t xml:space="preserve">-3.97</w:t>
                  </w:r>
                </w:p>
              </w:tc>
              <w:tc>
                <w:tcPr/>
                <w:p>
                  <w:pPr>
                    <w:pStyle w:val="Compact"/>
                    <w:jc w:val="right"/>
                    <w:jc w:val="center"/>
                  </w:pPr>
                  <w:r>
                    <w:t xml:space="preserve">0.45</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-0.159</w:t>
                  </w:r>
                </w:p>
              </w:tc>
              <w:tc>
                <w:tcPr/>
                <w:p>
                  <w:pPr>
                    <w:pStyle w:val="Compact"/>
                    <w:jc w:val="right"/>
                    <w:jc w:val="center"/>
                  </w:pPr>
                  <w:r>
                    <w:t xml:space="preserve">-0.007</w:t>
                  </w:r>
                </w:p>
              </w:tc>
              <w:tc>
                <w:tcPr/>
                <w:p>
                  <w:pPr>
                    <w:pStyle w:val="Compact"/>
                    <w:jc w:val="right"/>
                    <w:jc w:val="center"/>
                  </w:pPr>
                  <w:r>
                    <w:t xml:space="preserve">8.55</w:t>
                  </w:r>
                </w:p>
              </w:tc>
              <w:tc>
                <w:tcPr/>
                <w:p>
                  <w:pPr>
                    <w:pStyle w:val="Compact"/>
                    <w:jc w:val="right"/>
                    <w:jc w:val="center"/>
                  </w:pPr>
                  <w:r>
                    <w:t xml:space="preserve">-6.99</w:t>
                  </w:r>
                </w:p>
              </w:tc>
              <w:tc>
                <w:tcPr/>
                <w:p>
                  <w:pPr>
                    <w:pStyle w:val="Compact"/>
                    <w:jc w:val="right"/>
                    <w:jc w:val="center"/>
                  </w:pPr>
                  <w:r>
                    <w:t xml:space="preserve">-0.97</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0.171</w:t>
                  </w:r>
                </w:p>
              </w:tc>
              <w:tc>
                <w:tcPr/>
                <w:p>
                  <w:pPr>
                    <w:pStyle w:val="Compact"/>
                    <w:jc w:val="right"/>
                    <w:jc w:val="center"/>
                  </w:pPr>
                  <w:r>
                    <w:t xml:space="preserve">0.201</w:t>
                  </w:r>
                </w:p>
              </w:tc>
              <w:tc>
                <w:tcPr/>
                <w:p>
                  <w:pPr>
                    <w:pStyle w:val="Compact"/>
                    <w:jc w:val="right"/>
                    <w:jc w:val="center"/>
                  </w:pPr>
                  <w:r>
                    <w:t xml:space="preserve">2.40</w:t>
                  </w:r>
                </w:p>
              </w:tc>
              <w:tc>
                <w:tcPr/>
                <w:p>
                  <w:pPr>
                    <w:pStyle w:val="Compact"/>
                    <w:jc w:val="right"/>
                    <w:jc w:val="center"/>
                  </w:pPr>
                  <w:r>
                    <w:t xml:space="preserve">-0.45</w:t>
                  </w:r>
                </w:p>
              </w:tc>
              <w:tc>
                <w:tcPr/>
                <w:p>
                  <w:pPr>
                    <w:pStyle w:val="Compact"/>
                    <w:jc w:val="right"/>
                    <w:jc w:val="center"/>
                  </w:pPr>
                  <w:r>
                    <w:t xml:space="preserve">6.91</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-0.359</w:t>
                  </w:r>
                </w:p>
              </w:tc>
              <w:tc>
                <w:tcPr/>
                <w:p>
                  <w:pPr>
                    <w:pStyle w:val="Compact"/>
                    <w:jc w:val="right"/>
                    <w:jc w:val="center"/>
                  </w:pPr>
                  <w:r>
                    <w:t xml:space="preserve">-0.169</w:t>
                  </w:r>
                </w:p>
              </w:tc>
              <w:tc>
                <w:tcPr/>
                <w:p>
                  <w:pPr>
                    <w:pStyle w:val="Compact"/>
                    <w:jc w:val="right"/>
                    <w:jc w:val="center"/>
                  </w:pPr>
                  <w:r>
                    <w:t xml:space="preserve">1.24</w:t>
                  </w:r>
                </w:p>
              </w:tc>
              <w:tc>
                <w:tcPr/>
                <w:p>
                  <w:pPr>
                    <w:pStyle w:val="Compact"/>
                    <w:jc w:val="right"/>
                    <w:jc w:val="center"/>
                  </w:pPr>
                  <w:r>
                    <w:t xml:space="preserve">-0.88</w:t>
                  </w:r>
                </w:p>
              </w:tc>
              <w:tc>
                <w:tcPr/>
                <w:p>
                  <w:pPr>
                    <w:pStyle w:val="Compact"/>
                    <w:jc w:val="right"/>
                    <w:jc w:val="center"/>
                  </w:pPr>
                  <w:r>
                    <w:t xml:space="preserve">-10.52</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-0.154</w:t>
                  </w:r>
                </w:p>
              </w:tc>
              <w:tc>
                <w:tcPr/>
                <w:p>
                  <w:pPr>
                    <w:pStyle w:val="Compact"/>
                    <w:jc w:val="right"/>
                    <w:jc w:val="center"/>
                  </w:pPr>
                  <w:r>
                    <w:t xml:space="preserve">-0.159</w:t>
                  </w:r>
                </w:p>
              </w:tc>
              <w:tc>
                <w:tcPr/>
                <w:p>
                  <w:pPr>
                    <w:pStyle w:val="Compact"/>
                    <w:jc w:val="right"/>
                    <w:jc w:val="center"/>
                  </w:pPr>
                  <w:r>
                    <w:t xml:space="preserve">3.85</w:t>
                  </w:r>
                </w:p>
              </w:tc>
              <w:tc>
                <w:tcPr/>
                <w:p>
                  <w:pPr>
                    <w:pStyle w:val="Compact"/>
                    <w:jc w:val="right"/>
                    <w:jc w:val="center"/>
                  </w:pPr>
                  <w:r>
                    <w:t xml:space="preserve">1.21</w:t>
                  </w:r>
                </w:p>
              </w:tc>
              <w:tc>
                <w:tcPr/>
                <w:p>
                  <w:pPr>
                    <w:pStyle w:val="Compact"/>
                    <w:jc w:val="right"/>
                    <w:jc w:val="center"/>
                  </w:pPr>
                  <w:r>
                    <w:t xml:space="preserve">-0.50</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0.476</w:t>
                  </w:r>
                </w:p>
              </w:tc>
              <w:tc>
                <w:tcPr/>
                <w:p>
                  <w:pPr>
                    <w:pStyle w:val="Compact"/>
                    <w:jc w:val="right"/>
                    <w:jc w:val="center"/>
                  </w:pPr>
                  <w:r>
                    <w:t xml:space="preserve">43.87</w:t>
                  </w:r>
                </w:p>
              </w:tc>
              <w:tc>
                <w:tcPr/>
                <w:p>
                  <w:pPr>
                    <w:pStyle w:val="Compact"/>
                    <w:jc w:val="right"/>
                    <w:jc w:val="center"/>
                  </w:pPr>
                  <w:r>
                    <w:t xml:space="preserve">-43.87</w:t>
                  </w:r>
                </w:p>
              </w:tc>
              <w:tc>
                <w:tcPr/>
                <w:p>
                  <w:pPr>
                    <w:pStyle w:val="Compact"/>
                    <w:jc w:val="right"/>
                    <w:jc w:val="center"/>
                  </w:pPr>
                  <w:r>
                    <w:t xml:space="preserve">1.06</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0.535</w:t>
                  </w:r>
                </w:p>
              </w:tc>
              <w:tc>
                <w:tcPr/>
                <w:p>
                  <w:pPr>
                    <w:pStyle w:val="Compact"/>
                    <w:jc w:val="right"/>
                    <w:jc w:val="center"/>
                  </w:pPr>
                  <w:r>
                    <w:t xml:space="preserve">0.510</w:t>
                  </w:r>
                </w:p>
              </w:tc>
              <w:tc>
                <w:tcPr/>
                <w:p>
                  <w:pPr>
                    <w:pStyle w:val="Compact"/>
                    <w:jc w:val="right"/>
                    <w:jc w:val="center"/>
                  </w:pPr>
                  <w:r>
                    <w:t xml:space="preserve">13.04</w:t>
                  </w:r>
                </w:p>
              </w:tc>
              <w:tc>
                <w:tcPr/>
                <w:p>
                  <w:pPr>
                    <w:pStyle w:val="Compact"/>
                    <w:jc w:val="right"/>
                    <w:jc w:val="center"/>
                  </w:pPr>
                  <w:r>
                    <w:t xml:space="preserve">0.50</w:t>
                  </w:r>
                </w:p>
              </w:tc>
              <w:tc>
                <w:tcPr/>
                <w:p>
                  <w:pPr>
                    <w:pStyle w:val="Compact"/>
                    <w:jc w:val="right"/>
                    <w:jc w:val="center"/>
                  </w:pPr>
                  <w:r>
                    <w:t xml:space="preserve">0.67</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-0.119</w:t>
                  </w:r>
                </w:p>
              </w:tc>
              <w:tc>
                <w:tcPr/>
                <w:p>
                  <w:pPr>
                    <w:pStyle w:val="Compact"/>
                    <w:jc w:val="right"/>
                    <w:jc w:val="center"/>
                  </w:pPr>
                  <w:r>
                    <w:t xml:space="preserve">-0.046</w:t>
                  </w:r>
                </w:p>
              </w:tc>
              <w:tc>
                <w:tcPr/>
                <w:p>
                  <w:pPr>
                    <w:pStyle w:val="Compact"/>
                    <w:jc w:val="right"/>
                    <w:jc w:val="center"/>
                  </w:pPr>
                  <w:r>
                    <w:t xml:space="preserve">6.29</w:t>
                  </w:r>
                </w:p>
              </w:tc>
              <w:tc>
                <w:tcPr/>
                <w:p>
                  <w:pPr>
                    <w:pStyle w:val="Compact"/>
                    <w:jc w:val="right"/>
                    <w:jc w:val="center"/>
                  </w:pPr>
                  <w:r>
                    <w:t xml:space="preserve">4.43</w:t>
                  </w:r>
                </w:p>
              </w:tc>
              <w:tc>
                <w:tcPr/>
                <w:p>
                  <w:pPr>
                    <w:pStyle w:val="Compact"/>
                    <w:jc w:val="right"/>
                    <w:jc w:val="center"/>
                  </w:pPr>
                  <w:r>
                    <w:t xml:space="preserve">-0.20</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0.096</w:t>
                  </w:r>
                </w:p>
              </w:tc>
              <w:tc>
                <w:tcPr/>
                <w:p>
                  <w:pPr>
                    <w:pStyle w:val="Compact"/>
                    <w:jc w:val="right"/>
                    <w:jc w:val="center"/>
                  </w:pPr>
                  <w:r>
                    <w:t xml:space="preserve">-0.020</w:t>
                  </w:r>
                </w:p>
              </w:tc>
              <w:tc>
                <w:tcPr/>
                <w:p>
                  <w:pPr>
                    <w:pStyle w:val="Compact"/>
                    <w:jc w:val="right"/>
                    <w:jc w:val="center"/>
                  </w:pPr>
                  <w:r>
                    <w:t xml:space="preserve">14.17</w:t>
                  </w:r>
                </w:p>
              </w:tc>
              <w:tc>
                <w:tcPr/>
                <w:p>
                  <w:pPr>
                    <w:pStyle w:val="Compact"/>
                    <w:jc w:val="right"/>
                    <w:jc w:val="center"/>
                  </w:pPr>
                  <w:r>
                    <w:t xml:space="preserve">-11.18</w:t>
                  </w:r>
                </w:p>
              </w:tc>
              <w:tc>
                <w:tcPr/>
                <w:p>
                  <w:pPr>
                    <w:pStyle w:val="Compact"/>
                    <w:jc w:val="right"/>
                    <w:jc w:val="center"/>
                  </w:pPr>
                  <w:r>
                    <w:t xml:space="preserve">0.28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0.772</w:t>
                  </w:r>
                </w:p>
              </w:tc>
              <w:tc>
                <w:tcPr/>
                <w:p>
                  <w:pPr>
                    <w:pStyle w:val="Compact"/>
                    <w:jc w:val="right"/>
                    <w:jc w:val="center"/>
                  </w:pPr>
                  <w:r>
                    <w:t xml:space="preserve">0.793</w:t>
                  </w:r>
                </w:p>
              </w:tc>
              <w:tc>
                <w:tcPr/>
                <w:p>
                  <w:pPr>
                    <w:pStyle w:val="Compact"/>
                    <w:jc w:val="right"/>
                    <w:jc w:val="center"/>
                  </w:pPr>
                  <w:r>
                    <w:t xml:space="preserve">33.28</w:t>
                  </w:r>
                </w:p>
              </w:tc>
              <w:tc>
                <w:tcPr/>
                <w:p>
                  <w:pPr>
                    <w:pStyle w:val="Compact"/>
                    <w:jc w:val="right"/>
                    <w:jc w:val="center"/>
                  </w:pPr>
                  <w:r>
                    <w:t xml:space="preserve">-33.28</w:t>
                  </w:r>
                </w:p>
              </w:tc>
              <w:tc>
                <w:tcPr/>
                <w:p>
                  <w:pPr>
                    <w:pStyle w:val="Compact"/>
                    <w:jc w:val="right"/>
                    <w:jc w:val="center"/>
                  </w:pPr>
                  <w:r>
                    <w:t xml:space="preserve">3.53</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0.396</w:t>
                  </w:r>
                </w:p>
              </w:tc>
              <w:tc>
                <w:tcPr/>
                <w:p>
                  <w:pPr>
                    <w:pStyle w:val="Compact"/>
                    <w:jc w:val="right"/>
                    <w:jc w:val="center"/>
                  </w:pPr>
                  <w:r>
                    <w:t xml:space="preserve">0.397</w:t>
                  </w:r>
                </w:p>
              </w:tc>
              <w:tc>
                <w:tcPr/>
                <w:p>
                  <w:pPr>
                    <w:pStyle w:val="Compact"/>
                    <w:jc w:val="right"/>
                    <w:jc w:val="center"/>
                  </w:pPr>
                  <w:r>
                    <w:t xml:space="preserve">24.44</w:t>
                  </w:r>
                </w:p>
              </w:tc>
              <w:tc>
                <w:tcPr/>
                <w:p>
                  <w:pPr>
                    <w:pStyle w:val="Compact"/>
                    <w:jc w:val="right"/>
                    <w:jc w:val="center"/>
                  </w:pPr>
                  <w:r>
                    <w:t xml:space="preserve">24.22</w:t>
                  </w:r>
                </w:p>
              </w:tc>
              <w:tc>
                <w:tcPr/>
                <w:p>
                  <w:pPr>
                    <w:pStyle w:val="Compact"/>
                    <w:jc w:val="right"/>
                    <w:jc w:val="center"/>
                  </w:pPr>
                  <w:r>
                    <w:t xml:space="preserve">0.52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-0.073</w:t>
                  </w:r>
                </w:p>
              </w:tc>
              <w:tc>
                <w:tcPr/>
                <w:p>
                  <w:pPr>
                    <w:pStyle w:val="Compact"/>
                    <w:jc w:val="right"/>
                    <w:jc w:val="center"/>
                  </w:pPr>
                  <w:r>
                    <w:t xml:space="preserve">-0.059</w:t>
                  </w:r>
                </w:p>
              </w:tc>
              <w:tc>
                <w:tcPr/>
                <w:p>
                  <w:pPr>
                    <w:pStyle w:val="Compact"/>
                    <w:jc w:val="right"/>
                    <w:jc w:val="center"/>
                  </w:pPr>
                  <w:r>
                    <w:t xml:space="preserve">10.36</w:t>
                  </w:r>
                </w:p>
              </w:tc>
              <w:tc>
                <w:tcPr/>
                <w:p>
                  <w:pPr>
                    <w:pStyle w:val="Compact"/>
                    <w:jc w:val="right"/>
                    <w:jc w:val="center"/>
                  </w:pPr>
                  <w:r>
                    <w:t xml:space="preserve">-9.80</w:t>
                  </w:r>
                </w:p>
              </w:tc>
              <w:tc>
                <w:tcPr/>
                <w:p>
                  <w:pPr>
                    <w:pStyle w:val="Compact"/>
                    <w:jc w:val="right"/>
                    <w:jc w:val="center"/>
                  </w:pPr>
                  <w:r>
                    <w:t xml:space="preserve">-0.16</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0.018</w:t>
                  </w:r>
                </w:p>
              </w:tc>
              <w:tc>
                <w:tcPr/>
                <w:p>
                  <w:pPr>
                    <w:pStyle w:val="Compact"/>
                    <w:jc w:val="right"/>
                    <w:jc w:val="center"/>
                  </w:pPr>
                  <w:r>
                    <w:t xml:space="preserve">0.037</w:t>
                  </w:r>
                </w:p>
              </w:tc>
              <w:tc>
                <w:tcPr/>
                <w:p>
                  <w:pPr>
                    <w:pStyle w:val="Compact"/>
                    <w:jc w:val="right"/>
                    <w:jc w:val="center"/>
                  </w:pPr>
                  <w:r>
                    <w:t xml:space="preserve">13.86</w:t>
                  </w:r>
                </w:p>
              </w:tc>
              <w:tc>
                <w:tcPr/>
                <w:p>
                  <w:pPr>
                    <w:pStyle w:val="Compact"/>
                    <w:jc w:val="right"/>
                    <w:jc w:val="center"/>
                  </w:pPr>
                  <w:r>
                    <w:t xml:space="preserve">-2.91</w:t>
                  </w:r>
                </w:p>
              </w:tc>
              <w:tc>
                <w:tcPr/>
                <w:p>
                  <w:pPr>
                    <w:pStyle w:val="Compact"/>
                    <w:jc w:val="right"/>
                    <w:jc w:val="center"/>
                  </w:pPr>
                  <w:r>
                    <w:t xml:space="preserve">0.06</w:t>
                  </w:r>
                </w:p>
              </w:tc>
            </w:tr>
          </w:tbl>
          <w:bookmarkEnd w:id="31"/>
          <w:p/>
        </w:tc>
      </w:tr>
    </w:tbl>
    <w:tbl>
      <w:tblPr>
        <w:tblStyle w:val="Table"/>
        <w:tblW w:type="pct" w:w="5000"/>
        <w:tblLayout w:type="fixed"/>
        <w:tblLook w:firstRow="0" w:lastRow="0" w:firstColumn="0" w:lastColumn="0" w:noHBand="0" w:noVBand="0" w:val="0000"/>
      </w:tblPr>
      <w:tblGrid>
        <w:gridCol w:w="7920"/>
      </w:tblGrid>
      <w:tr>
        <w:tc>
          <w:tcPr/>
          <w:bookmarkStart w:id="35" w:name="fig-loco-scatter"/>
          <w:p>
            <w:pPr>
              <w:pStyle w:val="Compact"/>
              <w:jc w:val="center"/>
            </w:pPr>
            <w:r>
              <w:drawing>
                <wp:inline>
                  <wp:extent cx="5334000" cy="5053263"/>
                  <wp:effectExtent b="0" l="0" r="0" t="0"/>
                  <wp:docPr descr="" title="" id="33" name="Picture"/>
                  <a:graphic>
                    <a:graphicData uri="http://schemas.openxmlformats.org/drawingml/2006/picture">
                      <pic:pic>
                        <pic:nvPicPr>
                          <pic:cNvPr descr="../results/figures/loco_scatter.png" id="34" name="Picture"/>
                          <pic:cNvPicPr>
                            <a:picLocks noChangeArrowheads="1" noChangeAspect="1"/>
                          </pic:cNvPicPr>
                        </pic:nvPicPr>
                        <pic:blipFill>
                          <a:blip r:embed="rId32"/>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three non-held-out countries.</w:t>
            </w:r>
          </w:p>
          <w:bookmarkEnd w:id="35"/>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more accurate than admin-2.</w:t>
      </w:r>
      <w:r>
        <w:t xml:space="preserve"> </w:t>
      </w:r>
      <w:r>
        <w:t xml:space="preserve">National prevalence estimates were within ±5 percentage points of</w:t>
      </w:r>
      <w:r>
        <w:t xml:space="preserve"> </w:t>
      </w:r>
      <w:r>
        <w:t xml:space="preserve">observed for all 24 country–outcome combinations</w:t>
      </w:r>
      <w:r>
        <w:t xml:space="preserve"> </w:t>
      </w:r>
      <w:r>
        <w:t xml:space="preserve">(</w:t>
      </w:r>
      <w:hyperlink w:anchor="tbl-national-estimates">
        <w:r>
          <w:rPr>
            <w:rStyle w:val="Hyperlink"/>
          </w:rPr>
          <w:t xml:space="preserve">Table 4</w:t>
        </w:r>
      </w:hyperlink>
      <w:r>
        <w:t xml:space="preserve">), with a median absolute difference of 0.4</w:t>
      </w:r>
      <w:r>
        <w:t xml:space="preserve"> </w:t>
      </w:r>
      <w:r>
        <w:t xml:space="preserve">percentage points (median relative difference 3.8%). The</w:t>
      </w:r>
      <w:r>
        <w:t xml:space="preserve"> </w:t>
      </w:r>
      <w:r>
        <w:t xml:space="preserve">within-country individual-level SL therefore remains useful at the</w:t>
      </w:r>
      <w:r>
        <w:t xml:space="preserve"> </w:t>
      </w:r>
      <w:r>
        <w:t xml:space="preserve">national level even where it fails at admin-2 resolution.</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3</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39" w:name="fig-transport-calibration"/>
          <w:p>
            <w:pPr>
              <w:pStyle w:val="Compact"/>
              <w:jc w:val="center"/>
            </w:pPr>
            <w:r>
              <w:drawing>
                <wp:inline>
                  <wp:extent cx="5334000" cy="6756400"/>
                  <wp:effectExtent b="0" l="0" r="0" t="0"/>
                  <wp:docPr descr="" title="" id="37" name="Picture"/>
                  <a:graphic>
                    <a:graphicData uri="http://schemas.openxmlformats.org/drawingml/2006/picture">
                      <pic:pic>
                        <pic:nvPicPr>
                          <pic:cNvPr descr="../results/figures/transport_calibration_loco_faceted.png" id="38" name="Picture"/>
                          <pic:cNvPicPr>
                            <a:picLocks noChangeArrowheads="1" noChangeAspect="1"/>
                          </pic:cNvPicPr>
                        </pic:nvPicPr>
                        <pic:blipFill>
                          <a:blip r:embed="rId36"/>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39"/>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0" w:name="tbl-national-estimates"/>
          <w:p>
            <w:pPr>
              <w:jc w:val="center"/>
            </w:pPr>
            <w:pPr>
              <w:jc w:val="start"/>
              <w:spacing w:before="200"/>
              <w:pStyle w:val="ImageCaption"/>
            </w:pPr>
            <w:r>
              <w:t xml:space="preserve">Table 4: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17.5%</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39.9%</w:t>
                  </w:r>
                </w:p>
              </w:tc>
              <w:tc>
                <w:tcPr/>
                <w:p>
                  <w:pPr>
                    <w:pStyle w:val="Compact"/>
                    <w:jc w:val="right"/>
                    <w:jc w:val="center"/>
                  </w:pPr>
                  <w:r>
                    <w:t xml:space="preserve">2.3</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26.6%</w:t>
                  </w:r>
                </w:p>
              </w:tc>
              <w:tc>
                <w:tcPr/>
                <w:p>
                  <w:pPr>
                    <w:pStyle w:val="Compact"/>
                    <w:jc w:val="right"/>
                    <w:jc w:val="center"/>
                  </w:pPr>
                  <w:r>
                    <w:t xml:space="preserve">1.6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1.5%</w:t>
                  </w:r>
                </w:p>
              </w:tc>
              <w:tc>
                <w:tcPr/>
                <w:p>
                  <w:pPr>
                    <w:pStyle w:val="Compact"/>
                    <w:jc w:val="right"/>
                    <w:jc w:val="center"/>
                  </w:pPr>
                  <w:r>
                    <w:t xml:space="preserve">0.4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8.3%</w:t>
                  </w:r>
                </w:p>
              </w:tc>
              <w:tc>
                <w:tcPr/>
                <w:p>
                  <w:pPr>
                    <w:pStyle w:val="Compact"/>
                    <w:jc w:val="right"/>
                    <w:jc w:val="center"/>
                  </w:pPr>
                  <w:r>
                    <w:t xml:space="preserve">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6.7%</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13.1%</w:t>
                  </w:r>
                </w:p>
              </w:tc>
              <w:tc>
                <w:tcPr/>
                <w:p>
                  <w:pPr>
                    <w:pStyle w:val="Compact"/>
                    <w:jc w:val="right"/>
                    <w:jc w:val="center"/>
                  </w:pPr>
                  <w:r>
                    <w:t xml:space="preserve">1.0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1.7%</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5.4%</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9.3%</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77.0%</w:t>
                  </w:r>
                </w:p>
              </w:tc>
              <w:tc>
                <w:tcPr/>
                <w:p>
                  <w:pPr>
                    <w:pStyle w:val="Compact"/>
                    <w:jc w:val="right"/>
                    <w:jc w:val="center"/>
                  </w:pPr>
                  <w:r>
                    <w:t xml:space="preserve">2.1</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10.3 (6.9–13.7)%</w:t>
                  </w:r>
                </w:p>
              </w:tc>
              <w:tc>
                <w:tcPr/>
                <w:p>
                  <w:pPr>
                    <w:pStyle w:val="Compact"/>
                    <w:jc w:val="left"/>
                    <w:jc w:val="center"/>
                  </w:pPr>
                  <w:r>
                    <w:t xml:space="preserve">9.0%</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2.3 (0.6–4.0)%</w:t>
                  </w:r>
                </w:p>
              </w:tc>
              <w:tc>
                <w:tcPr/>
                <w:p>
                  <w:pPr>
                    <w:pStyle w:val="Compact"/>
                    <w:jc w:val="left"/>
                    <w:jc w:val="center"/>
                  </w:pPr>
                  <w:r>
                    <w:t xml:space="preserve">0.8%</w:t>
                  </w:r>
                </w:p>
              </w:tc>
              <w:tc>
                <w:tcPr/>
                <w:p>
                  <w:pPr>
                    <w:pStyle w:val="Compact"/>
                    <w:jc w:val="right"/>
                    <w:jc w:val="center"/>
                  </w:pPr>
                  <w:r>
                    <w:t xml:space="preserve">1.5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10.6 (6.5–14.6)%</w:t>
                  </w:r>
                </w:p>
              </w:tc>
              <w:tc>
                <w:tcPr/>
                <w:p>
                  <w:pPr>
                    <w:pStyle w:val="Compact"/>
                    <w:jc w:val="left"/>
                    <w:jc w:val="center"/>
                  </w:pPr>
                  <w:r>
                    <w:t xml:space="preserve">11.2%</w:t>
                  </w:r>
                </w:p>
              </w:tc>
              <w:tc>
                <w:tcPr/>
                <w:p>
                  <w:pPr>
                    <w:pStyle w:val="Compact"/>
                    <w:jc w:val="right"/>
                    <w:jc w:val="center"/>
                  </w:pPr>
                  <w:r>
                    <w:t xml:space="preserve">0.6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7.7 (5.6–9.9)%</w:t>
                  </w:r>
                </w:p>
              </w:tc>
              <w:tc>
                <w:tcPr/>
                <w:p>
                  <w:pPr>
                    <w:pStyle w:val="Compact"/>
                    <w:jc w:val="left"/>
                    <w:jc w:val="center"/>
                  </w:pPr>
                  <w:r>
                    <w:t xml:space="preserve">8.5%</w:t>
                  </w:r>
                </w:p>
              </w:tc>
              <w:tc>
                <w:tcPr/>
                <w:p>
                  <w:pPr>
                    <w:pStyle w:val="Compact"/>
                    <w:jc w:val="right"/>
                    <w:jc w:val="center"/>
                  </w:pPr>
                  <w:r>
                    <w:t xml:space="preserve">0.8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18.5 (13.6–23.5)%</w:t>
                  </w:r>
                </w:p>
              </w:tc>
              <w:tc>
                <w:tcPr/>
                <w:p>
                  <w:pPr>
                    <w:pStyle w:val="Compact"/>
                    <w:jc w:val="left"/>
                    <w:jc w:val="center"/>
                  </w:pPr>
                  <w:r>
                    <w:t xml:space="preserve">20.3%</w:t>
                  </w:r>
                </w:p>
              </w:tc>
              <w:tc>
                <w:tcPr/>
                <w:p>
                  <w:pPr>
                    <w:pStyle w:val="Compact"/>
                    <w:jc w:val="right"/>
                    <w:jc w:val="center"/>
                  </w:pPr>
                  <w:r>
                    <w:t xml:space="preserve">1.8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2.4 (1.1–3.7)%</w:t>
                  </w:r>
                </w:p>
              </w:tc>
              <w:tc>
                <w:tcPr/>
                <w:p>
                  <w:pPr>
                    <w:pStyle w:val="Compact"/>
                    <w:jc w:val="left"/>
                    <w:jc w:val="center"/>
                  </w:pPr>
                  <w:r>
                    <w:t xml:space="preserve">3.3%</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60.4 (54.4–66.4)%</w:t>
                  </w:r>
                </w:p>
              </w:tc>
              <w:tc>
                <w:tcPr/>
                <w:p>
                  <w:pPr>
                    <w:pStyle w:val="Compact"/>
                    <w:jc w:val="left"/>
                    <w:jc w:val="center"/>
                  </w:pPr>
                  <w:r>
                    <w:t xml:space="preserve">58.8%</w:t>
                  </w:r>
                </w:p>
              </w:tc>
              <w:tc>
                <w:tcPr/>
                <w:p>
                  <w:pPr>
                    <w:pStyle w:val="Compact"/>
                    <w:jc w:val="right"/>
                    <w:jc w:val="center"/>
                  </w:pPr>
                  <w:r>
                    <w:t xml:space="preserve">1.6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64.3 (57.5–71.1)%</w:t>
                  </w:r>
                </w:p>
              </w:tc>
              <w:tc>
                <w:tcPr/>
                <w:p>
                  <w:pPr>
                    <w:pStyle w:val="Compact"/>
                    <w:jc w:val="left"/>
                    <w:jc w:val="center"/>
                  </w:pPr>
                  <w:r>
                    <w:t xml:space="preserve">64.8%</w:t>
                  </w:r>
                </w:p>
              </w:tc>
              <w:tc>
                <w:tcPr/>
                <w:p>
                  <w:pPr>
                    <w:pStyle w:val="Compact"/>
                    <w:jc w:val="right"/>
                    <w:jc w:val="center"/>
                  </w:pPr>
                  <w:r>
                    <w:t xml:space="preserve">0.5</w:t>
                  </w:r>
                </w:p>
              </w:tc>
            </w:tr>
          </w:tbl>
          <w:bookmarkEnd w:id="40"/>
          <w:p/>
        </w:tc>
      </w:tr>
    </w:tbl>
    <w:bookmarkEnd w:id="41"/>
    <w:bookmarkStart w:id="43" w:name="Xd5671671c5e6012cba754b7c6de7f0569ea75d6"/>
    <w:p>
      <w:pPr>
        <w:pStyle w:val="Heading2"/>
      </w:pPr>
      <w:r>
        <w:t xml:space="preserve">3.4 Benchmark comparison against canonical methods</w:t>
      </w:r>
    </w:p>
    <w:p>
      <w:pPr>
        <w:pStyle w:val="FirstParagraph"/>
      </w:pPr>
      <w:r>
        <w:t xml:space="preserve">Five comparator methods were evaluated alongside the area-level</w:t>
      </w:r>
      <w:r>
        <w:t xml:space="preserve"> </w:t>
      </w:r>
      <w:r>
        <w:t xml:space="preserve">SuperLearner: country-mean baseline, OLS with up to 8 covariates,</w:t>
      </w:r>
      <w:r>
        <w:t xml:space="preserve"> </w:t>
      </w:r>
      <w:r>
        <w:t xml:space="preserve">elastic-net penalised regression, Fay–Herriot, and the BYM2 disease</w:t>
      </w:r>
      <w:r>
        <w:t xml:space="preserve"> </w:t>
      </w:r>
      <w:r>
        <w:t xml:space="preserve">mapping model fit in INLA (</w:t>
      </w:r>
      <w:hyperlink w:anchor="tbl-benchmarks">
        <w:r>
          <w:rPr>
            <w:rStyle w:val="Hyperlink"/>
          </w:rPr>
          <w:t xml:space="preserve">Table 5</w:t>
        </w:r>
      </w:hyperlink>
      <w:r>
        <w:t xml:space="preserve">). Results across the four</w:t>
      </w:r>
      <w:r>
        <w:t xml:space="preserve"> </w:t>
      </w:r>
      <w:r>
        <w:t xml:space="preserve">primary LOCO outcomes indicate that the prescreened SuperLearner</w:t>
      </w:r>
      <w:r>
        <w:t xml:space="preserve"> </w:t>
      </w:r>
      <w:r>
        <w:t xml:space="preserve">ensemble does not consistently outperform simpler methods, and in fact</w:t>
      </w:r>
      <w:r>
        <w:t xml:space="preserve"> </w:t>
      </w:r>
      <w:r>
        <w:t xml:space="preserve">loses to them on most splits. Among the 13 outcome–holdout splits for</w:t>
      </w:r>
      <w:r>
        <w:t xml:space="preserve"> </w:t>
      </w:r>
      <w:r>
        <w:t xml:space="preserve">which both the prescreened ensemble and at least one canonical benchmark</w:t>
      </w:r>
      <w:r>
        <w:t xml:space="preserve"> </w:t>
      </w:r>
      <w:r>
        <w:t xml:space="preserve">(country-mean baseline, OLS, elastic-net, Fay–Herriot, or BYM2) were</w:t>
      </w:r>
      <w:r>
        <w:t xml:space="preserve"> </w:t>
      </w:r>
      <w:r>
        <w:t xml:space="preserve">estimable, the best benchmark method beat the ensemble on 10 and the</w:t>
      </w:r>
      <w:r>
        <w:t xml:space="preserve"> </w:t>
      </w:r>
      <w:r>
        <w:t xml:space="preserve">ensemble won 3 by Pearson r. The most dramatic disagreement was for</w:t>
      </w:r>
      <w:r>
        <w:t xml:space="preserve"> </w:t>
      </w:r>
      <w:r>
        <w:t xml:space="preserve">child iron deficiency with Sierra Leone held out, where the ensemble</w:t>
      </w:r>
      <w:r>
        <w:t xml:space="preserve"> </w:t>
      </w:r>
      <w:r>
        <w:t xml:space="preserve">produced anti-predictive ordering (r = −0.19) while a full-covariate</w:t>
      </w:r>
      <w:r>
        <w:t xml:space="preserve"> </w:t>
      </w:r>
      <w:r>
        <w:t xml:space="preserve">OLS recovered the signal (r = 0.51).</w:t>
      </w:r>
    </w:p>
    <w:p>
      <w:pPr>
        <w:pStyle w:val="BodyText"/>
      </w:pPr>
      <w:r>
        <w:t xml:space="preserve">The ensemble’s few wins were concentrated on outcomes with non-linear</w:t>
      </w:r>
      <w:r>
        <w:t xml:space="preserve"> </w:t>
      </w:r>
      <w:r>
        <w:t xml:space="preserve">spatial signal — most clearly women-iron deficiency with Gambia held out</w:t>
      </w:r>
      <w:r>
        <w:t xml:space="preserve"> </w:t>
      </w:r>
      <w:r>
        <w:t xml:space="preserve">(ensemble r = 0.59, versus 0.51 for elastic-net and −0.03 for OLS) and</w:t>
      </w:r>
      <w:r>
        <w:t xml:space="preserve"> </w:t>
      </w:r>
      <w:r>
        <w:t xml:space="preserve">with Ghana held out (ensemble r = 0.40 versus 0.27 for elastic-net) — and</w:t>
      </w:r>
      <w:r>
        <w:t xml:space="preserve"> </w:t>
      </w:r>
      <w:r>
        <w:t xml:space="preserve">in these cases ranger was the winning base learner in the ensemble.</w:t>
      </w:r>
      <w:r>
        <w:t xml:space="preserve"> </w:t>
      </w:r>
      <w:r>
        <w:t xml:space="preserve">Bayesian SAE models (Fay–Herriot, BYM2)</w:t>
      </w:r>
      <w:r>
        <w:t xml:space="preserve"> </w:t>
      </w:r>
      <w:r>
        <w:t xml:space="preserve">provided small additional gains in calibration but did not</w:t>
      </w:r>
      <w:r>
        <w:t xml:space="preserve"> </w:t>
      </w:r>
      <w:r>
        <w:t xml:space="preserve">substantially shift the Pearson r ranking, consistent with the</w:t>
      </w:r>
      <w:r>
        <w:t xml:space="preserve"> </w:t>
      </w:r>
      <w:r>
        <w:t xml:space="preserve">observation that these methods derive most of their advantage from</w:t>
      </w:r>
      <w:r>
        <w:t xml:space="preserve"> </w:t>
      </w:r>
      <w:r>
        <w:t xml:space="preserve">within-country spatial smoothing, which is partially lost in LOCO</w:t>
      </w:r>
      <w:r>
        <w:t xml:space="preserve"> </w:t>
      </w:r>
      <w:r>
        <w:t xml:space="preserve">holdout when the held-out country contributes no observed data to the</w:t>
      </w:r>
      <w:r>
        <w:t xml:space="preserve"> </w:t>
      </w:r>
      <w:r>
        <w:t xml:space="preserve">graph.</w:t>
      </w:r>
    </w:p>
    <w:tbl>
      <w:tblPr>
        <w:tblStyle w:val="Table"/>
        <w:tblW w:type="pct" w:w="5000"/>
        <w:tblLayout w:type="fixed"/>
        <w:tblLook w:firstRow="0" w:lastRow="0" w:firstColumn="0" w:lastColumn="0" w:noHBand="0" w:noVBand="0" w:val="0000"/>
      </w:tblPr>
      <w:tblGrid>
        <w:gridCol w:w="7920"/>
      </w:tblGrid>
      <w:tr>
        <w:tc>
          <w:tcPr/>
          <w:bookmarkStart w:id="42" w:name="tbl-benchmarks"/>
          <w:p>
            <w:pPr>
              <w:jc w:val="center"/>
            </w:pPr>
            <w:pPr>
              <w:jc w:val="start"/>
              <w:spacing w:before="200"/>
              <w:pStyle w:val="ImageCaption"/>
            </w:pPr>
            <w:r>
              <w:t xml:space="preserve">Table 5: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25"/>
              <w:gridCol w:w="579"/>
              <w:gridCol w:w="515"/>
              <w:gridCol w:w="482"/>
              <w:gridCol w:w="515"/>
              <w:gridCol w:w="579"/>
              <w:gridCol w:w="482"/>
              <w:gridCol w:w="225"/>
              <w:gridCol w:w="225"/>
              <w:gridCol w:w="289"/>
              <w:gridCol w:w="257"/>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c>
                <w:tcPr/>
                <w:p>
                  <w:pPr>
                    <w:pStyle w:val="Compact"/>
                    <w:jc w:val="right"/>
                    <w:jc w:val="center"/>
                  </w:pPr>
                  <w:r>
                    <w:t xml:space="preserve">quantile</w:t>
                  </w:r>
                </w:p>
              </w:tc>
              <w:tc>
                <w:tcPr/>
                <w:p>
                  <w:pPr>
                    <w:pStyle w:val="Compact"/>
                    <w:jc w:val="right"/>
                    <w:jc w:val="center"/>
                  </w:pPr>
                  <w:r>
                    <w:t xml:space="preserve">betareg</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-0.556</w:t>
                  </w:r>
                </w:p>
              </w:tc>
              <w:tc>
                <w:tcPr/>
                <w:p>
                  <w:pPr>
                    <w:pStyle w:val="Compact"/>
                    <w:jc w:val="right"/>
                    <w:jc w:val="center"/>
                  </w:pPr>
                  <w:r>
                    <w:t xml:space="preserve">0.212</w:t>
                  </w:r>
                </w:p>
              </w:tc>
              <w:tc>
                <w:tcPr/>
                <w:p>
                  <w:pPr>
                    <w:pStyle w:val="Compact"/>
                    <w:jc w:val="right"/>
                    <w:jc w:val="center"/>
                  </w:pPr>
                  <w:r>
                    <w:t xml:space="preserve">-0.171</w:t>
                  </w:r>
                </w:p>
              </w:tc>
              <w:tc>
                <w:tcPr/>
                <w:p>
                  <w:pPr>
                    <w:pStyle w:val="Compact"/>
                    <w:jc w:val="right"/>
                    <w:jc w:val="center"/>
                  </w:pPr>
                  <w:r>
                    <w:t xml:space="preserve">-0.478</w:t>
                  </w:r>
                </w:p>
              </w:tc>
              <w:tc>
                <w:tcPr/>
                <w:p>
                  <w:pPr>
                    <w:pStyle w:val="Compact"/>
                    <w:jc w:val="right"/>
                    <w:jc w:val="center"/>
                  </w:pPr>
                  <w:r>
                    <w:t xml:space="preserve">0.180</w:t>
                  </w:r>
                </w:p>
              </w:tc>
              <w:tc>
                <w:tcPr/>
                <w:p>
                  <w:pPr>
                    <w:pStyle w:val="Compact"/>
                    <w:jc w:val="right"/>
                    <w:jc w:val="center"/>
                  </w:pPr>
                  <w:r>
                    <w:t xml:space="preserve">-0.238</w:t>
                  </w:r>
                </w:p>
              </w:tc>
              <w:tc>
                <w:tcPr/>
                <w:p>
                  <w:pPr>
                    <w:pStyle w:val="Compact"/>
                    <w:jc w:val="right"/>
                    <w:jc w:val="center"/>
                  </w:pPr>
                  <w:r>
                    <w:t xml:space="preserve">-0.579</w:t>
                  </w:r>
                </w:p>
              </w:tc>
              <w:tc>
                <w:tcPr/>
                <w:p>
                  <w:pPr>
                    <w:pStyle w:val="Compact"/>
                    <w:jc w:val="right"/>
                    <w:jc w:val="center"/>
                  </w:pPr>
                  <w:r>
                    <w:t xml:space="preserve">-0.478</w:t>
                  </w:r>
                </w:p>
              </w:tc>
              <w:tc>
                <w:tcPr/>
                <w:p>
                  <w:pPr>
                    <w:pStyle w:val="Compact"/>
                    <w:jc w:val="right"/>
                    <w:jc w:val="center"/>
                  </w:pPr>
                  <w:r>
                    <w:t xml:space="preserve">-0.495</w:t>
                  </w:r>
                </w:p>
              </w:tc>
              <w:tc>
                <w:tcPr/>
                <w:p>
                  <w:pPr>
                    <w:pStyle w:val="Compact"/>
                    <w:jc w:val="right"/>
                    <w:jc w:val="center"/>
                  </w:pPr>
                  <w:r>
                    <w:t xml:space="preserve">0.125</w:t>
                  </w:r>
                </w:p>
              </w:tc>
              <w:tc>
                <w:tcPr/>
                <w:p>
                  <w:pPr>
                    <w:pStyle w:val="Compact"/>
                    <w:jc w:val="right"/>
                    <w:jc w:val="center"/>
                  </w:pPr>
                  <w:r>
                    <w:t xml:space="preserve">-0.359</w:t>
                  </w:r>
                </w:p>
              </w:tc>
              <w:tc>
                <w:tcPr/>
                <w:p>
                  <w:pPr>
                    <w:pStyle w:val="Compact"/>
                    <w:jc w:val="right"/>
                    <w:jc w:val="center"/>
                  </w:pPr>
                  <w:r>
                    <w:t xml:space="preserve">-0.323</w:t>
                  </w:r>
                </w:p>
              </w:tc>
              <w:tc>
                <w:tcPr/>
                <w:p>
                  <w:pPr>
                    <w:pStyle w:val="Compact"/>
                    <w:jc w:val="right"/>
                    <w:jc w:val="center"/>
                  </w:pPr>
                  <w:r>
                    <w:t xml:space="preserve">0.572</w:t>
                  </w:r>
                </w:p>
              </w:tc>
              <w:tc>
                <w:tcPr/>
                <w:p>
                  <w:pPr>
                    <w:pStyle w:val="Compact"/>
                    <w:jc w:val="right"/>
                    <w:jc w:val="center"/>
                  </w:pPr>
                  <w:r>
                    <w:t xml:space="preserve">-0.298</w:t>
                  </w:r>
                </w:p>
              </w:tc>
              <w:tc>
                <w:tcPr/>
                <w:p>
                  <w:pPr>
                    <w:pStyle w:val="Compact"/>
                    <w:jc w:val="right"/>
                    <w:jc w:val="center"/>
                  </w:pPr>
                  <w:r>
                    <w:t xml:space="preserve">0.556</w:t>
                  </w:r>
                </w:p>
              </w:tc>
              <w:tc>
                <w:tcPr/>
                <w:p>
                  <w:pPr>
                    <w:pStyle w:val="Compact"/>
                    <w:jc w:val="right"/>
                    <w:jc w:val="center"/>
                  </w:pPr>
                  <w:r>
                    <w:t xml:space="preserve">-0.212</w:t>
                  </w:r>
                </w:p>
              </w:tc>
              <w:tc>
                <w:tcPr/>
                <w:p>
                  <w:pPr>
                    <w:pStyle w:val="Compact"/>
                    <w:jc w:val="right"/>
                    <w:jc w:val="center"/>
                  </w:pPr>
                  <w:r>
                    <w:t xml:space="preserve">-0.023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-0.064</w:t>
                  </w:r>
                </w:p>
              </w:tc>
              <w:tc>
                <w:tcPr/>
                <w:p>
                  <w:pPr>
                    <w:pStyle w:val="Compact"/>
                    <w:jc w:val="right"/>
                    <w:jc w:val="center"/>
                  </w:pPr>
                  <w:r>
                    <w:t xml:space="preserve">-0.036</w:t>
                  </w:r>
                </w:p>
              </w:tc>
              <w:tc>
                <w:tcPr/>
                <w:p>
                  <w:pPr>
                    <w:pStyle w:val="Compact"/>
                    <w:jc w:val="right"/>
                    <w:jc w:val="center"/>
                  </w:pPr>
                  <w:r>
                    <w:t xml:space="preserve">-0.021</w:t>
                  </w:r>
                </w:p>
              </w:tc>
              <w:tc>
                <w:tcPr/>
                <w:p>
                  <w:pPr>
                    <w:pStyle w:val="Compact"/>
                    <w:jc w:val="right"/>
                    <w:jc w:val="center"/>
                  </w:pPr>
                  <w:r>
                    <w:t xml:space="preserve">-0.108</w:t>
                  </w:r>
                </w:p>
              </w:tc>
              <w:tc>
                <w:tcPr/>
                <w:p>
                  <w:pPr>
                    <w:pStyle w:val="Compact"/>
                    <w:jc w:val="right"/>
                    <w:jc w:val="center"/>
                  </w:pPr>
                  <w:r>
                    <w:t xml:space="preserve">0.171</w:t>
                  </w:r>
                </w:p>
              </w:tc>
              <w:tc>
                <w:tcPr/>
                <w:p>
                  <w:pPr>
                    <w:pStyle w:val="Compact"/>
                    <w:jc w:val="right"/>
                    <w:jc w:val="center"/>
                  </w:pPr>
                  <w:r>
                    <w:t xml:space="preserve">-0.057</w:t>
                  </w:r>
                </w:p>
              </w:tc>
              <w:tc>
                <w:tcPr/>
                <w:p>
                  <w:pPr>
                    <w:pStyle w:val="Compact"/>
                    <w:jc w:val="right"/>
                    <w:jc w:val="center"/>
                  </w:pPr>
                  <w:r>
                    <w:t xml:space="preserve">-0.033</w:t>
                  </w:r>
                </w:p>
              </w:tc>
              <w:tc>
                <w:tcPr/>
                <w:p>
                  <w:pPr>
                    <w:pStyle w:val="Compact"/>
                    <w:jc w:val="right"/>
                    <w:jc w:val="center"/>
                  </w:pPr>
                  <w:r>
                    <w:t xml:space="preserve">-0.043</w:t>
                  </w:r>
                </w:p>
              </w:tc>
              <w:tc>
                <w:tcPr/>
                <w:p>
                  <w:pPr>
                    <w:pStyle w:val="Compact"/>
                    <w:jc w:val="right"/>
                    <w:jc w:val="center"/>
                  </w:pPr>
                  <w:r>
                    <w:t xml:space="preserve">-0.067</w:t>
                  </w:r>
                </w:p>
              </w:tc>
              <w:tc>
                <w:tcPr/>
                <w:p>
                  <w:pPr>
                    <w:pStyle w:val="Compact"/>
                    <w:jc w:val="right"/>
                    <w:jc w:val="center"/>
                  </w:pPr>
                  <w:r>
                    <w:t xml:space="preserve">0.252</w:t>
                  </w:r>
                </w:p>
              </w:tc>
              <w:tc>
                <w:tcPr/>
                <w:p>
                  <w:pPr>
                    <w:pStyle w:val="Compact"/>
                    <w:jc w:val="right"/>
                    <w:jc w:val="center"/>
                  </w:pPr>
                  <w:r>
                    <w:t xml:space="preserve">0.334</w:t>
                  </w:r>
                </w:p>
              </w:tc>
              <w:tc>
                <w:tcPr/>
                <w:p>
                  <w:pPr>
                    <w:pStyle w:val="Compact"/>
                    <w:jc w:val="right"/>
                    <w:jc w:val="center"/>
                  </w:pPr>
                  <w:r>
                    <w:t xml:space="preserve">0.322</w:t>
                  </w:r>
                </w:p>
              </w:tc>
              <w:tc>
                <w:tcPr/>
                <w:p>
                  <w:pPr>
                    <w:pStyle w:val="Compact"/>
                    <w:jc w:val="right"/>
                    <w:jc w:val="center"/>
                  </w:pPr>
                  <w:r>
                    <w:t xml:space="preserve">0.346</w:t>
                  </w:r>
                </w:p>
              </w:tc>
              <w:tc>
                <w:tcPr/>
                <w:p>
                  <w:pPr>
                    <w:pStyle w:val="Compact"/>
                    <w:jc w:val="right"/>
                    <w:jc w:val="center"/>
                  </w:pPr>
                  <w:r>
                    <w:t xml:space="preserve">0.346</w:t>
                  </w:r>
                </w:p>
              </w:tc>
              <w:tc>
                <w:tcPr/>
                <w:p>
                  <w:pPr>
                    <w:pStyle w:val="Compact"/>
                    <w:jc w:val="right"/>
                    <w:jc w:val="center"/>
                  </w:pPr>
                  <w:r>
                    <w:t xml:space="preserve">0.363</w:t>
                  </w:r>
                </w:p>
              </w:tc>
              <w:tc>
                <w:tcPr/>
                <w:p>
                  <w:pPr>
                    <w:pStyle w:val="Compact"/>
                    <w:jc w:val="right"/>
                    <w:jc w:val="center"/>
                  </w:pPr>
                  <w:r>
                    <w:t xml:space="preserve">0.341</w:t>
                  </w:r>
                </w:p>
              </w:tc>
              <w:tc>
                <w:tcPr/>
                <w:p>
                  <w:pPr>
                    <w:pStyle w:val="Compact"/>
                    <w:jc w:val="right"/>
                    <w:jc w:val="center"/>
                  </w:pPr>
                  <w:r>
                    <w:t xml:space="preserve">-0.025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-0.228</w:t>
                  </w:r>
                </w:p>
              </w:tc>
              <w:tc>
                <w:tcPr/>
                <w:p>
                  <w:pPr>
                    <w:pStyle w:val="Compact"/>
                    <w:jc w:val="right"/>
                    <w:jc w:val="center"/>
                  </w:pPr>
                  <w:r>
                    <w:t xml:space="preserve">0.007</w:t>
                  </w:r>
                </w:p>
              </w:tc>
              <w:tc>
                <w:tcPr/>
                <w:p>
                  <w:pPr>
                    <w:pStyle w:val="Compact"/>
                    <w:jc w:val="right"/>
                    <w:jc w:val="center"/>
                  </w:pPr>
                  <w:r>
                    <w:t xml:space="preserve">-0.007</w:t>
                  </w:r>
                </w:p>
              </w:tc>
              <w:tc>
                <w:tcPr/>
                <w:p>
                  <w:pPr>
                    <w:pStyle w:val="Compact"/>
                    <w:jc w:val="right"/>
                    <w:jc w:val="center"/>
                  </w:pPr>
                  <w:r>
                    <w:t xml:space="preserve">-0.046</w:t>
                  </w:r>
                </w:p>
              </w:tc>
              <w:tc>
                <w:tcPr/>
                <w:p>
                  <w:pPr>
                    <w:pStyle w:val="Compact"/>
                    <w:jc w:val="right"/>
                    <w:jc w:val="center"/>
                  </w:pPr>
                  <w:r>
                    <w:t xml:space="preserve">NA</w:t>
                  </w:r>
                </w:p>
              </w:tc>
              <w:tc>
                <w:tcPr/>
                <w:p>
                  <w:pPr>
                    <w:pStyle w:val="Compact"/>
                    <w:jc w:val="right"/>
                    <w:jc w:val="center"/>
                  </w:pPr>
                  <w:r>
                    <w:t xml:space="preserve">-0.042</w:t>
                  </w:r>
                </w:p>
              </w:tc>
              <w:tc>
                <w:tcPr/>
                <w:p>
                  <w:pPr>
                    <w:pStyle w:val="Compact"/>
                    <w:jc w:val="right"/>
                    <w:jc w:val="center"/>
                  </w:pPr>
                  <w:r>
                    <w:t xml:space="preserve">-0.057</w:t>
                  </w:r>
                </w:p>
              </w:tc>
              <w:tc>
                <w:tcPr/>
                <w:p>
                  <w:pPr>
                    <w:pStyle w:val="Compact"/>
                    <w:jc w:val="right"/>
                    <w:jc w:val="center"/>
                  </w:pPr>
                  <w:r>
                    <w:t xml:space="preserve">-0.049</w:t>
                  </w:r>
                </w:p>
              </w:tc>
              <w:tc>
                <w:tcPr/>
                <w:p>
                  <w:pPr>
                    <w:pStyle w:val="Compact"/>
                    <w:jc w:val="right"/>
                    <w:jc w:val="center"/>
                  </w:pPr>
                  <w:r>
                    <w:t xml:space="preserve">-0.253</w:t>
                  </w:r>
                </w:p>
              </w:tc>
              <w:tc>
                <w:tcPr/>
                <w:p>
                  <w:pPr>
                    <w:pStyle w:val="Compact"/>
                    <w:jc w:val="right"/>
                    <w:jc w:val="center"/>
                  </w:pPr>
                  <w:r>
                    <w:t xml:space="preserve">-0.100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0.137</w:t>
                  </w:r>
                </w:p>
              </w:tc>
              <w:tc>
                <w:tcPr/>
                <w:p>
                  <w:pPr>
                    <w:pStyle w:val="Compact"/>
                    <w:jc w:val="right"/>
                    <w:jc w:val="center"/>
                  </w:pPr>
                  <w:r>
                    <w:t xml:space="preserve">0.137</w:t>
                  </w:r>
                </w:p>
              </w:tc>
              <w:tc>
                <w:tcPr/>
                <w:p>
                  <w:pPr>
                    <w:pStyle w:val="Compact"/>
                    <w:jc w:val="right"/>
                    <w:jc w:val="center"/>
                  </w:pPr>
                  <w:r>
                    <w:t xml:space="preserve">0.103</w:t>
                  </w:r>
                </w:p>
              </w:tc>
              <w:tc>
                <w:tcPr/>
                <w:p>
                  <w:pPr>
                    <w:pStyle w:val="Compact"/>
                    <w:jc w:val="right"/>
                    <w:jc w:val="center"/>
                  </w:pPr>
                  <w:r>
                    <w:t xml:space="preserve">-0.102</w:t>
                  </w:r>
                </w:p>
              </w:tc>
              <w:tc>
                <w:tcPr/>
                <w:p>
                  <w:pPr>
                    <w:pStyle w:val="Compact"/>
                    <w:jc w:val="right"/>
                    <w:jc w:val="center"/>
                  </w:pPr>
                  <w:r>
                    <w:t xml:space="preserve">-0.244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-0.015</w:t>
                  </w:r>
                </w:p>
              </w:tc>
              <w:tc>
                <w:tcPr/>
                <w:p>
                  <w:pPr>
                    <w:pStyle w:val="Compact"/>
                    <w:jc w:val="right"/>
                    <w:jc w:val="center"/>
                  </w:pPr>
                  <w:r>
                    <w:t xml:space="preserve">0.099</w:t>
                  </w:r>
                </w:p>
              </w:tc>
              <w:tc>
                <w:tcPr/>
                <w:p>
                  <w:pPr>
                    <w:pStyle w:val="Compact"/>
                    <w:jc w:val="right"/>
                    <w:jc w:val="center"/>
                  </w:pPr>
                  <w:r>
                    <w:t xml:space="preserve">0.022</w:t>
                  </w:r>
                </w:p>
              </w:tc>
              <w:tc>
                <w:tcPr/>
                <w:p>
                  <w:pPr>
                    <w:pStyle w:val="Compact"/>
                    <w:jc w:val="right"/>
                    <w:jc w:val="center"/>
                  </w:pPr>
                  <w:r>
                    <w:t xml:space="preserve">-0.015</w:t>
                  </w:r>
                </w:p>
              </w:tc>
              <w:tc>
                <w:tcPr/>
                <w:p>
                  <w:pPr>
                    <w:pStyle w:val="Compact"/>
                    <w:jc w:val="right"/>
                    <w:jc w:val="center"/>
                  </w:pPr>
                  <w:r>
                    <w:t xml:space="preserve">0.060</w:t>
                  </w:r>
                </w:p>
              </w:tc>
              <w:tc>
                <w:tcPr/>
                <w:p>
                  <w:pPr>
                    <w:pStyle w:val="Compact"/>
                    <w:jc w:val="right"/>
                    <w:jc w:val="center"/>
                  </w:pPr>
                  <w:r>
                    <w:t xml:space="preserve">-0.006</w:t>
                  </w:r>
                </w:p>
              </w:tc>
              <w:tc>
                <w:tcPr/>
                <w:p>
                  <w:pPr>
                    <w:pStyle w:val="Compact"/>
                    <w:jc w:val="right"/>
                    <w:jc w:val="center"/>
                  </w:pPr>
                  <w:r>
                    <w:t xml:space="preserve">-0.197</w:t>
                  </w:r>
                </w:p>
              </w:tc>
              <w:tc>
                <w:tcPr/>
                <w:p>
                  <w:pPr>
                    <w:pStyle w:val="Compact"/>
                    <w:jc w:val="right"/>
                    <w:jc w:val="center"/>
                  </w:pPr>
                  <w:r>
                    <w:t xml:space="preserve">-0.125</w:t>
                  </w:r>
                </w:p>
              </w:tc>
              <w:tc>
                <w:tcPr/>
                <w:p>
                  <w:pPr>
                    <w:pStyle w:val="Compact"/>
                    <w:jc w:val="right"/>
                    <w:jc w:val="center"/>
                  </w:pPr>
                  <w:r>
                    <w:t xml:space="preserve">-0.060</w:t>
                  </w:r>
                </w:p>
              </w:tc>
              <w:tc>
                <w:tcPr/>
                <w:p>
                  <w:pPr>
                    <w:pStyle w:val="Compact"/>
                    <w:jc w:val="right"/>
                    <w:jc w:val="center"/>
                  </w:pPr>
                  <w:r>
                    <w:t xml:space="preserve">0.175</w:t>
                  </w:r>
                </w:p>
              </w:tc>
              <w:tc>
                <w:tcPr/>
                <w:p>
                  <w:pPr>
                    <w:pStyle w:val="Compact"/>
                    <w:jc w:val="right"/>
                    <w:jc w:val="center"/>
                  </w:pPr>
                  <w:r>
                    <w:t xml:space="preserve">0.104</w:t>
                  </w:r>
                </w:p>
              </w:tc>
              <w:tc>
                <w:tcPr/>
                <w:p>
                  <w:pPr>
                    <w:pStyle w:val="Compact"/>
                    <w:jc w:val="right"/>
                    <w:jc w:val="center"/>
                  </w:pPr>
                  <w:r>
                    <w:t xml:space="preserve">0.105</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0.005</w:t>
                  </w:r>
                </w:p>
              </w:tc>
              <w:tc>
                <w:tcPr/>
                <w:p>
                  <w:pPr>
                    <w:pStyle w:val="Compact"/>
                    <w:jc w:val="right"/>
                    <w:jc w:val="center"/>
                  </w:pPr>
                  <w:r>
                    <w:t xml:space="preserve">0.072</w:t>
                  </w:r>
                </w:p>
              </w:tc>
              <w:tc>
                <w:tcPr/>
                <w:p>
                  <w:pPr>
                    <w:pStyle w:val="Compact"/>
                    <w:jc w:val="right"/>
                    <w:jc w:val="center"/>
                  </w:pPr>
                  <w:r>
                    <w:t xml:space="preserve">-0.011</w:t>
                  </w:r>
                </w:p>
              </w:tc>
              <w:tc>
                <w:tcPr/>
                <w:p>
                  <w:pPr>
                    <w:pStyle w:val="Compact"/>
                    <w:jc w:val="right"/>
                    <w:jc w:val="center"/>
                  </w:pPr>
                  <w:r>
                    <w:t xml:space="preserve">0.077</w:t>
                  </w:r>
                </w:p>
              </w:tc>
              <w:tc>
                <w:tcPr/>
                <w:p>
                  <w:pPr>
                    <w:pStyle w:val="Compact"/>
                    <w:jc w:val="right"/>
                    <w:jc w:val="center"/>
                  </w:pPr>
                  <w:r>
                    <w:t xml:space="preserve">-0.115</w:t>
                  </w:r>
                </w:p>
              </w:tc>
              <w:tc>
                <w:tcPr/>
                <w:p>
                  <w:pPr>
                    <w:pStyle w:val="Compact"/>
                    <w:jc w:val="right"/>
                    <w:jc w:val="center"/>
                  </w:pPr>
                  <w:r>
                    <w:t xml:space="preserve">0.029</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0.514</w:t>
                  </w:r>
                </w:p>
              </w:tc>
              <w:tc>
                <w:tcPr/>
                <w:p>
                  <w:pPr>
                    <w:pStyle w:val="Compact"/>
                    <w:jc w:val="right"/>
                    <w:jc w:val="center"/>
                  </w:pPr>
                  <w:r>
                    <w:t xml:space="preserve">NA</w:t>
                  </w:r>
                </w:p>
              </w:tc>
              <w:tc>
                <w:tcPr/>
                <w:p>
                  <w:pPr>
                    <w:pStyle w:val="Compact"/>
                    <w:jc w:val="right"/>
                    <w:jc w:val="center"/>
                  </w:pPr>
                  <w:r>
                    <w:t xml:space="preserve">0.505</w:t>
                  </w:r>
                </w:p>
              </w:tc>
              <w:tc>
                <w:tcPr/>
                <w:p>
                  <w:pPr>
                    <w:pStyle w:val="Compact"/>
                    <w:jc w:val="right"/>
                    <w:jc w:val="center"/>
                  </w:pPr>
                  <w:r>
                    <w:t xml:space="preserve">0.515</w:t>
                  </w:r>
                </w:p>
              </w:tc>
              <w:tc>
                <w:tcPr/>
                <w:p>
                  <w:pPr>
                    <w:pStyle w:val="Compact"/>
                    <w:jc w:val="right"/>
                    <w:jc w:val="center"/>
                  </w:pPr>
                  <w:r>
                    <w:t xml:space="preserve">0.461</w:t>
                  </w:r>
                </w:p>
              </w:tc>
              <w:tc>
                <w:tcPr/>
                <w:p>
                  <w:pPr>
                    <w:pStyle w:val="Compact"/>
                    <w:jc w:val="right"/>
                    <w:jc w:val="center"/>
                  </w:pPr>
                  <w:r>
                    <w:t xml:space="preserve">0.173</w:t>
                  </w:r>
                </w:p>
              </w:tc>
              <w:tc>
                <w:tcPr/>
                <w:p>
                  <w:pPr>
                    <w:pStyle w:val="Compact"/>
                    <w:jc w:val="right"/>
                    <w:jc w:val="center"/>
                  </w:pPr>
                  <w:r>
                    <w:t xml:space="preserve">0.459</w:t>
                  </w:r>
                </w:p>
              </w:tc>
              <w:tc>
                <w:tcPr/>
                <w:p>
                  <w:pPr>
                    <w:pStyle w:val="Compact"/>
                    <w:jc w:val="right"/>
                    <w:jc w:val="center"/>
                  </w:pPr>
                  <w:r>
                    <w:t xml:space="preserve">0.515</w:t>
                  </w:r>
                </w:p>
              </w:tc>
              <w:tc>
                <w:tcPr/>
                <w:p>
                  <w:pPr>
                    <w:pStyle w:val="Compact"/>
                    <w:jc w:val="right"/>
                    <w:jc w:val="center"/>
                  </w:pPr>
                  <w:r>
                    <w:t xml:space="preserve">0.581</w:t>
                  </w:r>
                </w:p>
              </w:tc>
              <w:tc>
                <w:tcPr/>
                <w:p>
                  <w:pPr>
                    <w:pStyle w:val="Compact"/>
                    <w:jc w:val="right"/>
                    <w:jc w:val="center"/>
                  </w:pPr>
                  <w:r>
                    <w:t xml:space="preserve">-0.107</w:t>
                  </w:r>
                </w:p>
              </w:tc>
              <w:tc>
                <w:tcPr/>
                <w:p>
                  <w:pPr>
                    <w:pStyle w:val="Compact"/>
                    <w:jc w:val="right"/>
                    <w:jc w:val="center"/>
                  </w:pPr>
                  <w:r>
                    <w:t xml:space="preserve">0.071</w:t>
                  </w:r>
                </w:p>
              </w:tc>
              <w:tc>
                <w:tcPr/>
                <w:p>
                  <w:pPr>
                    <w:pStyle w:val="Compact"/>
                    <w:jc w:val="right"/>
                    <w:jc w:val="center"/>
                  </w:pPr>
                  <w:r>
                    <w:t xml:space="preserve">0.236</w:t>
                  </w:r>
                </w:p>
              </w:tc>
              <w:tc>
                <w:tcPr/>
                <w:p>
                  <w:pPr>
                    <w:pStyle w:val="Compact"/>
                    <w:jc w:val="right"/>
                    <w:jc w:val="center"/>
                  </w:pPr>
                  <w:r>
                    <w:t xml:space="preserve">0.520</w:t>
                  </w:r>
                </w:p>
              </w:tc>
              <w:tc>
                <w:tcPr/>
                <w:p>
                  <w:pPr>
                    <w:pStyle w:val="Compact"/>
                    <w:jc w:val="right"/>
                    <w:jc w:val="center"/>
                  </w:pPr>
                  <w:r>
                    <w:t xml:space="preserve">0.485</w:t>
                  </w:r>
                </w:p>
              </w:tc>
              <w:tc>
                <w:tcPr/>
                <w:p>
                  <w:pPr>
                    <w:pStyle w:val="Compact"/>
                    <w:jc w:val="right"/>
                    <w:jc w:val="center"/>
                  </w:pPr>
                  <w:r>
                    <w:t xml:space="preserve">0.526</w:t>
                  </w:r>
                </w:p>
              </w:tc>
              <w:tc>
                <w:tcPr/>
                <w:p>
                  <w:pPr>
                    <w:pStyle w:val="Compact"/>
                    <w:jc w:val="right"/>
                    <w:jc w:val="center"/>
                  </w:pPr>
                  <w:r>
                    <w:t xml:space="preserve">0.430</w:t>
                  </w:r>
                </w:p>
              </w:tc>
              <w:tc>
                <w:tcPr/>
                <w:p>
                  <w:pPr>
                    <w:pStyle w:val="Compact"/>
                    <w:jc w:val="right"/>
                    <w:jc w:val="center"/>
                  </w:pPr>
                  <w:r>
                    <w:t xml:space="preserve">0.356</w:t>
                  </w:r>
                </w:p>
              </w:tc>
              <w:tc>
                <w:tcPr/>
                <w:p>
                  <w:pPr>
                    <w:pStyle w:val="Compact"/>
                    <w:jc w:val="right"/>
                    <w:jc w:val="center"/>
                  </w:pPr>
                  <w:r>
                    <w:t xml:space="preserve">-0.242</w:t>
                  </w:r>
                </w:p>
              </w:tc>
              <w:tc>
                <w:tcPr/>
                <w:p>
                  <w:pPr>
                    <w:pStyle w:val="Compact"/>
                    <w:jc w:val="right"/>
                    <w:jc w:val="center"/>
                  </w:pPr>
                  <w:r>
                    <w:t xml:space="preserve">0.318</w:t>
                  </w:r>
                </w:p>
              </w:tc>
              <w:tc>
                <w:tcPr/>
                <w:p>
                  <w:pPr>
                    <w:pStyle w:val="Compact"/>
                    <w:jc w:val="right"/>
                    <w:jc w:val="center"/>
                  </w:pPr>
                  <w:r>
                    <w:t xml:space="preserve">0.467</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0.154</w:t>
                  </w:r>
                </w:p>
              </w:tc>
              <w:tc>
                <w:tcPr/>
                <w:p>
                  <w:pPr>
                    <w:pStyle w:val="Compact"/>
                    <w:jc w:val="right"/>
                    <w:jc w:val="center"/>
                  </w:pPr>
                  <w:r>
                    <w:t xml:space="preserve">0.279</w:t>
                  </w:r>
                </w:p>
              </w:tc>
              <w:tc>
                <w:tcPr/>
                <w:p>
                  <w:pPr>
                    <w:pStyle w:val="Compact"/>
                    <w:jc w:val="right"/>
                    <w:jc w:val="center"/>
                  </w:pPr>
                  <w:r>
                    <w:t xml:space="preserve">0.099</w:t>
                  </w:r>
                </w:p>
              </w:tc>
              <w:tc>
                <w:tcPr/>
                <w:p>
                  <w:pPr>
                    <w:pStyle w:val="Compact"/>
                    <w:jc w:val="right"/>
                    <w:jc w:val="center"/>
                  </w:pPr>
                  <w:r>
                    <w:t xml:space="preserve">0.166</w:t>
                  </w:r>
                </w:p>
              </w:tc>
              <w:tc>
                <w:tcPr/>
                <w:p>
                  <w:pPr>
                    <w:pStyle w:val="Compact"/>
                    <w:jc w:val="right"/>
                    <w:jc w:val="center"/>
                  </w:pPr>
                  <w:r>
                    <w:t xml:space="preserve">0.222</w:t>
                  </w:r>
                </w:p>
              </w:tc>
              <w:tc>
                <w:tcPr/>
                <w:p>
                  <w:pPr>
                    <w:pStyle w:val="Compact"/>
                    <w:jc w:val="right"/>
                    <w:jc w:val="center"/>
                  </w:pPr>
                  <w:r>
                    <w:t xml:space="preserve">0.128</w:t>
                  </w:r>
                </w:p>
              </w:tc>
              <w:tc>
                <w:tcPr/>
                <w:p>
                  <w:pPr>
                    <w:pStyle w:val="Compact"/>
                    <w:jc w:val="right"/>
                    <w:jc w:val="center"/>
                  </w:pPr>
                  <w:r>
                    <w:t xml:space="preserve">-0.042</w:t>
                  </w:r>
                </w:p>
              </w:tc>
              <w:tc>
                <w:tcPr/>
                <w:p>
                  <w:pPr>
                    <w:pStyle w:val="Compact"/>
                    <w:jc w:val="right"/>
                    <w:jc w:val="center"/>
                  </w:pPr>
                  <w:r>
                    <w:t xml:space="preserve">0.219</w:t>
                  </w:r>
                </w:p>
              </w:tc>
              <w:tc>
                <w:tcPr/>
                <w:p>
                  <w:pPr>
                    <w:pStyle w:val="Compact"/>
                    <w:jc w:val="right"/>
                    <w:jc w:val="center"/>
                  </w:pPr>
                  <w:r>
                    <w:t xml:space="preserve">0.118</w:t>
                  </w:r>
                </w:p>
              </w:tc>
              <w:tc>
                <w:tcPr/>
                <w:p>
                  <w:pPr>
                    <w:pStyle w:val="Compact"/>
                    <w:jc w:val="right"/>
                    <w:jc w:val="center"/>
                  </w:pPr>
                  <w:r>
                    <w:t xml:space="preserve">0.111</w:t>
                  </w:r>
                </w:p>
              </w:tc>
              <w:tc>
                <w:tcPr/>
                <w:p>
                  <w:pPr>
                    <w:pStyle w:val="Compact"/>
                    <w:jc w:val="right"/>
                    <w:jc w:val="center"/>
                  </w:pPr>
                  <w:r>
                    <w:t xml:space="preserve">0.170</w:t>
                  </w:r>
                </w:p>
              </w:tc>
              <w:tc>
                <w:tcPr/>
                <w:p>
                  <w:pPr>
                    <w:pStyle w:val="Compact"/>
                    <w:jc w:val="right"/>
                    <w:jc w:val="center"/>
                  </w:pPr>
                  <w:r>
                    <w:t xml:space="preserve">0.149</w:t>
                  </w:r>
                </w:p>
              </w:tc>
              <w:tc>
                <w:tcPr/>
                <w:p>
                  <w:pPr>
                    <w:pStyle w:val="Compact"/>
                    <w:jc w:val="right"/>
                    <w:jc w:val="center"/>
                  </w:pPr>
                  <w:r>
                    <w:t xml:space="preserve">0.239</w:t>
                  </w:r>
                </w:p>
              </w:tc>
              <w:tc>
                <w:tcPr/>
                <w:p>
                  <w:pPr>
                    <w:pStyle w:val="Compact"/>
                    <w:jc w:val="right"/>
                    <w:jc w:val="center"/>
                  </w:pPr>
                  <w:r>
                    <w:t xml:space="preserve">0.239</w:t>
                  </w:r>
                </w:p>
              </w:tc>
              <w:tc>
                <w:tcPr/>
                <w:p>
                  <w:pPr>
                    <w:pStyle w:val="Compact"/>
                    <w:jc w:val="right"/>
                    <w:jc w:val="center"/>
                  </w:pPr>
                  <w:r>
                    <w:t xml:space="preserve">0.262</w:t>
                  </w:r>
                </w:p>
              </w:tc>
              <w:tc>
                <w:tcPr/>
                <w:p>
                  <w:pPr>
                    <w:pStyle w:val="Compact"/>
                    <w:jc w:val="right"/>
                    <w:jc w:val="center"/>
                  </w:pPr>
                  <w:r>
                    <w:t xml:space="preserve">0.049</w:t>
                  </w:r>
                </w:p>
              </w:tc>
              <w:tc>
                <w:tcPr/>
                <w:p>
                  <w:pPr>
                    <w:pStyle w:val="Compact"/>
                    <w:jc w:val="right"/>
                    <w:jc w:val="center"/>
                  </w:pPr>
                  <w:r>
                    <w:t xml:space="preserve">0.207</w:t>
                  </w:r>
                </w:p>
              </w:tc>
              <w:tc>
                <w:tcPr/>
                <w:p>
                  <w:pPr>
                    <w:pStyle w:val="Compact"/>
                    <w:jc w:val="right"/>
                    <w:jc w:val="center"/>
                  </w:pPr>
                  <w:r>
                    <w:t xml:space="preserve">-0.041</w:t>
                  </w:r>
                </w:p>
              </w:tc>
              <w:tc>
                <w:tcPr/>
                <w:p>
                  <w:pPr>
                    <w:pStyle w:val="Compact"/>
                    <w:jc w:val="right"/>
                    <w:jc w:val="center"/>
                  </w:pPr>
                  <w:r>
                    <w:t xml:space="preserve">0.199</w:t>
                  </w:r>
                </w:p>
              </w:tc>
              <w:tc>
                <w:tcPr/>
                <w:p>
                  <w:pPr>
                    <w:pStyle w:val="Compact"/>
                    <w:jc w:val="right"/>
                    <w:jc w:val="center"/>
                  </w:pPr>
                  <w:r>
                    <w:t xml:space="preserve">-0.101</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0.180</w:t>
                  </w:r>
                </w:p>
              </w:tc>
              <w:tc>
                <w:tcPr/>
                <w:p>
                  <w:pPr>
                    <w:pStyle w:val="Compact"/>
                    <w:jc w:val="right"/>
                    <w:jc w:val="center"/>
                  </w:pPr>
                  <w:r>
                    <w:t xml:space="preserve">NA</w:t>
                  </w:r>
                </w:p>
              </w:tc>
              <w:tc>
                <w:tcPr/>
                <w:p>
                  <w:pPr>
                    <w:pStyle w:val="Compact"/>
                    <w:jc w:val="right"/>
                    <w:jc w:val="center"/>
                  </w:pPr>
                  <w:r>
                    <w:t xml:space="preserve">0.098</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-0.140</w:t>
                  </w:r>
                </w:p>
              </w:tc>
              <w:tc>
                <w:tcPr/>
                <w:p>
                  <w:pPr>
                    <w:pStyle w:val="Compact"/>
                    <w:jc w:val="right"/>
                    <w:jc w:val="center"/>
                  </w:pPr>
                  <w:r>
                    <w:t xml:space="preserve">-0.090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0.222</w:t>
                  </w:r>
                </w:p>
              </w:tc>
              <w:tc>
                <w:tcPr/>
                <w:p>
                  <w:pPr>
                    <w:pStyle w:val="Compact"/>
                    <w:jc w:val="right"/>
                    <w:jc w:val="center"/>
                  </w:pPr>
                  <w:r>
                    <w:t xml:space="preserve">NA</w:t>
                  </w:r>
                </w:p>
              </w:tc>
              <w:tc>
                <w:tcPr/>
                <w:p>
                  <w:pPr>
                    <w:pStyle w:val="Compact"/>
                    <w:jc w:val="right"/>
                    <w:jc w:val="center"/>
                  </w:pPr>
                  <w:r>
                    <w:t xml:space="preserve">-0.236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-0.096</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0.028</w:t>
                  </w:r>
                </w:p>
              </w:tc>
              <w:tc>
                <w:tcPr/>
                <w:p>
                  <w:pPr>
                    <w:pStyle w:val="Compact"/>
                    <w:jc w:val="right"/>
                    <w:jc w:val="center"/>
                  </w:pPr>
                  <w:r>
                    <w:t xml:space="preserve">0.154</w:t>
                  </w:r>
                </w:p>
              </w:tc>
              <w:tc>
                <w:tcPr/>
                <w:p>
                  <w:pPr>
                    <w:pStyle w:val="Compact"/>
                    <w:jc w:val="right"/>
                    <w:jc w:val="center"/>
                  </w:pPr>
                  <w:r>
                    <w:t xml:space="preserve">-0.021</w:t>
                  </w:r>
                </w:p>
              </w:tc>
              <w:tc>
                <w:tcPr/>
                <w:p>
                  <w:pPr>
                    <w:pStyle w:val="Compact"/>
                    <w:jc w:val="right"/>
                    <w:jc w:val="center"/>
                  </w:pPr>
                  <w:r>
                    <w:t xml:space="preserve">0.029</w:t>
                  </w:r>
                </w:p>
              </w:tc>
              <w:tc>
                <w:tcPr/>
                <w:p>
                  <w:pPr>
                    <w:pStyle w:val="Compact"/>
                    <w:jc w:val="right"/>
                    <w:jc w:val="center"/>
                  </w:pPr>
                  <w:r>
                    <w:t xml:space="preserve">0.152</w:t>
                  </w:r>
                </w:p>
              </w:tc>
              <w:tc>
                <w:tcPr/>
                <w:p>
                  <w:pPr>
                    <w:pStyle w:val="Compact"/>
                    <w:jc w:val="right"/>
                    <w:jc w:val="center"/>
                  </w:pPr>
                  <w:r>
                    <w:t xml:space="preserve">0.144</w:t>
                  </w:r>
                </w:p>
              </w:tc>
              <w:tc>
                <w:tcPr/>
                <w:p>
                  <w:pPr>
                    <w:pStyle w:val="Compact"/>
                    <w:jc w:val="right"/>
                    <w:jc w:val="center"/>
                  </w:pPr>
                  <w:r>
                    <w:t xml:space="preserve">0.043</w:t>
                  </w:r>
                </w:p>
              </w:tc>
              <w:tc>
                <w:tcPr/>
                <w:p>
                  <w:pPr>
                    <w:pStyle w:val="Compact"/>
                    <w:jc w:val="right"/>
                    <w:jc w:val="center"/>
                  </w:pPr>
                  <w:r>
                    <w:t xml:space="preserve">0.085</w:t>
                  </w:r>
                </w:p>
              </w:tc>
              <w:tc>
                <w:tcPr/>
                <w:p>
                  <w:pPr>
                    <w:pStyle w:val="Compact"/>
                    <w:jc w:val="right"/>
                    <w:jc w:val="center"/>
                  </w:pPr>
                  <w:r>
                    <w:t xml:space="preserve">-0.007</w:t>
                  </w:r>
                </w:p>
              </w:tc>
              <w:tc>
                <w:tcPr/>
                <w:p>
                  <w:pPr>
                    <w:pStyle w:val="Compact"/>
                    <w:jc w:val="right"/>
                    <w:jc w:val="center"/>
                  </w:pPr>
                  <w:r>
                    <w:t xml:space="preserve">0.031</w:t>
                  </w:r>
                </w:p>
              </w:tc>
              <w:tc>
                <w:tcPr/>
                <w:p>
                  <w:pPr>
                    <w:pStyle w:val="Compact"/>
                    <w:jc w:val="right"/>
                    <w:jc w:val="center"/>
                  </w:pPr>
                  <w:r>
                    <w:t xml:space="preserve">0.142</w:t>
                  </w:r>
                </w:p>
              </w:tc>
              <w:tc>
                <w:tcPr/>
                <w:p>
                  <w:pPr>
                    <w:pStyle w:val="Compact"/>
                    <w:jc w:val="right"/>
                    <w:jc w:val="center"/>
                  </w:pPr>
                  <w:r>
                    <w:t xml:space="preserve">0.123</w:t>
                  </w:r>
                </w:p>
              </w:tc>
              <w:tc>
                <w:tcPr/>
                <w:p>
                  <w:pPr>
                    <w:pStyle w:val="Compact"/>
                    <w:jc w:val="right"/>
                    <w:jc w:val="center"/>
                  </w:pPr>
                  <w:r>
                    <w:t xml:space="preserve">-0.228</w:t>
                  </w:r>
                </w:p>
              </w:tc>
              <w:tc>
                <w:tcPr/>
                <w:p>
                  <w:pPr>
                    <w:pStyle w:val="Compact"/>
                    <w:jc w:val="right"/>
                    <w:jc w:val="center"/>
                  </w:pPr>
                  <w:r>
                    <w:t xml:space="preserve">-0.228</w:t>
                  </w:r>
                </w:p>
              </w:tc>
              <w:tc>
                <w:tcPr/>
                <w:p>
                  <w:pPr>
                    <w:pStyle w:val="Compact"/>
                    <w:jc w:val="right"/>
                    <w:jc w:val="center"/>
                  </w:pPr>
                  <w:r>
                    <w:t xml:space="preserve">0.150</w:t>
                  </w:r>
                </w:p>
              </w:tc>
              <w:tc>
                <w:tcPr/>
                <w:p>
                  <w:pPr>
                    <w:pStyle w:val="Compact"/>
                    <w:jc w:val="right"/>
                    <w:jc w:val="center"/>
                  </w:pPr>
                  <w:r>
                    <w:t xml:space="preserve">0.144</w:t>
                  </w:r>
                </w:p>
              </w:tc>
              <w:tc>
                <w:tcPr/>
                <w:p>
                  <w:pPr>
                    <w:pStyle w:val="Compact"/>
                    <w:jc w:val="right"/>
                    <w:jc w:val="center"/>
                  </w:pPr>
                  <w:r>
                    <w:t xml:space="preserve">0.078</w:t>
                  </w:r>
                </w:p>
              </w:tc>
              <w:tc>
                <w:tcPr/>
                <w:p>
                  <w:pPr>
                    <w:pStyle w:val="Compact"/>
                    <w:jc w:val="right"/>
                    <w:jc w:val="center"/>
                  </w:pPr>
                  <w:r>
                    <w:t xml:space="preserve">0.061</w:t>
                  </w:r>
                </w:p>
              </w:tc>
              <w:tc>
                <w:tcPr/>
                <w:p>
                  <w:pPr>
                    <w:pStyle w:val="Compact"/>
                    <w:jc w:val="right"/>
                    <w:jc w:val="center"/>
                  </w:pPr>
                  <w:r>
                    <w:t xml:space="preserve">NA</w:t>
                  </w:r>
                </w:p>
              </w:tc>
              <w:tc>
                <w:tcPr/>
                <w:p>
                  <w:pPr>
                    <w:pStyle w:val="Compact"/>
                    <w:jc w:val="right"/>
                    <w:jc w:val="center"/>
                  </w:pPr>
                  <w:r>
                    <w:t xml:space="preserve">-0.016</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0.482</w:t>
                  </w:r>
                </w:p>
              </w:tc>
              <w:tc>
                <w:tcPr/>
                <w:p>
                  <w:pPr>
                    <w:pStyle w:val="Compact"/>
                    <w:jc w:val="right"/>
                    <w:jc w:val="center"/>
                  </w:pPr>
                  <w:r>
                    <w:t xml:space="preserve">0.495</w:t>
                  </w:r>
                </w:p>
              </w:tc>
              <w:tc>
                <w:tcPr/>
                <w:p>
                  <w:pPr>
                    <w:pStyle w:val="Compact"/>
                    <w:jc w:val="right"/>
                    <w:jc w:val="center"/>
                  </w:pPr>
                  <w:r>
                    <w:t xml:space="preserve">0.507</w:t>
                  </w:r>
                </w:p>
              </w:tc>
              <w:tc>
                <w:tcPr/>
                <w:p>
                  <w:pPr>
                    <w:pStyle w:val="Compact"/>
                    <w:jc w:val="right"/>
                    <w:jc w:val="center"/>
                  </w:pPr>
                  <w:r>
                    <w:t xml:space="preserve">0.482</w:t>
                  </w:r>
                </w:p>
              </w:tc>
              <w:tc>
                <w:tcPr/>
                <w:p>
                  <w:pPr>
                    <w:pStyle w:val="Compact"/>
                    <w:jc w:val="right"/>
                    <w:jc w:val="center"/>
                  </w:pPr>
                  <w:r>
                    <w:t xml:space="preserve">0.513</w:t>
                  </w:r>
                </w:p>
              </w:tc>
              <w:tc>
                <w:tcPr/>
                <w:p>
                  <w:pPr>
                    <w:pStyle w:val="Compact"/>
                    <w:jc w:val="right"/>
                    <w:jc w:val="center"/>
                  </w:pPr>
                  <w:r>
                    <w:t xml:space="preserve">0.400</w:t>
                  </w:r>
                </w:p>
              </w:tc>
              <w:tc>
                <w:tcPr/>
                <w:p>
                  <w:pPr>
                    <w:pStyle w:val="Compact"/>
                    <w:jc w:val="right"/>
                    <w:jc w:val="center"/>
                  </w:pPr>
                  <w:r>
                    <w:t xml:space="preserve">0.489</w:t>
                  </w:r>
                </w:p>
              </w:tc>
              <w:tc>
                <w:tcPr/>
                <w:p>
                  <w:pPr>
                    <w:pStyle w:val="Compact"/>
                    <w:jc w:val="right"/>
                    <w:jc w:val="center"/>
                  </w:pPr>
                  <w:r>
                    <w:t xml:space="preserve">0.498</w:t>
                  </w:r>
                </w:p>
              </w:tc>
              <w:tc>
                <w:tcPr/>
                <w:p>
                  <w:pPr>
                    <w:pStyle w:val="Compact"/>
                    <w:jc w:val="right"/>
                    <w:jc w:val="center"/>
                  </w:pPr>
                  <w:r>
                    <w:t xml:space="preserve">0.477</w:t>
                  </w:r>
                </w:p>
              </w:tc>
              <w:tc>
                <w:tcPr/>
                <w:p>
                  <w:pPr>
                    <w:pStyle w:val="Compact"/>
                    <w:jc w:val="right"/>
                    <w:jc w:val="center"/>
                  </w:pPr>
                  <w:r>
                    <w:t xml:space="preserve">0.080</w:t>
                  </w:r>
                </w:p>
              </w:tc>
              <w:tc>
                <w:tcPr/>
                <w:p>
                  <w:pPr>
                    <w:pStyle w:val="Compact"/>
                    <w:jc w:val="right"/>
                    <w:jc w:val="center"/>
                  </w:pPr>
                  <w:r>
                    <w:t xml:space="preserve">0.540</w:t>
                  </w:r>
                </w:p>
              </w:tc>
              <w:tc>
                <w:tcPr/>
                <w:p>
                  <w:pPr>
                    <w:pStyle w:val="Compact"/>
                    <w:jc w:val="right"/>
                    <w:jc w:val="center"/>
                  </w:pPr>
                  <w:r>
                    <w:t xml:space="preserve">0.534</w:t>
                  </w:r>
                </w:p>
              </w:tc>
              <w:tc>
                <w:tcPr/>
                <w:p>
                  <w:pPr>
                    <w:pStyle w:val="Compact"/>
                    <w:jc w:val="right"/>
                    <w:jc w:val="center"/>
                  </w:pPr>
                  <w:r>
                    <w:t xml:space="preserve">0.574</w:t>
                  </w:r>
                </w:p>
              </w:tc>
              <w:tc>
                <w:tcPr/>
                <w:p>
                  <w:pPr>
                    <w:pStyle w:val="Compact"/>
                    <w:jc w:val="right"/>
                    <w:jc w:val="center"/>
                  </w:pPr>
                  <w:r>
                    <w:t xml:space="preserve">0.574</w:t>
                  </w:r>
                </w:p>
              </w:tc>
              <w:tc>
                <w:tcPr/>
                <w:p>
                  <w:pPr>
                    <w:pStyle w:val="Compact"/>
                    <w:jc w:val="right"/>
                    <w:jc w:val="center"/>
                  </w:pPr>
                  <w:r>
                    <w:t xml:space="preserve">0.496</w:t>
                  </w:r>
                </w:p>
              </w:tc>
              <w:tc>
                <w:tcPr/>
                <w:p>
                  <w:pPr>
                    <w:pStyle w:val="Compact"/>
                    <w:jc w:val="right"/>
                    <w:jc w:val="center"/>
                  </w:pPr>
                  <w:r>
                    <w:t xml:space="preserve">0.442</w:t>
                  </w:r>
                </w:p>
              </w:tc>
              <w:tc>
                <w:tcPr/>
                <w:p>
                  <w:pPr>
                    <w:pStyle w:val="Compact"/>
                    <w:jc w:val="right"/>
                    <w:jc w:val="center"/>
                  </w:pPr>
                  <w:r>
                    <w:t xml:space="preserve">0.455</w:t>
                  </w:r>
                </w:p>
              </w:tc>
              <w:tc>
                <w:tcPr/>
                <w:p>
                  <w:pPr>
                    <w:pStyle w:val="Compact"/>
                    <w:jc w:val="right"/>
                    <w:jc w:val="center"/>
                  </w:pPr>
                  <w:r>
                    <w:t xml:space="preserve">0.457</w:t>
                  </w:r>
                </w:p>
              </w:tc>
              <w:tc>
                <w:tcPr/>
                <w:p>
                  <w:pPr>
                    <w:pStyle w:val="Compact"/>
                    <w:jc w:val="right"/>
                    <w:jc w:val="center"/>
                  </w:pPr>
                  <w:r>
                    <w:t xml:space="preserve">0.463</w:t>
                  </w:r>
                </w:p>
              </w:tc>
              <w:tc>
                <w:tcPr/>
                <w:p>
                  <w:pPr>
                    <w:pStyle w:val="Compact"/>
                    <w:jc w:val="right"/>
                    <w:jc w:val="center"/>
                  </w:pPr>
                  <w:r>
                    <w:t xml:space="preserve">0.528</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0.476</w:t>
                  </w:r>
                </w:p>
              </w:tc>
              <w:tc>
                <w:tcPr/>
                <w:p>
                  <w:pPr>
                    <w:pStyle w:val="Compact"/>
                    <w:jc w:val="right"/>
                    <w:jc w:val="center"/>
                  </w:pPr>
                  <w:r>
                    <w:t xml:space="preserve">0.435</w:t>
                  </w:r>
                </w:p>
              </w:tc>
              <w:tc>
                <w:tcPr/>
                <w:p>
                  <w:pPr>
                    <w:pStyle w:val="Compact"/>
                    <w:jc w:val="right"/>
                    <w:jc w:val="center"/>
                  </w:pPr>
                  <w:r>
                    <w:t xml:space="preserve">0.377</w:t>
                  </w:r>
                </w:p>
              </w:tc>
              <w:tc>
                <w:tcPr/>
                <w:p>
                  <w:pPr>
                    <w:pStyle w:val="Compact"/>
                    <w:jc w:val="right"/>
                    <w:jc w:val="center"/>
                  </w:pPr>
                  <w:r>
                    <w:t xml:space="preserve">0.362</w:t>
                  </w:r>
                </w:p>
              </w:tc>
              <w:tc>
                <w:tcPr/>
                <w:p>
                  <w:pPr>
                    <w:pStyle w:val="Compact"/>
                    <w:jc w:val="right"/>
                    <w:jc w:val="center"/>
                  </w:pPr>
                  <w:r>
                    <w:t xml:space="preserve">NA</w:t>
                  </w:r>
                </w:p>
              </w:tc>
              <w:tc>
                <w:tcPr/>
                <w:p>
                  <w:pPr>
                    <w:pStyle w:val="Compact"/>
                    <w:jc w:val="right"/>
                    <w:jc w:val="center"/>
                  </w:pPr>
                  <w:r>
                    <w:t xml:space="preserve">0.283</w:t>
                  </w:r>
                </w:p>
              </w:tc>
              <w:tc>
                <w:tcPr/>
                <w:p>
                  <w:pPr>
                    <w:pStyle w:val="Compact"/>
                    <w:jc w:val="right"/>
                    <w:jc w:val="center"/>
                  </w:pPr>
                  <w:r>
                    <w:t xml:space="preserve">-0.142</w:t>
                  </w:r>
                </w:p>
              </w:tc>
              <w:tc>
                <w:tcPr/>
                <w:p>
                  <w:pPr>
                    <w:pStyle w:val="Compact"/>
                    <w:jc w:val="right"/>
                    <w:jc w:val="center"/>
                  </w:pPr>
                  <w:r>
                    <w:t xml:space="preserve">0.263</w:t>
                  </w:r>
                </w:p>
              </w:tc>
              <w:tc>
                <w:tcPr/>
                <w:p>
                  <w:pPr>
                    <w:pStyle w:val="Compact"/>
                    <w:jc w:val="right"/>
                    <w:jc w:val="center"/>
                  </w:pPr>
                  <w:r>
                    <w:t xml:space="preserve">0.403</w:t>
                  </w:r>
                </w:p>
              </w:tc>
              <w:tc>
                <w:tcPr/>
                <w:p>
                  <w:pPr>
                    <w:pStyle w:val="Compact"/>
                    <w:jc w:val="right"/>
                    <w:jc w:val="center"/>
                  </w:pPr>
                  <w:r>
                    <w:t xml:space="preserve">-0.142</w:t>
                  </w:r>
                </w:p>
              </w:tc>
              <w:tc>
                <w:tcPr/>
                <w:p>
                  <w:pPr>
                    <w:pStyle w:val="Compact"/>
                    <w:jc w:val="right"/>
                    <w:jc w:val="center"/>
                  </w:pPr>
                  <w:r>
                    <w:t xml:space="preserve">0.602</w:t>
                  </w:r>
                </w:p>
              </w:tc>
              <w:tc>
                <w:tcPr/>
                <w:p>
                  <w:pPr>
                    <w:pStyle w:val="Compact"/>
                    <w:jc w:val="right"/>
                    <w:jc w:val="center"/>
                  </w:pPr>
                  <w:r>
                    <w:t xml:space="preserve">0.623</w:t>
                  </w:r>
                </w:p>
              </w:tc>
              <w:tc>
                <w:tcPr/>
                <w:p>
                  <w:pPr>
                    <w:pStyle w:val="Compact"/>
                    <w:jc w:val="right"/>
                    <w:jc w:val="center"/>
                  </w:pPr>
                  <w:r>
                    <w:t xml:space="preserve">0.601</w:t>
                  </w:r>
                </w:p>
              </w:tc>
              <w:tc>
                <w:tcPr/>
                <w:p>
                  <w:pPr>
                    <w:pStyle w:val="Compact"/>
                    <w:jc w:val="right"/>
                    <w:jc w:val="center"/>
                  </w:pPr>
                  <w:r>
                    <w:t xml:space="preserve">0.574</w:t>
                  </w:r>
                </w:p>
              </w:tc>
              <w:tc>
                <w:tcPr/>
                <w:p>
                  <w:pPr>
                    <w:pStyle w:val="Compact"/>
                    <w:jc w:val="right"/>
                    <w:jc w:val="center"/>
                  </w:pPr>
                  <w:r>
                    <w:t xml:space="preserve">0.586</w:t>
                  </w:r>
                </w:p>
              </w:tc>
              <w:tc>
                <w:tcPr/>
                <w:p>
                  <w:pPr>
                    <w:pStyle w:val="Compact"/>
                    <w:jc w:val="right"/>
                    <w:jc w:val="center"/>
                  </w:pPr>
                  <w:r>
                    <w:t xml:space="preserve">0.401</w:t>
                  </w:r>
                </w:p>
              </w:tc>
              <w:tc>
                <w:tcPr/>
                <w:p>
                  <w:pPr>
                    <w:pStyle w:val="Compact"/>
                    <w:jc w:val="right"/>
                    <w:jc w:val="center"/>
                  </w:pPr>
                  <w:r>
                    <w:t xml:space="preserve">0.363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0.501</w:t>
                  </w:r>
                </w:p>
              </w:tc>
              <w:tc>
                <w:tcPr/>
                <w:p>
                  <w:pPr>
                    <w:pStyle w:val="Compact"/>
                    <w:jc w:val="right"/>
                    <w:jc w:val="center"/>
                  </w:pPr>
                  <w:r>
                    <w:t xml:space="preserve">0.005</w:t>
                  </w:r>
                </w:p>
              </w:tc>
              <w:tc>
                <w:tcPr/>
                <w:p>
                  <w:pPr>
                    <w:pStyle w:val="Compact"/>
                    <w:jc w:val="right"/>
                    <w:jc w:val="center"/>
                  </w:pPr>
                  <w:r>
                    <w:t xml:space="preserve">-0.119</w:t>
                  </w:r>
                </w:p>
              </w:tc>
              <w:tc>
                <w:tcPr/>
                <w:p>
                  <w:pPr>
                    <w:pStyle w:val="Compact"/>
                    <w:jc w:val="right"/>
                    <w:jc w:val="center"/>
                  </w:pPr>
                  <w:r>
                    <w:t xml:space="preserve">0.361</w:t>
                  </w:r>
                </w:p>
              </w:tc>
              <w:tc>
                <w:tcPr/>
                <w:p>
                  <w:pPr>
                    <w:pStyle w:val="Compact"/>
                    <w:jc w:val="right"/>
                    <w:jc w:val="center"/>
                  </w:pPr>
                  <w:r>
                    <w:t xml:space="preserve">NA</w:t>
                  </w:r>
                </w:p>
              </w:tc>
              <w:tc>
                <w:tcPr/>
                <w:p>
                  <w:pPr>
                    <w:pStyle w:val="Compact"/>
                    <w:jc w:val="right"/>
                    <w:jc w:val="center"/>
                  </w:pPr>
                  <w:r>
                    <w:t xml:space="preserve">-0.038</w:t>
                  </w:r>
                </w:p>
              </w:tc>
              <w:tc>
                <w:tcPr/>
                <w:p>
                  <w:pPr>
                    <w:pStyle w:val="Compact"/>
                    <w:jc w:val="right"/>
                    <w:jc w:val="center"/>
                  </w:pPr>
                  <w:r>
                    <w:t xml:space="preserve">NA</w:t>
                  </w:r>
                </w:p>
              </w:tc>
              <w:tc>
                <w:tcPr/>
                <w:p>
                  <w:pPr>
                    <w:pStyle w:val="Compact"/>
                    <w:jc w:val="right"/>
                    <w:jc w:val="center"/>
                  </w:pPr>
                  <w:r>
                    <w:t xml:space="preserve">0.005</w:t>
                  </w:r>
                </w:p>
              </w:tc>
              <w:tc>
                <w:tcPr/>
                <w:p>
                  <w:pPr>
                    <w:pStyle w:val="Compact"/>
                    <w:jc w:val="right"/>
                    <w:jc w:val="center"/>
                  </w:pPr>
                  <w:r>
                    <w:t xml:space="preserve">0.479</w:t>
                  </w:r>
                </w:p>
              </w:tc>
              <w:tc>
                <w:tcPr/>
                <w:p>
                  <w:pPr>
                    <w:pStyle w:val="Compact"/>
                    <w:jc w:val="right"/>
                    <w:jc w:val="center"/>
                  </w:pPr>
                  <w:r>
                    <w:t xml:space="preserve">-0.368</w:t>
                  </w:r>
                </w:p>
              </w:tc>
              <w:tc>
                <w:tcPr/>
                <w:p>
                  <w:pPr>
                    <w:pStyle w:val="Compact"/>
                    <w:jc w:val="right"/>
                    <w:jc w:val="center"/>
                  </w:pPr>
                  <w:r>
                    <w:t xml:space="preserve">0.303</w:t>
                  </w:r>
                </w:p>
              </w:tc>
              <w:tc>
                <w:tcPr/>
                <w:p>
                  <w:pPr>
                    <w:pStyle w:val="Compact"/>
                    <w:jc w:val="right"/>
                    <w:jc w:val="center"/>
                  </w:pPr>
                  <w:r>
                    <w:t xml:space="preserve">NA</w:t>
                  </w:r>
                </w:p>
              </w:tc>
              <w:tc>
                <w:tcPr/>
                <w:p>
                  <w:pPr>
                    <w:pStyle w:val="Compact"/>
                    <w:jc w:val="right"/>
                    <w:jc w:val="center"/>
                  </w:pPr>
                  <w:r>
                    <w:t xml:space="preserve">0.289</w:t>
                  </w:r>
                </w:p>
              </w:tc>
              <w:tc>
                <w:tcPr/>
                <w:p>
                  <w:pPr>
                    <w:pStyle w:val="Compact"/>
                    <w:jc w:val="right"/>
                    <w:jc w:val="center"/>
                  </w:pPr>
                  <w:r>
                    <w:t xml:space="preserve">0.248</w:t>
                  </w:r>
                </w:p>
              </w:tc>
              <w:tc>
                <w:tcPr/>
                <w:p>
                  <w:pPr>
                    <w:pStyle w:val="Compact"/>
                    <w:jc w:val="right"/>
                    <w:jc w:val="center"/>
                  </w:pPr>
                  <w:r>
                    <w:t xml:space="preserve">0.311</w:t>
                  </w:r>
                </w:p>
              </w:tc>
              <w:tc>
                <w:tcPr/>
                <w:p>
                  <w:pPr>
                    <w:pStyle w:val="Compact"/>
                    <w:jc w:val="right"/>
                    <w:jc w:val="center"/>
                  </w:pPr>
                  <w:r>
                    <w:t xml:space="preserve">-0.141</w:t>
                  </w:r>
                </w:p>
              </w:tc>
              <w:tc>
                <w:tcPr/>
                <w:p>
                  <w:pPr>
                    <w:pStyle w:val="Compact"/>
                    <w:jc w:val="right"/>
                    <w:jc w:val="center"/>
                  </w:pPr>
                  <w:r>
                    <w:t xml:space="preserve">0.318</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0.073</w:t>
                  </w:r>
                </w:p>
              </w:tc>
              <w:tc>
                <w:tcPr/>
                <w:p>
                  <w:pPr>
                    <w:pStyle w:val="Compact"/>
                    <w:jc w:val="right"/>
                    <w:jc w:val="center"/>
                  </w:pPr>
                  <w:r>
                    <w:t xml:space="preserve">0.033</w:t>
                  </w:r>
                </w:p>
              </w:tc>
              <w:tc>
                <w:tcPr/>
                <w:p>
                  <w:pPr>
                    <w:pStyle w:val="Compact"/>
                    <w:jc w:val="right"/>
                    <w:jc w:val="center"/>
                  </w:pPr>
                  <w:r>
                    <w:t xml:space="preserve">0.071</w:t>
                  </w:r>
                </w:p>
              </w:tc>
              <w:tc>
                <w:tcPr/>
                <w:p>
                  <w:pPr>
                    <w:pStyle w:val="Compact"/>
                    <w:jc w:val="right"/>
                    <w:jc w:val="center"/>
                  </w:pPr>
                  <w:r>
                    <w:t xml:space="preserve">0.072</w:t>
                  </w:r>
                </w:p>
              </w:tc>
              <w:tc>
                <w:tcPr/>
                <w:p>
                  <w:pPr>
                    <w:pStyle w:val="Compact"/>
                    <w:jc w:val="right"/>
                    <w:jc w:val="center"/>
                  </w:pPr>
                  <w:r>
                    <w:t xml:space="preserve">NA</w:t>
                  </w:r>
                </w:p>
              </w:tc>
              <w:tc>
                <w:tcPr/>
                <w:p>
                  <w:pPr>
                    <w:pStyle w:val="Compact"/>
                    <w:jc w:val="right"/>
                    <w:jc w:val="center"/>
                  </w:pPr>
                  <w:r>
                    <w:t xml:space="preserve">0.093</w:t>
                  </w:r>
                </w:p>
              </w:tc>
              <w:tc>
                <w:tcPr/>
                <w:p>
                  <w:pPr>
                    <w:pStyle w:val="Compact"/>
                    <w:jc w:val="right"/>
                    <w:jc w:val="center"/>
                  </w:pPr>
                  <w:r>
                    <w:t xml:space="preserve">0.115</w:t>
                  </w:r>
                </w:p>
              </w:tc>
              <w:tc>
                <w:tcPr/>
                <w:p>
                  <w:pPr>
                    <w:pStyle w:val="Compact"/>
                    <w:jc w:val="right"/>
                    <w:jc w:val="center"/>
                  </w:pPr>
                  <w:r>
                    <w:t xml:space="preserve">0.113</w:t>
                  </w:r>
                </w:p>
              </w:tc>
              <w:tc>
                <w:tcPr/>
                <w:p>
                  <w:pPr>
                    <w:pStyle w:val="Compact"/>
                    <w:jc w:val="right"/>
                    <w:jc w:val="center"/>
                  </w:pPr>
                  <w:r>
                    <w:t xml:space="preserve">0.027</w:t>
                  </w:r>
                </w:p>
              </w:tc>
              <w:tc>
                <w:tcPr/>
                <w:p>
                  <w:pPr>
                    <w:pStyle w:val="Compact"/>
                    <w:jc w:val="right"/>
                    <w:jc w:val="center"/>
                  </w:pPr>
                  <w:r>
                    <w:t xml:space="preserve">0.021</w:t>
                  </w:r>
                </w:p>
              </w:tc>
              <w:tc>
                <w:tcPr/>
                <w:p>
                  <w:pPr>
                    <w:pStyle w:val="Compact"/>
                    <w:jc w:val="right"/>
                    <w:jc w:val="center"/>
                  </w:pPr>
                  <w:r>
                    <w:t xml:space="preserve">0.067</w:t>
                  </w:r>
                </w:p>
              </w:tc>
              <w:tc>
                <w:tcPr/>
                <w:p>
                  <w:pPr>
                    <w:pStyle w:val="Compact"/>
                    <w:jc w:val="right"/>
                    <w:jc w:val="center"/>
                  </w:pPr>
                  <w:r>
                    <w:t xml:space="preserve">-0.046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0.068</w:t>
                  </w:r>
                </w:p>
              </w:tc>
              <w:tc>
                <w:tcPr/>
                <w:p>
                  <w:pPr>
                    <w:pStyle w:val="Compact"/>
                    <w:jc w:val="right"/>
                    <w:jc w:val="center"/>
                  </w:pPr>
                  <w:r>
                    <w:t xml:space="preserve">0.092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0.568</w:t>
                  </w:r>
                </w:p>
              </w:tc>
              <w:tc>
                <w:tcPr/>
                <w:p>
                  <w:pPr>
                    <w:pStyle w:val="Compact"/>
                    <w:jc w:val="right"/>
                    <w:jc w:val="center"/>
                  </w:pPr>
                  <w:r>
                    <w:t xml:space="preserve">0.576</w:t>
                  </w:r>
                </w:p>
              </w:tc>
              <w:tc>
                <w:tcPr/>
                <w:p>
                  <w:pPr>
                    <w:pStyle w:val="Compact"/>
                    <w:jc w:val="right"/>
                    <w:jc w:val="center"/>
                  </w:pPr>
                  <w:r>
                    <w:t xml:space="preserve">0.488</w:t>
                  </w:r>
                </w:p>
              </w:tc>
              <w:tc>
                <w:tcPr/>
                <w:p>
                  <w:pPr>
                    <w:pStyle w:val="Compact"/>
                    <w:jc w:val="right"/>
                    <w:jc w:val="center"/>
                  </w:pPr>
                  <w:r>
                    <w:t xml:space="preserve">-0.407</w:t>
                  </w:r>
                </w:p>
              </w:tc>
              <w:tc>
                <w:tcPr/>
                <w:p>
                  <w:pPr>
                    <w:pStyle w:val="Compact"/>
                    <w:jc w:val="right"/>
                    <w:jc w:val="center"/>
                  </w:pPr>
                  <w:r>
                    <w:t xml:space="preserve">0.724</w:t>
                  </w:r>
                </w:p>
              </w:tc>
              <w:tc>
                <w:tcPr/>
                <w:p>
                  <w:pPr>
                    <w:pStyle w:val="Compact"/>
                    <w:jc w:val="right"/>
                    <w:jc w:val="center"/>
                  </w:pPr>
                  <w:r>
                    <w:t xml:space="preserve">0.694</w:t>
                  </w:r>
                </w:p>
              </w:tc>
              <w:tc>
                <w:tcPr/>
                <w:p>
                  <w:pPr>
                    <w:pStyle w:val="Compact"/>
                    <w:jc w:val="right"/>
                    <w:jc w:val="center"/>
                  </w:pPr>
                  <w:r>
                    <w:t xml:space="preserve">0.630</w:t>
                  </w:r>
                </w:p>
              </w:tc>
              <w:tc>
                <w:tcPr/>
                <w:p>
                  <w:pPr>
                    <w:pStyle w:val="Compact"/>
                    <w:jc w:val="right"/>
                    <w:jc w:val="center"/>
                  </w:pPr>
                  <w:r>
                    <w:t xml:space="preserve">-0.026</w:t>
                  </w:r>
                </w:p>
              </w:tc>
              <w:tc>
                <w:tcPr/>
                <w:p>
                  <w:pPr>
                    <w:pStyle w:val="Compact"/>
                    <w:jc w:val="right"/>
                    <w:jc w:val="center"/>
                  </w:pPr>
                  <w:r>
                    <w:t xml:space="preserve">0.563</w:t>
                  </w:r>
                </w:p>
              </w:tc>
              <w:tc>
                <w:tcPr/>
                <w:p>
                  <w:pPr>
                    <w:pStyle w:val="Compact"/>
                    <w:jc w:val="right"/>
                    <w:jc w:val="center"/>
                  </w:pPr>
                  <w:r>
                    <w:t xml:space="preserve">-0.033</w:t>
                  </w:r>
                </w:p>
              </w:tc>
              <w:tc>
                <w:tcPr/>
                <w:p>
                  <w:pPr>
                    <w:pStyle w:val="Compact"/>
                    <w:jc w:val="right"/>
                    <w:jc w:val="center"/>
                  </w:pPr>
                  <w:r>
                    <w:t xml:space="preserve">0.641</w:t>
                  </w:r>
                </w:p>
              </w:tc>
              <w:tc>
                <w:tcPr/>
                <w:p>
                  <w:pPr>
                    <w:pStyle w:val="Compact"/>
                    <w:jc w:val="right"/>
                    <w:jc w:val="center"/>
                  </w:pPr>
                  <w:r>
                    <w:t xml:space="preserve">0.632</w:t>
                  </w:r>
                </w:p>
              </w:tc>
              <w:tc>
                <w:tcPr/>
                <w:p>
                  <w:pPr>
                    <w:pStyle w:val="Compact"/>
                    <w:jc w:val="right"/>
                    <w:jc w:val="center"/>
                  </w:pPr>
                  <w:r>
                    <w:t xml:space="preserve">0.750</w:t>
                  </w:r>
                </w:p>
              </w:tc>
              <w:tc>
                <w:tcPr/>
                <w:p>
                  <w:pPr>
                    <w:pStyle w:val="Compact"/>
                    <w:jc w:val="right"/>
                    <w:jc w:val="center"/>
                  </w:pPr>
                  <w:r>
                    <w:t xml:space="preserve">0.554</w:t>
                  </w:r>
                </w:p>
              </w:tc>
              <w:tc>
                <w:tcPr/>
                <w:p>
                  <w:pPr>
                    <w:pStyle w:val="Compact"/>
                    <w:jc w:val="right"/>
                    <w:jc w:val="center"/>
                  </w:pPr>
                  <w:r>
                    <w:t xml:space="preserve">0.657</w:t>
                  </w:r>
                </w:p>
              </w:tc>
              <w:tc>
                <w:tcPr/>
                <w:p>
                  <w:pPr>
                    <w:pStyle w:val="Compact"/>
                    <w:jc w:val="right"/>
                    <w:jc w:val="center"/>
                  </w:pPr>
                  <w:r>
                    <w:t xml:space="preserve">0.462</w:t>
                  </w:r>
                </w:p>
              </w:tc>
              <w:tc>
                <w:tcPr/>
                <w:p>
                  <w:pPr>
                    <w:pStyle w:val="Compact"/>
                    <w:jc w:val="right"/>
                    <w:jc w:val="center"/>
                  </w:pPr>
                  <w:r>
                    <w:t xml:space="preserve">0.132</w:t>
                  </w:r>
                </w:p>
              </w:tc>
              <w:tc>
                <w:tcPr/>
                <w:p>
                  <w:pPr>
                    <w:pStyle w:val="Compact"/>
                    <w:jc w:val="right"/>
                    <w:jc w:val="center"/>
                  </w:pPr>
                  <w:r>
                    <w:t xml:space="preserve">0.680</w:t>
                  </w:r>
                </w:p>
              </w:tc>
              <w:tc>
                <w:tcPr/>
                <w:p>
                  <w:pPr>
                    <w:pStyle w:val="Compact"/>
                    <w:jc w:val="right"/>
                    <w:jc w:val="center"/>
                  </w:pPr>
                  <w:r>
                    <w:t xml:space="preserve">-0.386</w:t>
                  </w:r>
                </w:p>
              </w:tc>
              <w:tc>
                <w:tcPr/>
                <w:p>
                  <w:pPr>
                    <w:pStyle w:val="Compact"/>
                    <w:jc w:val="right"/>
                    <w:jc w:val="center"/>
                  </w:pPr>
                  <w:r>
                    <w:t xml:space="preserve">0.660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0.320</w:t>
                  </w:r>
                </w:p>
              </w:tc>
              <w:tc>
                <w:tcPr/>
                <w:p>
                  <w:pPr>
                    <w:pStyle w:val="Compact"/>
                    <w:jc w:val="right"/>
                    <w:jc w:val="center"/>
                  </w:pPr>
                  <w:r>
                    <w:t xml:space="preserve">0.245</w:t>
                  </w:r>
                </w:p>
              </w:tc>
              <w:tc>
                <w:tcPr/>
                <w:p>
                  <w:pPr>
                    <w:pStyle w:val="Compact"/>
                    <w:jc w:val="right"/>
                    <w:jc w:val="center"/>
                  </w:pPr>
                  <w:r>
                    <w:t xml:space="preserve">0.157</w:t>
                  </w:r>
                </w:p>
              </w:tc>
              <w:tc>
                <w:tcPr/>
                <w:p>
                  <w:pPr>
                    <w:pStyle w:val="Compact"/>
                    <w:jc w:val="right"/>
                    <w:jc w:val="center"/>
                  </w:pPr>
                  <w:r>
                    <w:t xml:space="preserve">0.344</w:t>
                  </w:r>
                </w:p>
              </w:tc>
              <w:tc>
                <w:tcPr/>
                <w:p>
                  <w:pPr>
                    <w:pStyle w:val="Compact"/>
                    <w:jc w:val="right"/>
                    <w:jc w:val="center"/>
                  </w:pPr>
                  <w:r>
                    <w:t xml:space="preserve">0.184</w:t>
                  </w:r>
                </w:p>
              </w:tc>
              <w:tc>
                <w:tcPr/>
                <w:p>
                  <w:pPr>
                    <w:pStyle w:val="Compact"/>
                    <w:jc w:val="right"/>
                    <w:jc w:val="center"/>
                  </w:pPr>
                  <w:r>
                    <w:t xml:space="preserve">0.173</w:t>
                  </w:r>
                </w:p>
              </w:tc>
              <w:tc>
                <w:tcPr/>
                <w:p>
                  <w:pPr>
                    <w:pStyle w:val="Compact"/>
                    <w:jc w:val="right"/>
                    <w:jc w:val="center"/>
                  </w:pPr>
                  <w:r>
                    <w:t xml:space="preserve">0.247</w:t>
                  </w:r>
                </w:p>
              </w:tc>
              <w:tc>
                <w:tcPr/>
                <w:p>
                  <w:pPr>
                    <w:pStyle w:val="Compact"/>
                    <w:jc w:val="right"/>
                    <w:jc w:val="center"/>
                  </w:pPr>
                  <w:r>
                    <w:t xml:space="preserve">0.249</w:t>
                  </w:r>
                </w:p>
              </w:tc>
              <w:tc>
                <w:tcPr/>
                <w:p>
                  <w:pPr>
                    <w:pStyle w:val="Compact"/>
                    <w:jc w:val="right"/>
                    <w:jc w:val="center"/>
                  </w:pPr>
                  <w:r>
                    <w:t xml:space="preserve">0.322</w:t>
                  </w:r>
                </w:p>
              </w:tc>
              <w:tc>
                <w:tcPr/>
                <w:p>
                  <w:pPr>
                    <w:pStyle w:val="Compact"/>
                    <w:jc w:val="right"/>
                    <w:jc w:val="center"/>
                  </w:pPr>
                  <w:r>
                    <w:t xml:space="preserve">-0.085</w:t>
                  </w:r>
                </w:p>
              </w:tc>
              <w:tc>
                <w:tcPr/>
                <w:p>
                  <w:pPr>
                    <w:pStyle w:val="Compact"/>
                    <w:jc w:val="right"/>
                    <w:jc w:val="center"/>
                  </w:pPr>
                  <w:r>
                    <w:t xml:space="preserve">0.209</w:t>
                  </w:r>
                </w:p>
              </w:tc>
              <w:tc>
                <w:tcPr/>
                <w:p>
                  <w:pPr>
                    <w:pStyle w:val="Compact"/>
                    <w:jc w:val="right"/>
                    <w:jc w:val="center"/>
                  </w:pPr>
                  <w:r>
                    <w:t xml:space="preserve">0.209</w:t>
                  </w:r>
                </w:p>
              </w:tc>
              <w:tc>
                <w:tcPr/>
                <w:p>
                  <w:pPr>
                    <w:pStyle w:val="Compact"/>
                    <w:jc w:val="right"/>
                    <w:jc w:val="center"/>
                  </w:pPr>
                  <w:r>
                    <w:t xml:space="preserve">0.274</w:t>
                  </w:r>
                </w:p>
              </w:tc>
              <w:tc>
                <w:tcPr/>
                <w:p>
                  <w:pPr>
                    <w:pStyle w:val="Compact"/>
                    <w:jc w:val="right"/>
                    <w:jc w:val="center"/>
                  </w:pPr>
                  <w:r>
                    <w:t xml:space="preserve">0.274</w:t>
                  </w:r>
                </w:p>
              </w:tc>
              <w:tc>
                <w:tcPr/>
                <w:p>
                  <w:pPr>
                    <w:pStyle w:val="Compact"/>
                    <w:jc w:val="right"/>
                    <w:jc w:val="center"/>
                  </w:pPr>
                  <w:r>
                    <w:t xml:space="preserve">0.294</w:t>
                  </w:r>
                </w:p>
              </w:tc>
              <w:tc>
                <w:tcPr/>
                <w:p>
                  <w:pPr>
                    <w:pStyle w:val="Compact"/>
                    <w:jc w:val="right"/>
                    <w:jc w:val="center"/>
                  </w:pPr>
                  <w:r>
                    <w:t xml:space="preserve">0.358</w:t>
                  </w:r>
                </w:p>
              </w:tc>
              <w:tc>
                <w:tcPr/>
                <w:p>
                  <w:pPr>
                    <w:pStyle w:val="Compact"/>
                    <w:jc w:val="right"/>
                    <w:jc w:val="center"/>
                  </w:pPr>
                  <w:r>
                    <w:t xml:space="preserve">0.185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-0.079</w:t>
                  </w:r>
                </w:p>
              </w:tc>
              <w:tc>
                <w:tcPr/>
                <w:p>
                  <w:pPr>
                    <w:pStyle w:val="Compact"/>
                    <w:jc w:val="right"/>
                    <w:jc w:val="center"/>
                  </w:pPr>
                  <w:r>
                    <w:t xml:space="preserve">-0.203</w:t>
                  </w:r>
                </w:p>
              </w:tc>
              <w:tc>
                <w:tcPr/>
                <w:p>
                  <w:pPr>
                    <w:pStyle w:val="Compact"/>
                    <w:jc w:val="right"/>
                    <w:jc w:val="center"/>
                  </w:pPr>
                  <w:r>
                    <w:t xml:space="preserve">-0.476</w:t>
                  </w:r>
                </w:p>
              </w:tc>
              <w:tc>
                <w:tcPr/>
                <w:p>
                  <w:pPr>
                    <w:pStyle w:val="Compact"/>
                    <w:jc w:val="right"/>
                    <w:jc w:val="center"/>
                  </w:pPr>
                  <w:r>
                    <w:t xml:space="preserve">-0.275</w:t>
                  </w:r>
                </w:p>
              </w:tc>
              <w:tc>
                <w:tcPr/>
                <w:p>
                  <w:pPr>
                    <w:pStyle w:val="Compact"/>
                    <w:jc w:val="right"/>
                    <w:jc w:val="center"/>
                  </w:pPr>
                  <w:r>
                    <w:t xml:space="preserve">NA</w:t>
                  </w:r>
                </w:p>
              </w:tc>
              <w:tc>
                <w:tcPr/>
                <w:p>
                  <w:pPr>
                    <w:pStyle w:val="Compact"/>
                    <w:jc w:val="right"/>
                    <w:jc w:val="center"/>
                  </w:pPr>
                  <w:r>
                    <w:t xml:space="preserve">-0.298</w:t>
                  </w:r>
                </w:p>
              </w:tc>
              <w:tc>
                <w:tcPr/>
                <w:p>
                  <w:pPr>
                    <w:pStyle w:val="Compact"/>
                    <w:jc w:val="right"/>
                    <w:jc w:val="center"/>
                  </w:pPr>
                  <w:r>
                    <w:t xml:space="preserve">-0.376</w:t>
                  </w:r>
                </w:p>
              </w:tc>
              <w:tc>
                <w:tcPr/>
                <w:p>
                  <w:pPr>
                    <w:pStyle w:val="Compact"/>
                    <w:jc w:val="right"/>
                    <w:jc w:val="center"/>
                  </w:pPr>
                  <w:r>
                    <w:t xml:space="preserve">-0.376</w:t>
                  </w:r>
                </w:p>
              </w:tc>
              <w:tc>
                <w:tcPr/>
                <w:p>
                  <w:pPr>
                    <w:pStyle w:val="Compact"/>
                    <w:jc w:val="right"/>
                    <w:jc w:val="center"/>
                  </w:pPr>
                  <w:r>
                    <w:t xml:space="preserve">-0.251</w:t>
                  </w:r>
                </w:p>
              </w:tc>
              <w:tc>
                <w:tcPr/>
                <w:p>
                  <w:pPr>
                    <w:pStyle w:val="Compact"/>
                    <w:jc w:val="right"/>
                    <w:jc w:val="center"/>
                  </w:pPr>
                  <w:r>
                    <w:t xml:space="preserve">-0.410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0.211</w:t>
                  </w:r>
                </w:p>
              </w:tc>
              <w:tc>
                <w:tcPr/>
                <w:p>
                  <w:pPr>
                    <w:pStyle w:val="Compact"/>
                    <w:jc w:val="right"/>
                    <w:jc w:val="center"/>
                  </w:pPr>
                  <w:r>
                    <w:t xml:space="preserve">0.213</w:t>
                  </w:r>
                </w:p>
              </w:tc>
              <w:tc>
                <w:tcPr/>
                <w:p>
                  <w:pPr>
                    <w:pStyle w:val="Compact"/>
                    <w:jc w:val="right"/>
                    <w:jc w:val="center"/>
                  </w:pPr>
                  <w:r>
                    <w:t xml:space="preserve">0.083</w:t>
                  </w:r>
                </w:p>
              </w:tc>
              <w:tc>
                <w:tcPr/>
                <w:p>
                  <w:pPr>
                    <w:pStyle w:val="Compact"/>
                    <w:jc w:val="right"/>
                    <w:jc w:val="center"/>
                  </w:pPr>
                  <w:r>
                    <w:t xml:space="preserve">-0.494</w:t>
                  </w:r>
                </w:p>
              </w:tc>
              <w:tc>
                <w:tcPr/>
                <w:p>
                  <w:pPr>
                    <w:pStyle w:val="Compact"/>
                    <w:jc w:val="right"/>
                    <w:jc w:val="center"/>
                  </w:pPr>
                  <w:r>
                    <w:t xml:space="preserve">-0.040</w:t>
                  </w:r>
                </w:p>
              </w:tc>
              <w:tc>
                <w:tcPr/>
                <w:p>
                  <w:pPr>
                    <w:pStyle w:val="Compact"/>
                    <w:jc w:val="right"/>
                    <w:jc w:val="center"/>
                  </w:pPr>
                  <w:r>
                    <w:t xml:space="preserve">-0.371</w:t>
                  </w:r>
                </w:p>
              </w:tc>
              <w:tc>
                <w:tcPr/>
                <w:p>
                  <w:pPr>
                    <w:pStyle w:val="Compact"/>
                    <w:jc w:val="right"/>
                    <w:jc w:val="center"/>
                  </w:pPr>
                  <w:r>
                    <w:t xml:space="preserve">NA</w:t>
                  </w:r>
                </w:p>
              </w:tc>
              <w:tc>
                <w:tcPr/>
                <w:p>
                  <w:pPr>
                    <w:pStyle w:val="Compact"/>
                    <w:jc w:val="right"/>
                    <w:jc w:val="center"/>
                  </w:pPr>
                  <w:r>
                    <w:t xml:space="preserve">-0.483</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0.097</w:t>
                  </w:r>
                </w:p>
              </w:tc>
              <w:tc>
                <w:tcPr/>
                <w:p>
                  <w:pPr>
                    <w:pStyle w:val="Compact"/>
                    <w:jc w:val="right"/>
                    <w:jc w:val="center"/>
                  </w:pPr>
                  <w:r>
                    <w:t xml:space="preserve">-0.067</w:t>
                  </w:r>
                </w:p>
              </w:tc>
              <w:tc>
                <w:tcPr/>
                <w:p>
                  <w:pPr>
                    <w:pStyle w:val="Compact"/>
                    <w:jc w:val="right"/>
                    <w:jc w:val="center"/>
                  </w:pPr>
                  <w:r>
                    <w:t xml:space="preserve">0.012</w:t>
                  </w:r>
                </w:p>
              </w:tc>
              <w:tc>
                <w:tcPr/>
                <w:p>
                  <w:pPr>
                    <w:pStyle w:val="Compact"/>
                    <w:jc w:val="right"/>
                    <w:jc w:val="center"/>
                  </w:pPr>
                  <w:r>
                    <w:t xml:space="preserve">-0.005</w:t>
                  </w:r>
                </w:p>
              </w:tc>
              <w:tc>
                <w:tcPr/>
                <w:p>
                  <w:pPr>
                    <w:pStyle w:val="Compact"/>
                    <w:jc w:val="right"/>
                    <w:jc w:val="center"/>
                  </w:pPr>
                  <w:r>
                    <w:t xml:space="preserve">NA</w:t>
                  </w:r>
                </w:p>
              </w:tc>
              <w:tc>
                <w:tcPr/>
                <w:p>
                  <w:pPr>
                    <w:pStyle w:val="Compact"/>
                    <w:jc w:val="right"/>
                    <w:jc w:val="center"/>
                  </w:pPr>
                  <w:r>
                    <w:t xml:space="preserve">0.148</w:t>
                  </w:r>
                </w:p>
              </w:tc>
              <w:tc>
                <w:tcPr/>
                <w:p>
                  <w:pPr>
                    <w:pStyle w:val="Compact"/>
                    <w:jc w:val="right"/>
                    <w:jc w:val="center"/>
                  </w:pPr>
                  <w:r>
                    <w:t xml:space="preserve">0.177</w:t>
                  </w:r>
                </w:p>
              </w:tc>
              <w:tc>
                <w:tcPr/>
                <w:p>
                  <w:pPr>
                    <w:pStyle w:val="Compact"/>
                    <w:jc w:val="right"/>
                    <w:jc w:val="center"/>
                  </w:pPr>
                  <w:r>
                    <w:t xml:space="preserve">-0.067</w:t>
                  </w:r>
                </w:p>
              </w:tc>
              <w:tc>
                <w:tcPr/>
                <w:p>
                  <w:pPr>
                    <w:pStyle w:val="Compact"/>
                    <w:jc w:val="right"/>
                    <w:jc w:val="center"/>
                  </w:pPr>
                  <w:r>
                    <w:t xml:space="preserve">0.095</w:t>
                  </w:r>
                </w:p>
              </w:tc>
              <w:tc>
                <w:tcPr/>
                <w:p>
                  <w:pPr>
                    <w:pStyle w:val="Compact"/>
                    <w:jc w:val="right"/>
                    <w:jc w:val="center"/>
                  </w:pPr>
                  <w:r>
                    <w:t xml:space="preserve">0.012</w:t>
                  </w:r>
                </w:p>
              </w:tc>
              <w:tc>
                <w:tcPr/>
                <w:p>
                  <w:pPr>
                    <w:pStyle w:val="Compact"/>
                    <w:jc w:val="right"/>
                    <w:jc w:val="center"/>
                  </w:pPr>
                  <w:r>
                    <w:t xml:space="preserve">0.024</w:t>
                  </w:r>
                </w:p>
              </w:tc>
              <w:tc>
                <w:tcPr/>
                <w:p>
                  <w:pPr>
                    <w:pStyle w:val="Compact"/>
                    <w:jc w:val="right"/>
                    <w:jc w:val="center"/>
                  </w:pPr>
                  <w:r>
                    <w:t xml:space="preserve">0.099</w:t>
                  </w:r>
                </w:p>
              </w:tc>
              <w:tc>
                <w:tcPr/>
                <w:p>
                  <w:pPr>
                    <w:pStyle w:val="Compact"/>
                    <w:jc w:val="right"/>
                    <w:jc w:val="center"/>
                  </w:pPr>
                  <w:r>
                    <w:t xml:space="preserve">0.078</w:t>
                  </w:r>
                </w:p>
              </w:tc>
              <w:tc>
                <w:tcPr/>
                <w:p>
                  <w:pPr>
                    <w:pStyle w:val="Compact"/>
                    <w:jc w:val="right"/>
                    <w:jc w:val="center"/>
                  </w:pPr>
                  <w:r>
                    <w:t xml:space="preserve">0.078</w:t>
                  </w:r>
                </w:p>
              </w:tc>
              <w:tc>
                <w:tcPr/>
                <w:p>
                  <w:pPr>
                    <w:pStyle w:val="Compact"/>
                    <w:jc w:val="right"/>
                    <w:jc w:val="center"/>
                  </w:pPr>
                  <w:r>
                    <w:t xml:space="preserve">NA</w:t>
                  </w:r>
                </w:p>
              </w:tc>
              <w:tc>
                <w:tcPr/>
                <w:p>
                  <w:pPr>
                    <w:pStyle w:val="Compact"/>
                    <w:jc w:val="right"/>
                    <w:jc w:val="center"/>
                  </w:pPr>
                  <w:r>
                    <w:t xml:space="preserve">-0.026</w:t>
                  </w:r>
                </w:p>
              </w:tc>
              <w:tc>
                <w:tcPr/>
                <w:p>
                  <w:pPr>
                    <w:pStyle w:val="Compact"/>
                    <w:jc w:val="right"/>
                    <w:jc w:val="center"/>
                  </w:pPr>
                  <w:r>
                    <w:t xml:space="preserve">0.021</w:t>
                  </w:r>
                </w:p>
              </w:tc>
              <w:tc>
                <w:tcPr/>
                <w:p>
                  <w:pPr>
                    <w:pStyle w:val="Compact"/>
                    <w:jc w:val="right"/>
                    <w:jc w:val="center"/>
                  </w:pPr>
                  <w:r>
                    <w:t xml:space="preserve">0.192</w:t>
                  </w:r>
                </w:p>
              </w:tc>
              <w:tc>
                <w:tcPr/>
                <w:p>
                  <w:pPr>
                    <w:pStyle w:val="Compact"/>
                    <w:jc w:val="right"/>
                    <w:jc w:val="center"/>
                  </w:pPr>
                  <w:r>
                    <w:t xml:space="preserve">NA</w:t>
                  </w:r>
                </w:p>
              </w:tc>
              <w:tc>
                <w:tcPr/>
                <w:p>
                  <w:pPr>
                    <w:pStyle w:val="Compact"/>
                    <w:jc w:val="right"/>
                    <w:jc w:val="center"/>
                  </w:pPr>
                  <w:r>
                    <w:t xml:space="preserve">NA</w:t>
                  </w:r>
                </w:p>
              </w:tc>
            </w:tr>
          </w:tbl>
          <w:bookmarkEnd w:id="42"/>
          <w:p/>
        </w:tc>
      </w:tr>
    </w:tbl>
    <w:bookmarkEnd w:id="43"/>
    <w:bookmarkStart w:id="48" w:name="Xc593a192c9af1d169522948dc5bcf261635606a"/>
    <w:p>
      <w:pPr>
        <w:pStyle w:val="Heading2"/>
      </w:pPr>
      <w:r>
        <w:t xml:space="preserve">3.5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all-methods-iron"/>
          <w:p>
            <w:pPr>
              <w:pStyle w:val="Compact"/>
              <w:jc w:val="center"/>
            </w:pPr>
            <w:r>
              <w:drawing>
                <wp:inline>
                  <wp:extent cx="5334000" cy="2872153"/>
                  <wp:effectExtent b="0" l="0" r="0" t="0"/>
                  <wp:docPr descr="" title="" id="45" name="Picture"/>
                  <a:graphic>
                    <a:graphicData uri="http://schemas.openxmlformats.org/drawingml/2006/picture">
                      <pic:pic>
                        <pic:nvPicPr>
                          <pic:cNvPr descr="../sandbox/results/22_all_methods_child_iron.png" id="46" name="Picture"/>
                          <pic:cNvPicPr>
                            <a:picLocks noChangeArrowheads="1" noChangeAspect="1"/>
                          </pic:cNvPicPr>
                        </pic:nvPicPr>
                        <pic:blipFill>
                          <a:blip r:embed="rId44"/>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sandbox/results/22_all_methods_child_iron.csv.</w:t>
            </w:r>
          </w:p>
          <w:bookmarkEnd w:id="47"/>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sandbox</w:t>
      </w:r>
      <w:r>
        <w:t xml:space="preserve"> </w:t>
      </w:r>
      <w:r>
        <w:t xml:space="preserve">findings log): non-linear ensembles help within-country, parsimonious</w:t>
      </w:r>
      <w:r>
        <w:t xml:space="preserve"> </w:t>
      </w:r>
      <w:r>
        <w:t xml:space="preserve">linear models with soil micronutrient features help out-of-country.</w:t>
      </w:r>
    </w:p>
    <w:bookmarkEnd w:id="48"/>
    <w:bookmarkStart w:id="50" w:name="Xe586b5600423ed014283786ef1ebd073c15fc43"/>
    <w:p>
      <w:pPr>
        <w:pStyle w:val="Heading2"/>
      </w:pPr>
      <w:r>
        <w:t xml:space="preserve">3.6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6</w:t>
        </w:r>
      </w:hyperlink>
      <w:r>
        <w:t xml:space="preserve">). The Brier skill score was negative — indicating</w:t>
      </w:r>
      <w:r>
        <w:t xml:space="preserve"> </w:t>
      </w:r>
      <w:r>
        <w:t xml:space="preserve">predictions worse than the no-skill baseline — for 13 of 23</w:t>
      </w:r>
      <w:r>
        <w:t xml:space="preserve"> </w:t>
      </w:r>
      <w:r>
        <w:t xml:space="preserve">country–outcome combinations, though in most the deficit was small</w:t>
      </w:r>
      <w:r>
        <w:t xml:space="preserve"> </w:t>
      </w:r>
      <w:r>
        <w:t xml:space="preserve">(Brier skill &gt; −0.04 for 10 of the 13). Post-hoc Platt recalibration</w:t>
      </w:r>
      <w:r>
        <w:t xml:space="preserve"> </w:t>
      </w:r>
      <w:r>
        <w:t xml:space="preserve">(see Methods) eliminated the negative values entirely: all 23 calibrated</w:t>
      </w:r>
      <w:r>
        <w:t xml:space="preserve"> </w:t>
      </w:r>
      <w:r>
        <w:t xml:space="preserve">classifiers achieved non-negative Brier skill. Calibration slopes were</w:t>
      </w:r>
      <w:r>
        <w:t xml:space="preserve"> </w:t>
      </w:r>
      <w:r>
        <w:t xml:space="preserve">strongly inverted</w:t>
      </w:r>
      <w:r>
        <w:t xml:space="preserve"> </w:t>
      </w:r>
      <w:r>
        <w:t xml:space="preserve">(&lt; 0) for several models in Malawi, Sierra Leone, and Ghana,</w:t>
      </w:r>
      <w:r>
        <w:t xml:space="preserve"> </w:t>
      </w:r>
      <w:r>
        <w:t xml:space="preserve">particularly at very low prevalence (vitamin A in women, vitamin B12 in</w:t>
      </w:r>
      <w:r>
        <w:t xml:space="preserve"> </w:t>
      </w:r>
      <w:r>
        <w:t xml:space="preserve">women) where AUC remained high (&gt; 0.7)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tbl-calibration"/>
          <w:p>
            <w:pPr>
              <w:jc w:val="center"/>
            </w:pPr>
            <w:pPr>
              <w:jc w:val="start"/>
              <w:spacing w:before="200"/>
              <w:pStyle w:val="ImageCaption"/>
            </w:pPr>
            <w:r>
              <w:t xml:space="preserve">Table 6: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0.63</w:t>
                  </w:r>
                </w:p>
              </w:tc>
              <w:tc>
                <w:tcPr/>
                <w:p>
                  <w:pPr>
                    <w:pStyle w:val="Compact"/>
                    <w:jc w:val="left"/>
                    <w:jc w:val="center"/>
                  </w:pPr>
                  <w:r>
                    <w:t xml:space="preserve">+0.027</w:t>
                  </w:r>
                </w:p>
              </w:tc>
              <w:tc>
                <w:tcPr/>
                <w:p>
                  <w:pPr>
                    <w:pStyle w:val="Compact"/>
                    <w:jc w:val="left"/>
                    <w:jc w:val="center"/>
                  </w:pPr>
                  <w:r>
                    <w:t xml:space="preserve">+0.82</w:t>
                  </w:r>
                </w:p>
              </w:tc>
              <w:tc>
                <w:tcPr/>
                <w:p>
                  <w:pPr>
                    <w:pStyle w:val="Compact"/>
                    <w:jc w:val="left"/>
                    <w:jc w:val="center"/>
                  </w:pPr>
                  <w:r>
                    <w:t xml:space="preserve">0.059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+0.019</w:t>
                  </w:r>
                </w:p>
              </w:tc>
              <w:tc>
                <w:tcPr/>
                <w:p>
                  <w:pPr>
                    <w:pStyle w:val="Compact"/>
                    <w:jc w:val="left"/>
                    <w:jc w:val="center"/>
                  </w:pPr>
                  <w:r>
                    <w:t xml:space="preserve">+1.31</w:t>
                  </w:r>
                </w:p>
              </w:tc>
              <w:tc>
                <w:tcPr/>
                <w:p>
                  <w:pPr>
                    <w:pStyle w:val="Compact"/>
                    <w:jc w:val="left"/>
                    <w:jc w:val="center"/>
                  </w:pPr>
                  <w:r>
                    <w:t xml:space="preserve">0.008</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0.53</w:t>
                  </w:r>
                </w:p>
              </w:tc>
              <w:tc>
                <w:tcPr/>
                <w:p>
                  <w:pPr>
                    <w:pStyle w:val="Compact"/>
                    <w:jc w:val="left"/>
                    <w:jc w:val="center"/>
                  </w:pPr>
                  <w:r>
                    <w:t xml:space="preserve">-0.009</w:t>
                  </w:r>
                </w:p>
              </w:tc>
              <w:tc>
                <w:tcPr/>
                <w:p>
                  <w:pPr>
                    <w:pStyle w:val="Compact"/>
                    <w:jc w:val="left"/>
                    <w:jc w:val="center"/>
                  </w:pPr>
                  <w:r>
                    <w:t xml:space="preserve">+0.31</w:t>
                  </w:r>
                </w:p>
              </w:tc>
              <w:tc>
                <w:tcPr/>
                <w:p>
                  <w:pPr>
                    <w:pStyle w:val="Compact"/>
                    <w:jc w:val="left"/>
                    <w:jc w:val="center"/>
                  </w:pPr>
                  <w:r>
                    <w:t xml:space="preserve">0.060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+0.015</w:t>
                  </w:r>
                </w:p>
              </w:tc>
              <w:tc>
                <w:tcPr/>
                <w:p>
                  <w:pPr>
                    <w:pStyle w:val="Compact"/>
                    <w:jc w:val="left"/>
                    <w:jc w:val="center"/>
                  </w:pPr>
                  <w:r>
                    <w:t xml:space="preserve">+0.56</w:t>
                  </w:r>
                </w:p>
              </w:tc>
              <w:tc>
                <w:tcPr/>
                <w:p>
                  <w:pPr>
                    <w:pStyle w:val="Compact"/>
                    <w:jc w:val="left"/>
                    <w:jc w:val="center"/>
                  </w:pPr>
                  <w:r>
                    <w:t xml:space="preserve">0.061</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0.75</w:t>
                  </w:r>
                </w:p>
              </w:tc>
              <w:tc>
                <w:tcPr/>
                <w:p>
                  <w:pPr>
                    <w:pStyle w:val="Compact"/>
                    <w:jc w:val="left"/>
                    <w:jc w:val="center"/>
                  </w:pPr>
                  <w:r>
                    <w:t xml:space="preserve">-0.007</w:t>
                  </w:r>
                </w:p>
              </w:tc>
              <w:tc>
                <w:tcPr/>
                <w:p>
                  <w:pPr>
                    <w:pStyle w:val="Compact"/>
                    <w:jc w:val="left"/>
                    <w:jc w:val="center"/>
                  </w:pPr>
                  <w:r>
                    <w:t xml:space="preserve">-2.79</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0.70</w:t>
                  </w:r>
                </w:p>
              </w:tc>
              <w:tc>
                <w:tcPr/>
                <w:p>
                  <w:pPr>
                    <w:pStyle w:val="Compact"/>
                    <w:jc w:val="left"/>
                    <w:jc w:val="center"/>
                  </w:pPr>
                  <w:r>
                    <w:t xml:space="preserve">+0.098</w:t>
                  </w:r>
                </w:p>
              </w:tc>
              <w:tc>
                <w:tcPr/>
                <w:p>
                  <w:pPr>
                    <w:pStyle w:val="Compact"/>
                    <w:jc w:val="left"/>
                    <w:jc w:val="center"/>
                  </w:pPr>
                  <w:r>
                    <w:t xml:space="preserve">+1.05</w:t>
                  </w:r>
                </w:p>
              </w:tc>
              <w:tc>
                <w:tcPr/>
                <w:p>
                  <w:pPr>
                    <w:pStyle w:val="Compact"/>
                    <w:jc w:val="left"/>
                    <w:jc w:val="center"/>
                  </w:pPr>
                  <w:r>
                    <w:t xml:space="preserve">0.031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0.59</w:t>
                  </w:r>
                </w:p>
              </w:tc>
              <w:tc>
                <w:tcPr/>
                <w:p>
                  <w:pPr>
                    <w:pStyle w:val="Compact"/>
                    <w:jc w:val="left"/>
                    <w:jc w:val="center"/>
                  </w:pPr>
                  <w:r>
                    <w:t xml:space="preserve">+0.000</w:t>
                  </w:r>
                </w:p>
              </w:tc>
              <w:tc>
                <w:tcPr/>
                <w:p>
                  <w:pPr>
                    <w:pStyle w:val="Compact"/>
                    <w:jc w:val="left"/>
                    <w:jc w:val="center"/>
                  </w:pPr>
                  <w:r>
                    <w:t xml:space="preserve">+0.55</w:t>
                  </w:r>
                </w:p>
              </w:tc>
              <w:tc>
                <w:tcPr/>
                <w:p>
                  <w:pPr>
                    <w:pStyle w:val="Compact"/>
                    <w:jc w:val="left"/>
                    <w:jc w:val="center"/>
                  </w:pPr>
                  <w:r>
                    <w:t xml:space="preserve">0.020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+0.034</w:t>
                  </w:r>
                </w:p>
              </w:tc>
              <w:tc>
                <w:tcPr/>
                <w:p>
                  <w:pPr>
                    <w:pStyle w:val="Compact"/>
                    <w:jc w:val="left"/>
                    <w:jc w:val="center"/>
                  </w:pPr>
                  <w:r>
                    <w:t xml:space="preserve">+0.69</w:t>
                  </w:r>
                </w:p>
              </w:tc>
              <w:tc>
                <w:tcPr/>
                <w:p>
                  <w:pPr>
                    <w:pStyle w:val="Compact"/>
                    <w:jc w:val="left"/>
                    <w:jc w:val="center"/>
                  </w:pPr>
                  <w:r>
                    <w:t xml:space="preserve">0.075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0.70</w:t>
                  </w:r>
                </w:p>
              </w:tc>
              <w:tc>
                <w:tcPr/>
                <w:p>
                  <w:pPr>
                    <w:pStyle w:val="Compact"/>
                    <w:jc w:val="left"/>
                    <w:jc w:val="center"/>
                  </w:pPr>
                  <w:r>
                    <w:t xml:space="preserve">+0.092</w:t>
                  </w:r>
                </w:p>
              </w:tc>
              <w:tc>
                <w:tcPr/>
                <w:p>
                  <w:pPr>
                    <w:pStyle w:val="Compact"/>
                    <w:jc w:val="left"/>
                    <w:jc w:val="center"/>
                  </w:pPr>
                  <w:r>
                    <w:t xml:space="preserve">+1.13</w:t>
                  </w:r>
                </w:p>
              </w:tc>
              <w:tc>
                <w:tcPr/>
                <w:p>
                  <w:pPr>
                    <w:pStyle w:val="Compact"/>
                    <w:jc w:val="left"/>
                    <w:jc w:val="center"/>
                  </w:pPr>
                  <w:r>
                    <w:t xml:space="preserve">0.027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-0.039</w:t>
                  </w:r>
                </w:p>
              </w:tc>
              <w:tc>
                <w:tcPr/>
                <w:p>
                  <w:pPr>
                    <w:pStyle w:val="Compact"/>
                    <w:jc w:val="left"/>
                    <w:jc w:val="center"/>
                  </w:pPr>
                  <w:r>
                    <w:t xml:space="preserve">+0.09</w:t>
                  </w:r>
                </w:p>
              </w:tc>
              <w:tc>
                <w:tcPr/>
                <w:p>
                  <w:pPr>
                    <w:pStyle w:val="Compact"/>
                    <w:jc w:val="left"/>
                    <w:jc w:val="center"/>
                  </w:pPr>
                  <w:r>
                    <w:t xml:space="preserve">0.065</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0.44</w:t>
                  </w:r>
                </w:p>
              </w:tc>
              <w:tc>
                <w:tcPr/>
                <w:p>
                  <w:pPr>
                    <w:pStyle w:val="Compact"/>
                    <w:jc w:val="left"/>
                    <w:jc w:val="center"/>
                  </w:pPr>
                  <w:r>
                    <w:t xml:space="preserve">-0.021</w:t>
                  </w:r>
                </w:p>
              </w:tc>
              <w:tc>
                <w:tcPr/>
                <w:p>
                  <w:pPr>
                    <w:pStyle w:val="Compact"/>
                    <w:jc w:val="left"/>
                    <w:jc w:val="center"/>
                  </w:pPr>
                  <w:r>
                    <w:t xml:space="preserve">+0.20</w:t>
                  </w:r>
                </w:p>
              </w:tc>
              <w:tc>
                <w:tcPr/>
                <w:p>
                  <w:pPr>
                    <w:pStyle w:val="Compact"/>
                    <w:jc w:val="left"/>
                    <w:jc w:val="center"/>
                  </w:pPr>
                  <w:r>
                    <w:t xml:space="preserve">0.016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0.50</w:t>
                  </w:r>
                </w:p>
              </w:tc>
              <w:tc>
                <w:tcPr/>
                <w:p>
                  <w:pPr>
                    <w:pStyle w:val="Compact"/>
                    <w:jc w:val="left"/>
                    <w:jc w:val="center"/>
                  </w:pPr>
                  <w:r>
                    <w:t xml:space="preserve">-0.011</w:t>
                  </w:r>
                </w:p>
              </w:tc>
              <w:tc>
                <w:tcPr/>
                <w:p>
                  <w:pPr>
                    <w:pStyle w:val="Compact"/>
                    <w:jc w:val="left"/>
                    <w:jc w:val="center"/>
                  </w:pPr>
                  <w:r>
                    <w:t xml:space="preserve">+0.17</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0.60</w:t>
                  </w:r>
                </w:p>
              </w:tc>
              <w:tc>
                <w:tcPr/>
                <w:p>
                  <w:pPr>
                    <w:pStyle w:val="Compact"/>
                    <w:jc w:val="left"/>
                    <w:jc w:val="center"/>
                  </w:pPr>
                  <w:r>
                    <w:t xml:space="preserve">+0.009</w:t>
                  </w:r>
                </w:p>
              </w:tc>
              <w:tc>
                <w:tcPr/>
                <w:p>
                  <w:pPr>
                    <w:pStyle w:val="Compact"/>
                    <w:jc w:val="left"/>
                    <w:jc w:val="center"/>
                  </w:pPr>
                  <w:r>
                    <w:t xml:space="preserve">+0.91</w:t>
                  </w:r>
                </w:p>
              </w:tc>
              <w:tc>
                <w:tcPr/>
                <w:p>
                  <w:pPr>
                    <w:pStyle w:val="Compact"/>
                    <w:jc w:val="left"/>
                    <w:jc w:val="center"/>
                  </w:pPr>
                  <w:r>
                    <w:t xml:space="preserve">0.018</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0.55</w:t>
                  </w:r>
                </w:p>
              </w:tc>
              <w:tc>
                <w:tcPr/>
                <w:p>
                  <w:pPr>
                    <w:pStyle w:val="Compact"/>
                    <w:jc w:val="left"/>
                    <w:jc w:val="center"/>
                  </w:pPr>
                  <w:r>
                    <w:t xml:space="preserve">-0.076</w:t>
                  </w:r>
                </w:p>
              </w:tc>
              <w:tc>
                <w:tcPr/>
                <w:p>
                  <w:pPr>
                    <w:pStyle w:val="Compact"/>
                    <w:jc w:val="left"/>
                    <w:jc w:val="center"/>
                  </w:pPr>
                  <w:r>
                    <w:t xml:space="preserve">+0.15</w:t>
                  </w:r>
                </w:p>
              </w:tc>
              <w:tc>
                <w:tcPr/>
                <w:p>
                  <w:pPr>
                    <w:pStyle w:val="Compact"/>
                    <w:jc w:val="left"/>
                    <w:jc w:val="center"/>
                  </w:pPr>
                  <w:r>
                    <w:t xml:space="preserve">0.088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0.58</w:t>
                  </w:r>
                </w:p>
              </w:tc>
              <w:tc>
                <w:tcPr/>
                <w:p>
                  <w:pPr>
                    <w:pStyle w:val="Compact"/>
                    <w:jc w:val="left"/>
                    <w:jc w:val="center"/>
                  </w:pPr>
                  <w:r>
                    <w:t xml:space="preserve">-0.001</w:t>
                  </w:r>
                </w:p>
              </w:tc>
              <w:tc>
                <w:tcPr/>
                <w:p>
                  <w:pPr>
                    <w:pStyle w:val="Compact"/>
                    <w:jc w:val="left"/>
                    <w:jc w:val="center"/>
                  </w:pPr>
                  <w:r>
                    <w:t xml:space="preserve">+0.42</w:t>
                  </w:r>
                </w:p>
              </w:tc>
              <w:tc>
                <w:tcPr/>
                <w:p>
                  <w:pPr>
                    <w:pStyle w:val="Compact"/>
                    <w:jc w:val="left"/>
                    <w:jc w:val="center"/>
                  </w:pPr>
                  <w:r>
                    <w:t xml:space="preserve">0.025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1.4%</w:t>
                  </w:r>
                </w:p>
              </w:tc>
              <w:tc>
                <w:tcPr/>
                <w:p>
                  <w:pPr>
                    <w:pStyle w:val="Compact"/>
                    <w:jc w:val="left"/>
                    <w:jc w:val="center"/>
                  </w:pPr>
                  <w:r>
                    <w:t xml:space="preserve">0.76</w:t>
                  </w:r>
                </w:p>
              </w:tc>
              <w:tc>
                <w:tcPr/>
                <w:p>
                  <w:pPr>
                    <w:pStyle w:val="Compact"/>
                    <w:jc w:val="left"/>
                    <w:jc w:val="center"/>
                  </w:pPr>
                  <w:r>
                    <w:t xml:space="preserve">-0.006</w:t>
                  </w:r>
                </w:p>
              </w:tc>
              <w:tc>
                <w:tcPr/>
                <w:p>
                  <w:pPr>
                    <w:pStyle w:val="Compact"/>
                    <w:jc w:val="left"/>
                    <w:jc w:val="center"/>
                  </w:pPr>
                  <w:r>
                    <w:t xml:space="preserve">+0.54</w:t>
                  </w:r>
                </w:p>
              </w:tc>
              <w:tc>
                <w:tcPr/>
                <w:p>
                  <w:pPr>
                    <w:pStyle w:val="Compact"/>
                    <w:jc w:val="left"/>
                    <w:jc w:val="center"/>
                  </w:pPr>
                  <w:r>
                    <w:t xml:space="preserve">0.012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9.7%</w:t>
                  </w:r>
                </w:p>
              </w:tc>
              <w:tc>
                <w:tcPr/>
                <w:p>
                  <w:pPr>
                    <w:pStyle w:val="Compact"/>
                    <w:jc w:val="left"/>
                    <w:jc w:val="center"/>
                  </w:pPr>
                  <w:r>
                    <w:t xml:space="preserve">0.57</w:t>
                  </w:r>
                </w:p>
              </w:tc>
              <w:tc>
                <w:tcPr/>
                <w:p>
                  <w:pPr>
                    <w:pStyle w:val="Compact"/>
                    <w:jc w:val="left"/>
                    <w:jc w:val="center"/>
                  </w:pPr>
                  <w:r>
                    <w:t xml:space="preserve">+0.003</w:t>
                  </w:r>
                </w:p>
              </w:tc>
              <w:tc>
                <w:tcPr/>
                <w:p>
                  <w:pPr>
                    <w:pStyle w:val="Compact"/>
                    <w:jc w:val="left"/>
                    <w:jc w:val="center"/>
                  </w:pPr>
                  <w:r>
                    <w:t xml:space="preserve">+0.53</w:t>
                  </w:r>
                </w:p>
              </w:tc>
              <w:tc>
                <w:tcPr/>
                <w:p>
                  <w:pPr>
                    <w:pStyle w:val="Compact"/>
                    <w:jc w:val="left"/>
                    <w:jc w:val="center"/>
                  </w:pPr>
                  <w:r>
                    <w:t xml:space="preserve">0.036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9.8%</w:t>
                  </w:r>
                </w:p>
              </w:tc>
              <w:tc>
                <w:tcPr/>
                <w:p>
                  <w:pPr>
                    <w:pStyle w:val="Compact"/>
                    <w:jc w:val="left"/>
                    <w:jc w:val="center"/>
                  </w:pPr>
                  <w:r>
                    <w:t xml:space="preserve">0.55</w:t>
                  </w:r>
                </w:p>
              </w:tc>
              <w:tc>
                <w:tcPr/>
                <w:p>
                  <w:pPr>
                    <w:pStyle w:val="Compact"/>
                    <w:jc w:val="left"/>
                    <w:jc w:val="center"/>
                  </w:pPr>
                  <w:r>
                    <w:t xml:space="preserve">+0.004</w:t>
                  </w:r>
                </w:p>
              </w:tc>
              <w:tc>
                <w:tcPr/>
                <w:p>
                  <w:pPr>
                    <w:pStyle w:val="Compact"/>
                    <w:jc w:val="left"/>
                    <w:jc w:val="center"/>
                  </w:pPr>
                  <w:r>
                    <w:t xml:space="preserve">+0.56</w:t>
                  </w:r>
                </w:p>
              </w:tc>
              <w:tc>
                <w:tcPr/>
                <w:p>
                  <w:pPr>
                    <w:pStyle w:val="Compact"/>
                    <w:jc w:val="left"/>
                    <w:jc w:val="center"/>
                  </w:pPr>
                  <w:r>
                    <w:t xml:space="preserve">0.029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+0.057</w:t>
                  </w:r>
                </w:p>
              </w:tc>
              <w:tc>
                <w:tcPr/>
                <w:p>
                  <w:pPr>
                    <w:pStyle w:val="Compact"/>
                    <w:jc w:val="left"/>
                    <w:jc w:val="center"/>
                  </w:pPr>
                  <w:r>
                    <w:t xml:space="preserve">+0.86</w:t>
                  </w:r>
                </w:p>
              </w:tc>
              <w:tc>
                <w:tcPr/>
                <w:p>
                  <w:pPr>
                    <w:pStyle w:val="Compact"/>
                    <w:jc w:val="left"/>
                    <w:jc w:val="center"/>
                  </w:pPr>
                  <w:r>
                    <w:t xml:space="preserve">0.057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2.8%</w:t>
                  </w:r>
                </w:p>
              </w:tc>
              <w:tc>
                <w:tcPr/>
                <w:p>
                  <w:pPr>
                    <w:pStyle w:val="Compact"/>
                    <w:jc w:val="left"/>
                    <w:jc w:val="center"/>
                  </w:pPr>
                  <w:r>
                    <w:t xml:space="preserve">0.75</w:t>
                  </w:r>
                </w:p>
              </w:tc>
              <w:tc>
                <w:tcPr/>
                <w:p>
                  <w:pPr>
                    <w:pStyle w:val="Compact"/>
                    <w:jc w:val="left"/>
                    <w:jc w:val="center"/>
                  </w:pPr>
                  <w:r>
                    <w:t xml:space="preserve">+0.019</w:t>
                  </w:r>
                </w:p>
              </w:tc>
              <w:tc>
                <w:tcPr/>
                <w:p>
                  <w:pPr>
                    <w:pStyle w:val="Compact"/>
                    <w:jc w:val="left"/>
                    <w:jc w:val="center"/>
                  </w:pPr>
                  <w:r>
                    <w:t xml:space="preserve">+1.26</w:t>
                  </w:r>
                </w:p>
              </w:tc>
              <w:tc>
                <w:tcPr/>
                <w:p>
                  <w:pPr>
                    <w:pStyle w:val="Compact"/>
                    <w:jc w:val="left"/>
                    <w:jc w:val="center"/>
                  </w:pPr>
                  <w:r>
                    <w:t xml:space="preserve">0.021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58.6%</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-3.97</w:t>
                  </w:r>
                </w:p>
              </w:tc>
              <w:tc>
                <w:tcPr/>
                <w:p>
                  <w:pPr>
                    <w:pStyle w:val="Compact"/>
                    <w:jc w:val="left"/>
                    <w:jc w:val="center"/>
                  </w:pPr>
                  <w:r>
                    <w:t xml:space="preserve">0.067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0.52</w:t>
                  </w:r>
                </w:p>
              </w:tc>
              <w:tc>
                <w:tcPr/>
                <w:p>
                  <w:pPr>
                    <w:pStyle w:val="Compact"/>
                    <w:jc w:val="left"/>
                    <w:jc w:val="center"/>
                  </w:pPr>
                  <w:r>
                    <w:t xml:space="preserve">-0.061</w:t>
                  </w:r>
                </w:p>
              </w:tc>
              <w:tc>
                <w:tcPr/>
                <w:p>
                  <w:pPr>
                    <w:pStyle w:val="Compact"/>
                    <w:jc w:val="left"/>
                    <w:jc w:val="center"/>
                  </w:pPr>
                  <w:r>
                    <w:t xml:space="preserve">+0.13</w:t>
                  </w:r>
                </w:p>
              </w:tc>
              <w:tc>
                <w:tcPr/>
                <w:p>
                  <w:pPr>
                    <w:pStyle w:val="Compact"/>
                    <w:jc w:val="left"/>
                    <w:jc w:val="center"/>
                  </w:pPr>
                  <w:r>
                    <w:t xml:space="preserve">0.100</w:t>
                  </w:r>
                </w:p>
              </w:tc>
            </w:tr>
          </w:tbl>
          <w:bookmarkEnd w:id="49"/>
          <w:p/>
        </w:tc>
      </w:tr>
    </w:tbl>
    <w:bookmarkEnd w:id="50"/>
    <w:bookmarkStart w:id="54" w:name="X7519f55a912193215f6a0898c22ec7d335f2196"/>
    <w:p>
      <w:pPr>
        <w:pStyle w:val="Heading2"/>
      </w:pPr>
      <w:r>
        <w:t xml:space="preserve">3.7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7</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1" w:name="tbl-cv-honesty"/>
          <w:p>
            <w:pPr>
              <w:jc w:val="center"/>
            </w:pPr>
            <w:pPr>
              <w:jc w:val="start"/>
              <w:spacing w:before="200"/>
              <w:pStyle w:val="ImageCaption"/>
            </w:pPr>
            <w:r>
              <w:t xml:space="preserve">Table 7: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0.56</w:t>
                  </w:r>
                </w:p>
              </w:tc>
              <w:tc>
                <w:tcPr/>
                <w:p>
                  <w:pPr>
                    <w:pStyle w:val="Compact"/>
                    <w:jc w:val="right"/>
                    <w:jc w:val="center"/>
                  </w:pPr>
                  <w:r>
                    <w:t xml:space="preserve">0.53</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0.60</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0.52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0.67</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0.59</w:t>
                  </w:r>
                </w:p>
              </w:tc>
              <w:tc>
                <w:tcPr/>
                <w:p>
                  <w:pPr>
                    <w:pStyle w:val="Compact"/>
                    <w:jc w:val="right"/>
                    <w:jc w:val="center"/>
                  </w:pPr>
                  <w:r>
                    <w:t xml:space="preserve">0.52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0.62</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0.60</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0.46</w:t>
                  </w:r>
                </w:p>
              </w:tc>
              <w:tc>
                <w:tcPr/>
                <w:p>
                  <w:pPr>
                    <w:pStyle w:val="Compact"/>
                    <w:jc w:val="right"/>
                    <w:jc w:val="center"/>
                  </w:pPr>
                  <w:r>
                    <w:t xml:space="preserve">0.54</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0.61</w:t>
                  </w:r>
                </w:p>
              </w:tc>
              <w:tc>
                <w:tcPr/>
                <w:p>
                  <w:pPr>
                    <w:pStyle w:val="Compact"/>
                    <w:jc w:val="right"/>
                    <w:jc w:val="center"/>
                  </w:pPr>
                  <w:r>
                    <w:t xml:space="preserve">0.42</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0.54</w:t>
                  </w:r>
                </w:p>
              </w:tc>
              <w:tc>
                <w:tcPr/>
                <w:p>
                  <w:pPr>
                    <w:pStyle w:val="Compact"/>
                    <w:jc w:val="right"/>
                    <w:jc w:val="center"/>
                  </w:pPr>
                  <w:r>
                    <w:t xml:space="preserve">0.52</w:t>
                  </w:r>
                </w:p>
              </w:tc>
              <w:tc>
                <w:tcPr/>
                <w:p>
                  <w:pPr>
                    <w:pStyle w:val="Compact"/>
                    <w:jc w:val="right"/>
                    <w:jc w:val="center"/>
                  </w:pPr>
                  <w:r>
                    <w:t xml:space="preserve">0.55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0.49</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0.59</w:t>
                  </w:r>
                </w:p>
              </w:tc>
              <w:tc>
                <w:tcPr/>
                <w:p>
                  <w:pPr>
                    <w:pStyle w:val="Compact"/>
                    <w:jc w:val="right"/>
                    <w:jc w:val="center"/>
                  </w:pPr>
                  <w:r>
                    <w:t xml:space="preserve">0.64</w:t>
                  </w:r>
                </w:p>
              </w:tc>
              <w:tc>
                <w:tcPr/>
                <w:p>
                  <w:pPr>
                    <w:pStyle w:val="Compact"/>
                    <w:jc w:val="right"/>
                    <w:jc w:val="center"/>
                  </w:pPr>
                  <w:r>
                    <w:t xml:space="preserve">0.46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0.71</w:t>
                  </w:r>
                </w:p>
              </w:tc>
              <w:tc>
                <w:tcPr/>
                <w:p>
                  <w:pPr>
                    <w:pStyle w:val="Compact"/>
                    <w:jc w:val="right"/>
                    <w:jc w:val="center"/>
                  </w:pPr>
                  <w:r>
                    <w:t xml:space="preserve">0.64</w:t>
                  </w:r>
                </w:p>
              </w:tc>
              <w:tc>
                <w:tcPr/>
                <w:p>
                  <w:pPr>
                    <w:pStyle w:val="Compact"/>
                    <w:jc w:val="right"/>
                    <w:jc w:val="center"/>
                  </w:pPr>
                  <w:r>
                    <w:t xml:space="preserve">0.56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0.55</w:t>
                  </w:r>
                </w:p>
              </w:tc>
              <w:tc>
                <w:tcPr/>
                <w:p>
                  <w:pPr>
                    <w:pStyle w:val="Compact"/>
                    <w:jc w:val="right"/>
                    <w:jc w:val="center"/>
                  </w:pPr>
                  <w:r>
                    <w:t xml:space="preserve">0.54</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0.44</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0.70</w:t>
                  </w:r>
                </w:p>
              </w:tc>
              <w:tc>
                <w:tcPr/>
                <w:p>
                  <w:pPr>
                    <w:pStyle w:val="Compact"/>
                    <w:jc w:val="right"/>
                    <w:jc w:val="center"/>
                  </w:pPr>
                  <w:r>
                    <w:t xml:space="preserve">0.53</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0.54</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0.43</w:t>
                  </w:r>
                </w:p>
              </w:tc>
              <w:tc>
                <w:tcPr/>
                <w:p>
                  <w:pPr>
                    <w:pStyle w:val="Compact"/>
                    <w:jc w:val="right"/>
                    <w:jc w:val="center"/>
                  </w:pPr>
                  <w:r>
                    <w:t xml:space="preserve">0.50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0.32</w:t>
                  </w:r>
                </w:p>
              </w:tc>
              <w:tc>
                <w:tcPr/>
                <w:p>
                  <w:pPr>
                    <w:pStyle w:val="Compact"/>
                    <w:jc w:val="right"/>
                    <w:jc w:val="center"/>
                  </w:pPr>
                  <w:r>
                    <w:t xml:space="preserve">0.18</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0.53</w:t>
                  </w:r>
                </w:p>
              </w:tc>
              <w:tc>
                <w:tcPr/>
                <w:p>
                  <w:pPr>
                    <w:pStyle w:val="Compact"/>
                    <w:jc w:val="right"/>
                    <w:jc w:val="center"/>
                  </w:pPr>
                  <w:r>
                    <w:t xml:space="preserve">0.55</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0.29</w:t>
                  </w:r>
                </w:p>
              </w:tc>
              <w:tc>
                <w:tcPr/>
                <w:p>
                  <w:pPr>
                    <w:pStyle w:val="Compact"/>
                    <w:jc w:val="right"/>
                    <w:jc w:val="center"/>
                  </w:pPr>
                  <w:r>
                    <w:t xml:space="preserve">0.34</w:t>
                  </w:r>
                </w:p>
              </w:tc>
            </w:tr>
          </w:tbl>
          <w:bookmarkEnd w:id="51"/>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corr-error"/>
          <w:p>
            <w:pPr>
              <w:jc w:val="center"/>
            </w:pPr>
            <w:pPr>
              <w:jc w:val="start"/>
              <w:spacing w:before="200"/>
              <w:pStyle w:val="ImageCaption"/>
            </w:pPr>
            <w:r>
              <w:t xml:space="preserve">Table 8: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10.80</w:t>
                  </w:r>
                </w:p>
              </w:tc>
              <w:tc>
                <w:tcPr/>
                <w:p>
                  <w:pPr>
                    <w:pStyle w:val="Compact"/>
                    <w:jc w:val="right"/>
                    <w:jc w:val="center"/>
                  </w:pPr>
                  <w:r>
                    <w:t xml:space="preserve">3.03</w:t>
                  </w:r>
                </w:p>
              </w:tc>
              <w:tc>
                <w:tcPr/>
                <w:p>
                  <w:pPr>
                    <w:pStyle w:val="Compact"/>
                    <w:jc w:val="right"/>
                    <w:jc w:val="center"/>
                  </w:pPr>
                  <w:r>
                    <w:t xml:space="preserve">10.37</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4.71</w:t>
                  </w:r>
                </w:p>
              </w:tc>
              <w:tc>
                <w:tcPr/>
                <w:p>
                  <w:pPr>
                    <w:pStyle w:val="Compact"/>
                    <w:jc w:val="right"/>
                    <w:jc w:val="center"/>
                  </w:pPr>
                  <w:r>
                    <w:t xml:space="preserve">0.91</w:t>
                  </w:r>
                </w:p>
              </w:tc>
              <w:tc>
                <w:tcPr/>
                <w:p>
                  <w:pPr>
                    <w:pStyle w:val="Compact"/>
                    <w:jc w:val="right"/>
                    <w:jc w:val="center"/>
                  </w:pPr>
                  <w:r>
                    <w:t xml:space="preserve">4.62</w:t>
                  </w:r>
                </w:p>
              </w:tc>
              <w:tc>
                <w:tcPr/>
                <w:p>
                  <w:pPr>
                    <w:pStyle w:val="Compact"/>
                    <w:jc w:val="right"/>
                    <w:jc w:val="center"/>
                  </w:pPr>
                  <w:r>
                    <w:t xml:space="preserve">0.29</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25.80</w:t>
                  </w:r>
                </w:p>
              </w:tc>
              <w:tc>
                <w:tcPr/>
                <w:p>
                  <w:pPr>
                    <w:pStyle w:val="Compact"/>
                    <w:jc w:val="right"/>
                    <w:jc w:val="center"/>
                  </w:pPr>
                  <w:r>
                    <w:t xml:space="preserve">3.50</w:t>
                  </w:r>
                </w:p>
              </w:tc>
              <w:tc>
                <w:tcPr/>
                <w:p>
                  <w:pPr>
                    <w:pStyle w:val="Compact"/>
                    <w:jc w:val="right"/>
                    <w:jc w:val="center"/>
                  </w:pPr>
                  <w:r>
                    <w:t xml:space="preserve">25.56</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19.91</w:t>
                  </w:r>
                </w:p>
              </w:tc>
              <w:tc>
                <w:tcPr/>
                <w:p>
                  <w:pPr>
                    <w:pStyle w:val="Compact"/>
                    <w:jc w:val="right"/>
                    <w:jc w:val="center"/>
                  </w:pPr>
                  <w:r>
                    <w:t xml:space="preserve">4.31</w:t>
                  </w:r>
                </w:p>
              </w:tc>
              <w:tc>
                <w:tcPr/>
                <w:p>
                  <w:pPr>
                    <w:pStyle w:val="Compact"/>
                    <w:jc w:val="right"/>
                    <w:jc w:val="center"/>
                  </w:pPr>
                  <w:r>
                    <w:t xml:space="preserve">19.44</w:t>
                  </w:r>
                </w:p>
              </w:tc>
              <w:tc>
                <w:tcPr/>
                <w:p>
                  <w:pPr>
                    <w:pStyle w:val="Compact"/>
                    <w:jc w:val="right"/>
                    <w:jc w:val="center"/>
                  </w:pPr>
                  <w:r>
                    <w:t xml:space="preserve">0.83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10.77</w:t>
                  </w:r>
                </w:p>
              </w:tc>
              <w:tc>
                <w:tcPr/>
                <w:p>
                  <w:pPr>
                    <w:pStyle w:val="Compact"/>
                    <w:jc w:val="right"/>
                    <w:jc w:val="center"/>
                  </w:pPr>
                  <w:r>
                    <w:t xml:space="preserve">2.43</w:t>
                  </w:r>
                </w:p>
              </w:tc>
              <w:tc>
                <w:tcPr/>
                <w:p>
                  <w:pPr>
                    <w:pStyle w:val="Compact"/>
                    <w:jc w:val="right"/>
                    <w:jc w:val="center"/>
                  </w:pPr>
                  <w:r>
                    <w:t xml:space="preserve">10.49</w:t>
                  </w:r>
                </w:p>
              </w:tc>
              <w:tc>
                <w:tcPr/>
                <w:p>
                  <w:pPr>
                    <w:pStyle w:val="Compact"/>
                    <w:jc w:val="right"/>
                    <w:jc w:val="center"/>
                  </w:pPr>
                  <w:r>
                    <w:t xml:space="preserve">0.36</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4.52</w:t>
                  </w:r>
                </w:p>
              </w:tc>
              <w:tc>
                <w:tcPr/>
                <w:p>
                  <w:pPr>
                    <w:pStyle w:val="Compact"/>
                    <w:jc w:val="right"/>
                    <w:jc w:val="center"/>
                  </w:pPr>
                  <w:r>
                    <w:t xml:space="preserve">0.54</w:t>
                  </w:r>
                </w:p>
              </w:tc>
              <w:tc>
                <w:tcPr/>
                <w:p>
                  <w:pPr>
                    <w:pStyle w:val="Compact"/>
                    <w:jc w:val="right"/>
                    <w:jc w:val="center"/>
                  </w:pPr>
                  <w:r>
                    <w:t xml:space="preserve">4.49</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15.60</w:t>
                  </w:r>
                </w:p>
              </w:tc>
              <w:tc>
                <w:tcPr/>
                <w:p>
                  <w:pPr>
                    <w:pStyle w:val="Compact"/>
                    <w:jc w:val="right"/>
                    <w:jc w:val="center"/>
                  </w:pPr>
                  <w:r>
                    <w:t xml:space="preserve">2.09</w:t>
                  </w:r>
                </w:p>
              </w:tc>
              <w:tc>
                <w:tcPr/>
                <w:p>
                  <w:pPr>
                    <w:pStyle w:val="Compact"/>
                    <w:jc w:val="right"/>
                    <w:jc w:val="center"/>
                  </w:pPr>
                  <w:r>
                    <w:t xml:space="preserve">15.46</w:t>
                  </w:r>
                </w:p>
              </w:tc>
              <w:tc>
                <w:tcPr/>
                <w:p>
                  <w:pPr>
                    <w:pStyle w:val="Compact"/>
                    <w:jc w:val="right"/>
                    <w:jc w:val="center"/>
                  </w:pPr>
                  <w:r>
                    <w:t xml:space="preserve">0.56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12.19</w:t>
                  </w:r>
                </w:p>
              </w:tc>
              <w:tc>
                <w:tcPr/>
                <w:p>
                  <w:pPr>
                    <w:pStyle w:val="Compact"/>
                    <w:jc w:val="right"/>
                    <w:jc w:val="center"/>
                  </w:pPr>
                  <w:r>
                    <w:t xml:space="preserve">1.98</w:t>
                  </w:r>
                </w:p>
              </w:tc>
              <w:tc>
                <w:tcPr/>
                <w:p>
                  <w:pPr>
                    <w:pStyle w:val="Compact"/>
                    <w:jc w:val="right"/>
                    <w:jc w:val="center"/>
                  </w:pPr>
                  <w:r>
                    <w:t xml:space="preserve">12.03</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26.35</w:t>
                  </w:r>
                </w:p>
              </w:tc>
              <w:tc>
                <w:tcPr/>
                <w:p>
                  <w:pPr>
                    <w:pStyle w:val="Compact"/>
                    <w:jc w:val="right"/>
                    <w:jc w:val="center"/>
                  </w:pPr>
                  <w:r>
                    <w:t xml:space="preserve">4.74</w:t>
                  </w:r>
                </w:p>
              </w:tc>
              <w:tc>
                <w:tcPr/>
                <w:p>
                  <w:pPr>
                    <w:pStyle w:val="Compact"/>
                    <w:jc w:val="right"/>
                    <w:jc w:val="center"/>
                  </w:pPr>
                  <w:r>
                    <w:t xml:space="preserve">25.92</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15.35</w:t>
                  </w:r>
                </w:p>
              </w:tc>
              <w:tc>
                <w:tcPr/>
                <w:p>
                  <w:pPr>
                    <w:pStyle w:val="Compact"/>
                    <w:jc w:val="right"/>
                    <w:jc w:val="center"/>
                  </w:pPr>
                  <w:r>
                    <w:t xml:space="preserve">2.10</w:t>
                  </w:r>
                </w:p>
              </w:tc>
              <w:tc>
                <w:tcPr/>
                <w:p>
                  <w:pPr>
                    <w:pStyle w:val="Compact"/>
                    <w:jc w:val="right"/>
                    <w:jc w:val="center"/>
                  </w:pPr>
                  <w:r>
                    <w:t xml:space="preserve">15.21</w:t>
                  </w:r>
                </w:p>
              </w:tc>
              <w:tc>
                <w:tcPr/>
                <w:p>
                  <w:pPr>
                    <w:pStyle w:val="Compact"/>
                    <w:jc w:val="right"/>
                    <w:jc w:val="center"/>
                  </w:pPr>
                  <w:r>
                    <w:t xml:space="preserve">0.39</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5.70</w:t>
                  </w:r>
                </w:p>
              </w:tc>
              <w:tc>
                <w:tcPr/>
                <w:p>
                  <w:pPr>
                    <w:pStyle w:val="Compact"/>
                    <w:jc w:val="right"/>
                    <w:jc w:val="center"/>
                  </w:pPr>
                  <w:r>
                    <w:t xml:space="preserve">5.34</w:t>
                  </w:r>
                </w:p>
              </w:tc>
              <w:tc>
                <w:tcPr/>
                <w:p>
                  <w:pPr>
                    <w:pStyle w:val="Compact"/>
                    <w:jc w:val="right"/>
                    <w:jc w:val="center"/>
                  </w:pPr>
                  <w:r>
                    <w:t xml:space="preserve">2.00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1.56</w:t>
                  </w:r>
                </w:p>
              </w:tc>
              <w:tc>
                <w:tcPr/>
                <w:p>
                  <w:pPr>
                    <w:pStyle w:val="Compact"/>
                    <w:jc w:val="right"/>
                    <w:jc w:val="center"/>
                  </w:pPr>
                  <w:r>
                    <w:t xml:space="preserve">1.29</w:t>
                  </w:r>
                </w:p>
              </w:tc>
              <w:tc>
                <w:tcPr/>
                <w:p>
                  <w:pPr>
                    <w:pStyle w:val="Compact"/>
                    <w:jc w:val="right"/>
                    <w:jc w:val="center"/>
                  </w:pPr>
                  <w:r>
                    <w:t xml:space="preserve">0.87</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2.82</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0.80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9.16</w:t>
                  </w:r>
                </w:p>
              </w:tc>
              <w:tc>
                <w:tcPr/>
                <w:p>
                  <w:pPr>
                    <w:pStyle w:val="Compact"/>
                    <w:jc w:val="right"/>
                    <w:jc w:val="center"/>
                  </w:pPr>
                  <w:r>
                    <w:t xml:space="preserve">6.50</w:t>
                  </w:r>
                </w:p>
              </w:tc>
              <w:tc>
                <w:tcPr/>
                <w:p>
                  <w:pPr>
                    <w:pStyle w:val="Compact"/>
                    <w:jc w:val="right"/>
                    <w:jc w:val="center"/>
                  </w:pPr>
                  <w:r>
                    <w:t xml:space="preserve">6.45</w:t>
                  </w:r>
                </w:p>
              </w:tc>
              <w:tc>
                <w:tcPr/>
                <w:p>
                  <w:pPr>
                    <w:pStyle w:val="Compact"/>
                    <w:jc w:val="right"/>
                    <w:jc w:val="center"/>
                  </w:pPr>
                  <w:r>
                    <w:t xml:space="preserve">0.72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4.31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0.91</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0.61</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12.97</w:t>
                  </w:r>
                </w:p>
              </w:tc>
              <w:tc>
                <w:tcPr/>
                <w:p>
                  <w:pPr>
                    <w:pStyle w:val="Compact"/>
                    <w:jc w:val="right"/>
                    <w:jc w:val="center"/>
                  </w:pPr>
                  <w:r>
                    <w:t xml:space="preserve">1.44</w:t>
                  </w:r>
                </w:p>
              </w:tc>
              <w:tc>
                <w:tcPr/>
                <w:p>
                  <w:pPr>
                    <w:pStyle w:val="Compact"/>
                    <w:jc w:val="right"/>
                    <w:jc w:val="center"/>
                  </w:pPr>
                  <w:r>
                    <w:t xml:space="preserve">12.89</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5.12</w:t>
                  </w:r>
                </w:p>
              </w:tc>
              <w:tc>
                <w:tcPr/>
                <w:p>
                  <w:pPr>
                    <w:pStyle w:val="Compact"/>
                    <w:jc w:val="right"/>
                    <w:jc w:val="center"/>
                  </w:pPr>
                  <w:r>
                    <w:t xml:space="preserve">0.00</w:t>
                  </w:r>
                </w:p>
              </w:tc>
              <w:tc>
                <w:tcPr/>
                <w:p>
                  <w:pPr>
                    <w:pStyle w:val="Compact"/>
                    <w:jc w:val="right"/>
                    <w:jc w:val="center"/>
                  </w:pPr>
                  <w:r>
                    <w:t xml:space="preserve">5.12</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18.68</w:t>
                  </w:r>
                </w:p>
              </w:tc>
              <w:tc>
                <w:tcPr/>
                <w:p>
                  <w:pPr>
                    <w:pStyle w:val="Compact"/>
                    <w:jc w:val="right"/>
                    <w:jc w:val="center"/>
                  </w:pPr>
                  <w:r>
                    <w:t xml:space="preserve">1.99</w:t>
                  </w:r>
                </w:p>
              </w:tc>
              <w:tc>
                <w:tcPr/>
                <w:p>
                  <w:pPr>
                    <w:pStyle w:val="Compact"/>
                    <w:jc w:val="right"/>
                    <w:jc w:val="center"/>
                  </w:pPr>
                  <w:r>
                    <w:t xml:space="preserve">18.57</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18.19</w:t>
                  </w:r>
                </w:p>
              </w:tc>
              <w:tc>
                <w:tcPr/>
                <w:p>
                  <w:pPr>
                    <w:pStyle w:val="Compact"/>
                    <w:jc w:val="right"/>
                    <w:jc w:val="center"/>
                  </w:pPr>
                  <w:r>
                    <w:t xml:space="preserve">2.34</w:t>
                  </w:r>
                </w:p>
              </w:tc>
              <w:tc>
                <w:tcPr/>
                <w:p>
                  <w:pPr>
                    <w:pStyle w:val="Compact"/>
                    <w:jc w:val="right"/>
                    <w:jc w:val="center"/>
                  </w:pPr>
                  <w:r>
                    <w:t xml:space="preserve">18.04</w:t>
                  </w:r>
                </w:p>
              </w:tc>
              <w:tc>
                <w:tcPr/>
                <w:p>
                  <w:pPr>
                    <w:pStyle w:val="Compact"/>
                    <w:jc w:val="right"/>
                    <w:jc w:val="center"/>
                  </w:pPr>
                  <w:r>
                    <w:t xml:space="preserve">0.22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18.03</w:t>
                  </w:r>
                </w:p>
              </w:tc>
              <w:tc>
                <w:tcPr/>
                <w:p>
                  <w:pPr>
                    <w:pStyle w:val="Compact"/>
                    <w:jc w:val="right"/>
                    <w:jc w:val="center"/>
                  </w:pPr>
                  <w:r>
                    <w:t xml:space="preserve">2.88</w:t>
                  </w:r>
                </w:p>
              </w:tc>
              <w:tc>
                <w:tcPr/>
                <w:p>
                  <w:pPr>
                    <w:pStyle w:val="Compact"/>
                    <w:jc w:val="right"/>
                    <w:jc w:val="center"/>
                  </w:pPr>
                  <w:r>
                    <w:t xml:space="preserve">17.80</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6.50</w:t>
                  </w:r>
                </w:p>
              </w:tc>
              <w:tc>
                <w:tcPr/>
                <w:p>
                  <w:pPr>
                    <w:pStyle w:val="Compact"/>
                    <w:jc w:val="right"/>
                    <w:jc w:val="center"/>
                  </w:pPr>
                  <w:r>
                    <w:t xml:space="preserve">0.44</w:t>
                  </w:r>
                </w:p>
              </w:tc>
              <w:tc>
                <w:tcPr/>
                <w:p>
                  <w:pPr>
                    <w:pStyle w:val="Compact"/>
                    <w:jc w:val="right"/>
                    <w:jc w:val="center"/>
                  </w:pPr>
                  <w:r>
                    <w:t xml:space="preserve">6.48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26.05</w:t>
                  </w:r>
                </w:p>
              </w:tc>
              <w:tc>
                <w:tcPr/>
                <w:p>
                  <w:pPr>
                    <w:pStyle w:val="Compact"/>
                    <w:jc w:val="right"/>
                    <w:jc w:val="center"/>
                  </w:pPr>
                  <w:r>
                    <w:t xml:space="preserve">4.97</w:t>
                  </w:r>
                </w:p>
              </w:tc>
              <w:tc>
                <w:tcPr/>
                <w:p>
                  <w:pPr>
                    <w:pStyle w:val="Compact"/>
                    <w:jc w:val="right"/>
                    <w:jc w:val="center"/>
                  </w:pPr>
                  <w:r>
                    <w:t xml:space="preserve">25.58</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26.27</w:t>
                  </w:r>
                </w:p>
              </w:tc>
              <w:tc>
                <w:tcPr/>
                <w:p>
                  <w:pPr>
                    <w:pStyle w:val="Compact"/>
                    <w:jc w:val="right"/>
                    <w:jc w:val="center"/>
                  </w:pPr>
                  <w:r>
                    <w:t xml:space="preserve">4.30</w:t>
                  </w:r>
                </w:p>
              </w:tc>
              <w:tc>
                <w:tcPr/>
                <w:p>
                  <w:pPr>
                    <w:pStyle w:val="Compact"/>
                    <w:jc w:val="right"/>
                    <w:jc w:val="center"/>
                  </w:pPr>
                  <w:r>
                    <w:t xml:space="preserve">25.91</w:t>
                  </w:r>
                </w:p>
              </w:tc>
              <w:tc>
                <w:tcPr/>
                <w:p>
                  <w:pPr>
                    <w:pStyle w:val="Compact"/>
                    <w:jc w:val="right"/>
                    <w:jc w:val="center"/>
                  </w:pPr>
                  <w:r>
                    <w:t xml:space="preserve">0.20</w:t>
                  </w:r>
                </w:p>
              </w:tc>
            </w:tr>
          </w:tbl>
          <w:bookmarkEnd w:id="52"/>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decision"/>
          <w:p>
            <w:pPr>
              <w:jc w:val="center"/>
            </w:pPr>
            <w:pPr>
              <w:jc w:val="start"/>
              <w:spacing w:before="200"/>
              <w:pStyle w:val="ImageCaption"/>
            </w:pPr>
            <w:r>
              <w:t xml:space="preserve">Table 9: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0.33</w:t>
                  </w:r>
                </w:p>
              </w:tc>
              <w:tc>
                <w:tcPr/>
                <w:p>
                  <w:pPr>
                    <w:pStyle w:val="Compact"/>
                    <w:jc w:val="right"/>
                    <w:jc w:val="center"/>
                  </w:pPr>
                  <w:r>
                    <w:t xml:space="preserve">1.63</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0.31</w:t>
                  </w:r>
                </w:p>
              </w:tc>
              <w:tc>
                <w:tcPr/>
                <w:p>
                  <w:pPr>
                    <w:pStyle w:val="Compact"/>
                    <w:jc w:val="right"/>
                    <w:jc w:val="center"/>
                  </w:pPr>
                  <w:r>
                    <w:t xml:space="preserve">1.51</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1.13</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0.27</w:t>
                  </w:r>
                </w:p>
              </w:tc>
              <w:tc>
                <w:tcPr/>
                <w:p>
                  <w:pPr>
                    <w:pStyle w:val="Compact"/>
                    <w:jc w:val="right"/>
                    <w:jc w:val="center"/>
                  </w:pPr>
                  <w:r>
                    <w:t xml:space="preserve">1.50</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0.31</w:t>
                  </w:r>
                </w:p>
              </w:tc>
              <w:tc>
                <w:tcPr/>
                <w:p>
                  <w:pPr>
                    <w:pStyle w:val="Compact"/>
                    <w:jc w:val="right"/>
                    <w:jc w:val="center"/>
                  </w:pPr>
                  <w:r>
                    <w:t xml:space="preserve">1.50</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0.33</w:t>
                  </w:r>
                </w:p>
              </w:tc>
              <w:tc>
                <w:tcPr/>
                <w:p>
                  <w:pPr>
                    <w:pStyle w:val="Compact"/>
                    <w:jc w:val="right"/>
                    <w:jc w:val="center"/>
                  </w:pPr>
                  <w:r>
                    <w:t xml:space="preserve">1.53</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0.35</w:t>
                  </w:r>
                </w:p>
              </w:tc>
              <w:tc>
                <w:tcPr/>
                <w:p>
                  <w:pPr>
                    <w:pStyle w:val="Compact"/>
                    <w:jc w:val="right"/>
                    <w:jc w:val="center"/>
                  </w:pPr>
                  <w:r>
                    <w:t xml:space="preserve">1.83</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0.28</w:t>
                  </w:r>
                </w:p>
              </w:tc>
              <w:tc>
                <w:tcPr/>
                <w:p>
                  <w:pPr>
                    <w:pStyle w:val="Compact"/>
                    <w:jc w:val="right"/>
                    <w:jc w:val="center"/>
                  </w:pPr>
                  <w:r>
                    <w:t xml:space="preserve">1.41</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0.27</w:t>
                  </w:r>
                </w:p>
              </w:tc>
              <w:tc>
                <w:tcPr/>
                <w:p>
                  <w:pPr>
                    <w:pStyle w:val="Compact"/>
                    <w:jc w:val="right"/>
                    <w:jc w:val="center"/>
                  </w:pPr>
                  <w:r>
                    <w:t xml:space="preserve">1.30</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0.49</w:t>
                  </w:r>
                </w:p>
              </w:tc>
              <w:tc>
                <w:tcPr/>
                <w:p>
                  <w:pPr>
                    <w:pStyle w:val="Compact"/>
                    <w:jc w:val="right"/>
                    <w:jc w:val="center"/>
                  </w:pPr>
                  <w:r>
                    <w:t xml:space="preserve">2.55</w:t>
                  </w:r>
                </w:p>
              </w:tc>
              <w:tc>
                <w:tcPr/>
                <w:p>
                  <w:pPr>
                    <w:pStyle w:val="Compact"/>
                    <w:jc w:val="right"/>
                    <w:jc w:val="center"/>
                  </w:pPr>
                  <w:r>
                    <w:t xml:space="preserve">0.60</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1.64</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0.44</w:t>
                  </w:r>
                </w:p>
              </w:tc>
              <w:tc>
                <w:tcPr/>
                <w:p>
                  <w:pPr>
                    <w:pStyle w:val="Compact"/>
                    <w:jc w:val="right"/>
                    <w:jc w:val="center"/>
                  </w:pPr>
                  <w:r>
                    <w:t xml:space="preserve">2.28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0.26</w:t>
                  </w:r>
                </w:p>
              </w:tc>
              <w:tc>
                <w:tcPr/>
                <w:p>
                  <w:pPr>
                    <w:pStyle w:val="Compact"/>
                    <w:jc w:val="right"/>
                    <w:jc w:val="center"/>
                  </w:pPr>
                  <w:r>
                    <w:t xml:space="preserve">1.31</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1.20</w:t>
                  </w:r>
                </w:p>
              </w:tc>
              <w:tc>
                <w:tcPr/>
                <w:p>
                  <w:pPr>
                    <w:pStyle w:val="Compact"/>
                    <w:jc w:val="right"/>
                    <w:jc w:val="center"/>
                  </w:pPr>
                  <w:r>
                    <w:t xml:space="preserve">1.00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1.82</w:t>
                  </w:r>
                </w:p>
              </w:tc>
              <w:tc>
                <w:tcPr/>
                <w:p>
                  <w:pPr>
                    <w:pStyle w:val="Compact"/>
                    <w:jc w:val="right"/>
                    <w:jc w:val="center"/>
                  </w:pPr>
                  <w:r>
                    <w:t xml:space="preserve">0.33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0.27</w:t>
                  </w:r>
                </w:p>
              </w:tc>
              <w:tc>
                <w:tcPr/>
                <w:p>
                  <w:pPr>
                    <w:pStyle w:val="Compact"/>
                    <w:jc w:val="right"/>
                    <w:jc w:val="center"/>
                  </w:pPr>
                  <w:r>
                    <w:t xml:space="preserve">1.30</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0.09</w:t>
                  </w:r>
                </w:p>
              </w:tc>
              <w:tc>
                <w:tcPr/>
                <w:p>
                  <w:pPr>
                    <w:pStyle w:val="Compact"/>
                    <w:jc w:val="right"/>
                    <w:jc w:val="center"/>
                  </w:pPr>
                  <w:r>
                    <w:t xml:space="preserve">0.52</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1.21</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0.31</w:t>
                  </w:r>
                </w:p>
              </w:tc>
              <w:tc>
                <w:tcPr/>
                <w:p>
                  <w:pPr>
                    <w:pStyle w:val="Compact"/>
                    <w:jc w:val="right"/>
                    <w:jc w:val="center"/>
                  </w:pPr>
                  <w:r>
                    <w:t xml:space="preserve">1.51</w:t>
                  </w:r>
                </w:p>
              </w:tc>
              <w:tc>
                <w:tcPr/>
                <w:p>
                  <w:pPr>
                    <w:pStyle w:val="Compact"/>
                    <w:jc w:val="right"/>
                    <w:jc w:val="center"/>
                  </w:pPr>
                  <w:r>
                    <w:t xml:space="preserve">0.35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0.37</w:t>
                  </w:r>
                </w:p>
              </w:tc>
              <w:tc>
                <w:tcPr/>
                <w:p>
                  <w:pPr>
                    <w:pStyle w:val="Compact"/>
                    <w:jc w:val="right"/>
                    <w:jc w:val="center"/>
                  </w:pPr>
                  <w:r>
                    <w:t xml:space="preserve">1.84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0.29</w:t>
                  </w:r>
                </w:p>
              </w:tc>
              <w:tc>
                <w:tcPr/>
                <w:p>
                  <w:pPr>
                    <w:pStyle w:val="Compact"/>
                    <w:jc w:val="right"/>
                    <w:jc w:val="center"/>
                  </w:pPr>
                  <w:r>
                    <w:t xml:space="preserve">1.59</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0.21</w:t>
                  </w:r>
                </w:p>
              </w:tc>
              <w:tc>
                <w:tcPr/>
                <w:p>
                  <w:pPr>
                    <w:pStyle w:val="Compact"/>
                    <w:jc w:val="right"/>
                    <w:jc w:val="center"/>
                  </w:pPr>
                  <w:r>
                    <w:t xml:space="preserve">1.05</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0.24</w:t>
                  </w:r>
                </w:p>
              </w:tc>
              <w:tc>
                <w:tcPr/>
                <w:p>
                  <w:pPr>
                    <w:pStyle w:val="Compact"/>
                    <w:jc w:val="right"/>
                    <w:jc w:val="center"/>
                  </w:pPr>
                  <w:r>
                    <w:t xml:space="preserve">1.20</w:t>
                  </w:r>
                </w:p>
              </w:tc>
              <w:tc>
                <w:tcPr/>
                <w:p>
                  <w:pPr>
                    <w:pStyle w:val="Compact"/>
                    <w:jc w:val="right"/>
                    <w:jc w:val="center"/>
                  </w:pPr>
                  <w:r>
                    <w:t xml:space="preserve">0.35</w:t>
                  </w:r>
                </w:p>
              </w:tc>
            </w:tr>
          </w:tbl>
          <w:bookmarkEnd w:id="53"/>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54"/>
    <w:bookmarkEnd w:id="55"/>
    <w:bookmarkStart w:id="64" w:name="discussion"/>
    <w:p>
      <w:pPr>
        <w:pStyle w:val="Heading1"/>
      </w:pPr>
      <w:r>
        <w:t xml:space="preserve">4. Discussion</w:t>
      </w:r>
    </w:p>
    <w:bookmarkStart w:id="56"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w:t>
      </w:r>
      <w:r>
        <w:t xml:space="preserve"> </w:t>
      </w:r>
      <w:r>
        <w:t xml:space="preserve">whether ensemble machine-learning models can</w:t>
      </w:r>
      <w:r>
        <w:t xml:space="preserve"> </w:t>
      </w:r>
      <w:r>
        <w:t xml:space="preserve">reproduce admin-2 micronutrient deficiency prevalence. Three findings</w:t>
      </w:r>
      <w:r>
        <w:t xml:space="preserve"> </w:t>
      </w:r>
      <w:r>
        <w:t xml:space="preserve">have programmatic significance.</w:t>
      </w:r>
    </w:p>
    <w:p>
      <w:pPr>
        <w:pStyle w:val="BodyText"/>
      </w:pPr>
      <w:r>
        <w:t xml:space="preserve">First, within-country admin-2 accuracy is modest once evaluated</w:t>
      </w:r>
      <w:r>
        <w:t xml:space="preserve"> </w:t>
      </w:r>
      <w:r>
        <w:t xml:space="preserve">out-of-fold, and—contrary to in-sample appearances—aggregating</w:t>
      </w:r>
      <w:r>
        <w:t xml:space="preserve"> </w:t>
      </w:r>
      <w:r>
        <w:t xml:space="preserve">individual-level predictions to admin-2 (median Pearson r 0.53)</w:t>
      </w:r>
      <w:r>
        <w:t xml:space="preserve"> </w:t>
      </w:r>
      <w:r>
        <w:t xml:space="preserve">outperforms fitting an ensemble</w:t>
      </w:r>
      <w:r>
        <w:t xml:space="preserve"> </w:t>
      </w:r>
      <w:r>
        <w:rPr>
          <w:i/>
          <w:iCs/>
        </w:rPr>
        <w:t xml:space="preserve">directly at the admin-2 level</w:t>
      </w:r>
      <w:r>
        <w:t xml:space="preserve"> </w:t>
      </w:r>
      <w:r>
        <w:t xml:space="preserve">(median</w:t>
      </w:r>
      <w:r>
        <w:t xml:space="preserve"> </w:t>
      </w:r>
      <w:r>
        <w:t xml:space="preserve">r 0.12, MSE-loss variant), which overfits badly in the area-level p ≫ n</w:t>
      </w:r>
      <w:r>
        <w:t xml:space="preserve"> </w:t>
      </w:r>
      <w:r>
        <w:t xml:space="preserve">setting (14–87 areal units against ~150 screened covariates). The</w:t>
      </w:r>
      <w:r>
        <w:t xml:space="preserve"> </w:t>
      </w:r>
      <w:r>
        <w:t xml:space="preserve">individual-level aggregate still shows compression toward the country mean</w:t>
      </w:r>
      <w:r>
        <w:t xml:space="preserve"> </w:t>
      </w:r>
      <w:r>
        <w:t xml:space="preserve">and negative biases of up to 20 percentage points for iron, so neither</w:t>
      </w:r>
      <w:r>
        <w:t xml:space="preserve"> </w:t>
      </w:r>
      <w:r>
        <w:t xml:space="preserve">approach delivers the near-perfect ranking that in-sample evaluation had</w:t>
      </w:r>
      <w:r>
        <w:t xml:space="preserve"> </w:t>
      </w:r>
      <w:r>
        <w:t xml:space="preserve">suggested. This qualifies the usual small-area-estimation expectation that</w:t>
      </w:r>
      <w:r>
        <w:t xml:space="preserve"> </w:t>
      </w:r>
      <w:r>
        <w:t xml:space="preserve">the unit of estimation should match the unit of deliverable</w:t>
      </w:r>
      <w:r>
        <w:t xml:space="preserve"> </w:t>
      </w:r>
      <w:r>
        <w:t xml:space="preserve">(Mercer et al. 2015; Wakefield, Okonek, and Pedersen 2020)</w:t>
      </w:r>
      <w:r>
        <w:t xml:space="preserve">: with so few areal units, the</w:t>
      </w:r>
      <w:r>
        <w:t xml:space="preserve"> </w:t>
      </w:r>
      <w:r>
        <w:t xml:space="preserve">data-richer individual-level fit generalises more reliably than a model</w:t>
      </w:r>
      <w:r>
        <w:t xml:space="preserve"> </w:t>
      </w:r>
      <w:r>
        <w:t xml:space="preserve">trained directly on the areas.</w:t>
      </w:r>
    </w:p>
    <w:p>
      <w:pPr>
        <w:pStyle w:val="BodyText"/>
      </w:pPr>
      <w:r>
        <w:t xml:space="preserve">Second, cross-country transportability is limited. Trained on three West</w:t>
      </w:r>
      <w:r>
        <w:t xml:space="preserve"> </w:t>
      </w:r>
      <w:r>
        <w:t xml:space="preserve">African countries and tested on a fourth, the SuperLearner achieved</w:t>
      </w:r>
      <w:r>
        <w:t xml:space="preserve"> </w:t>
      </w:r>
      <w:r>
        <w:t xml:space="preserve">median Pearson r of 0.21 across 16 outcome–holdout combinations, with</w:t>
      </w:r>
      <w:r>
        <w:t xml:space="preserve"> </w:t>
      </w:r>
      <w:r>
        <w:t xml:space="preserve">absolute errors of 1.5–44 percentage points and frequent anti-predictive</w:t>
      </w:r>
      <w:r>
        <w:t xml:space="preserve"> </w:t>
      </w:r>
      <w:r>
        <w:t xml:space="preserve">ordering. Iron-deficiency outcomes were the most transportable; vitamin-A</w:t>
      </w:r>
      <w:r>
        <w:t xml:space="preserve"> </w:t>
      </w:r>
      <w:r>
        <w:t xml:space="preserve">deficiency was not transportable. Malawi, the only training country</w:t>
      </w:r>
      <w:r>
        <w:t xml:space="preserve"> </w:t>
      </w:r>
      <w:r>
        <w:t xml:space="preserve">outside West Africa, produced anti-correlated predictions when held out</w:t>
      </w:r>
      <w:r>
        <w:t xml:space="preserve"> </w:t>
      </w:r>
      <w:r>
        <w:t xml:space="preserve">across three of four outcomes — a regional generalisation gap that should</w:t>
      </w:r>
      <w:r>
        <w:t xml:space="preserve"> </w:t>
      </w:r>
      <w:r>
        <w:t xml:space="preserve">caution against using these models for spatial targeting in unseen</w:t>
      </w:r>
      <w:r>
        <w:t xml:space="preserve"> </w:t>
      </w:r>
      <w:r>
        <w:t xml:space="preserve">geographies without local validation.</w:t>
      </w:r>
    </w:p>
    <w:p>
      <w:pPr>
        <w:pStyle w:val="BodyText"/>
      </w:pPr>
      <w:r>
        <w:t xml:space="preserve">Third, the SuperLearner does not reliably outperform standard SAE methods.</w:t>
      </w:r>
      <w:r>
        <w:t xml:space="preserve"> </w:t>
      </w:r>
      <w:r>
        <w:t xml:space="preserve">A plain 8-covariate OLS or an elastic-net penalised regression matched</w:t>
      </w:r>
      <w:r>
        <w:t xml:space="preserve"> </w:t>
      </w:r>
      <w:r>
        <w:t xml:space="preserve">or beat the ensemble on a majority of LOCO splits. The ensemble’s</w:t>
      </w:r>
      <w:r>
        <w:t xml:space="preserve"> </w:t>
      </w:r>
      <w:r>
        <w:t xml:space="preserve">advantages, when present, concentrated in specific outcome–country</w:t>
      </w:r>
      <w:r>
        <w:t xml:space="preserve"> </w:t>
      </w:r>
      <w:r>
        <w:t xml:space="preserve">combinations where ranger captured genuine non-linear spatial signal.</w:t>
      </w:r>
      <w:r>
        <w:t xml:space="preserve"> </w:t>
      </w:r>
      <w:r>
        <w:t xml:space="preserve">Bayesian SAE comparators provided modest additional calibration gains,</w:t>
      </w:r>
      <w:r>
        <w:t xml:space="preserve"> </w:t>
      </w:r>
      <w:r>
        <w:t xml:space="preserve">particularly for low-prevalence outcomes where shrinkage to area-level</w:t>
      </w:r>
      <w:r>
        <w:t xml:space="preserve"> </w:t>
      </w:r>
      <w:r>
        <w:t xml:space="preserve">random effects stabilised estimates.</w:t>
      </w:r>
    </w:p>
    <w:bookmarkEnd w:id="56"/>
    <w:bookmarkStart w:id="57"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57"/>
    <w:bookmarkStart w:id="58"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w:t>
      </w:r>
      <w:r>
        <w:t xml:space="preserve"> </w:t>
      </w:r>
      <w:r>
        <w:t xml:space="preserve">case, where the SuperLearner produces anti-predictive ranking</w:t>
      </w:r>
      <w:r>
        <w:t xml:space="preserve"> </w:t>
      </w:r>
      <w:r>
        <w:t xml:space="preserve">(r = −0.19) while a plain OLS achieves r = 0.51. We interpret this as</w:t>
      </w:r>
      <w:r>
        <w:t xml:space="preserve"> </w:t>
      </w:r>
      <w:r>
        <w:t xml:space="preserve">a model-selection failure of the ensemble: with only 14 admin-2 areas</w:t>
      </w:r>
      <w:r>
        <w:t xml:space="preserve"> </w:t>
      </w:r>
      <w:r>
        <w:t xml:space="preserve">in the held-out set and approximately 152 covariates, the cross-validated</w:t>
      </w:r>
      <w:r>
        <w:t xml:space="preserve"> </w:t>
      </w:r>
      <w:r>
        <w:t xml:space="preserve">risk estimator within the ensemble has high variance, and the cv-selected</w:t>
      </w:r>
      <w:r>
        <w:t xml:space="preserve"> </w:t>
      </w:r>
      <w:r>
        <w:t xml:space="preserve">learner (ranger in this case) appears to have over-fit to a</w:t>
      </w:r>
      <w:r>
        <w:t xml:space="preserve"> </w:t>
      </w:r>
      <w:r>
        <w:t xml:space="preserve">non-transportable feature pattern. Simpler regularised models with</w:t>
      </w:r>
      <w:r>
        <w:t xml:space="preserve"> </w:t>
      </w:r>
      <w:r>
        <w:t xml:space="preserve">implicit variable shrinkage are more robust under these conditions.</w:t>
      </w:r>
    </w:p>
    <w:p>
      <w:pPr>
        <w:pStyle w:val="BodyText"/>
      </w:pPr>
      <w:r>
        <w:t xml:space="preserve">This suggests that ensemble methods should be benchmarked against</w:t>
      </w:r>
      <w:r>
        <w:t xml:space="preserve"> </w:t>
      </w:r>
      <w:r>
        <w:t xml:space="preserve">parsimonious alternatives whenever the test set is small or the target</w:t>
      </w:r>
      <w:r>
        <w:t xml:space="preserve"> </w:t>
      </w:r>
      <w:r>
        <w:t xml:space="preserve">population is meaningfully outside the training distribution. The</w:t>
      </w:r>
      <w:r>
        <w:t xml:space="preserve"> </w:t>
      </w:r>
      <w:r>
        <w:t xml:space="preserve">17.7-hour computational cost of our SuperLearner pipeline relative to a</w:t>
      </w:r>
      <w:r>
        <w:t xml:space="preserve"> </w:t>
      </w:r>
      <w:r>
        <w:t xml:space="preserve">~1-minute OLS baseline is justified only on a subset of country–outcome</w:t>
      </w:r>
      <w:r>
        <w:t xml:space="preserve"> </w:t>
      </w:r>
      <w:r>
        <w:t xml:space="preserve">combinations.</w:t>
      </w:r>
    </w:p>
    <w:bookmarkEnd w:id="58"/>
    <w:bookmarkStart w:id="59" w:name="implications-for-programming"/>
    <w:p>
      <w:pPr>
        <w:pStyle w:val="Heading2"/>
      </w:pPr>
      <w:r>
        <w:t xml:space="preserve">4.4 Implications for programming</w:t>
      </w:r>
    </w:p>
    <w:p>
      <w:pPr>
        <w:pStyle w:val="FirstParagraph"/>
      </w:pPr>
      <w:r>
        <w:t xml:space="preserve">Admin-2 deficiency maps derived from this approach are interpretable as</w:t>
      </w:r>
      <w:r>
        <w:t xml:space="preserve"> </w:t>
      </w:r>
      <w:r>
        <w:rPr>
          <w:i/>
          <w:iCs/>
        </w:rPr>
        <w:t xml:space="preserve">relative ranking</w:t>
      </w:r>
      <w:r>
        <w:t xml:space="preserve"> </w:t>
      </w:r>
      <w:r>
        <w:t xml:space="preserve">tools within a country with biomarker data — useful</w:t>
      </w:r>
      <w:r>
        <w:t xml:space="preserve"> </w:t>
      </w:r>
      <w:r>
        <w:t xml:space="preserve">for prioritising districts within a national-level intervention. They</w:t>
      </w:r>
      <w:r>
        <w:t xml:space="preserve"> </w:t>
      </w:r>
      <w:r>
        <w:t xml:space="preserve">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w:t>
      </w:r>
      <w:r>
        <w:t xml:space="preserve"> </w:t>
      </w:r>
      <w:r>
        <w:t xml:space="preserve">risk triage at most, and only within the same broad agroecological</w:t>
      </w:r>
      <w:r>
        <w:t xml:space="preserve"> </w:t>
      </w:r>
      <w:r>
        <w:t xml:space="preserve">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59"/>
    <w:bookmarkStart w:id="60"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 number of polygons</w:t>
      </w:r>
      <w:r>
        <w:t xml:space="preserve"> </w:t>
      </w:r>
      <w:r>
        <w:t xml:space="preserve">(14–87 per country) rather than the underlying individuals, which limits</w:t>
      </w:r>
      <w:r>
        <w:t xml:space="preserve"> </w:t>
      </w:r>
      <w:r>
        <w:t xml:space="preserve">the degrees of freedom for both within- and cross-country fitting and</w:t>
      </w:r>
      <w:r>
        <w:t xml:space="preserve"> </w:t>
      </w:r>
      <w:r>
        <w:t xml:space="preserve">makes the within-country cross-validated correlations an optimistic bound</w:t>
      </w:r>
      <w:r>
        <w:t xml:space="preserve"> </w:t>
      </w:r>
      <w:r>
        <w:t xml:space="preserve">(most acutely for Sierra Leone, with only 14 polygons). We did not formally</w:t>
      </w:r>
      <w:r>
        <w:t xml:space="preserve"> </w:t>
      </w:r>
      <w:r>
        <w:t xml:space="preserve">quantify the contribution of survey design weights to admin-2 prevalence</w:t>
      </w:r>
      <w:r>
        <w:t xml:space="preserve"> </w:t>
      </w:r>
      <w:r>
        <w:t xml:space="preserve">estimates; assuming a fixed design-effect of 1.5 (DHS-typical) is an</w:t>
      </w:r>
      <w:r>
        <w:t xml:space="preserve"> </w:t>
      </w:r>
      <w:r>
        <w:t xml:space="preserve">approximation. We restricted the cross-country common-vocabulary GEE</w:t>
      </w:r>
      <w:r>
        <w:t xml:space="preserve"> </w:t>
      </w:r>
      <w:r>
        <w:t xml:space="preserve">covariate set to 152 variables, and other satellite-derived predictors</w:t>
      </w:r>
      <w:r>
        <w:t xml:space="preserve"> </w:t>
      </w:r>
      <w:r>
        <w:t xml:space="preserve">not present in all four countries (notably finer-grained land-use</w:t>
      </w:r>
      <w:r>
        <w:t xml:space="preserve"> </w:t>
      </w:r>
      <w:r>
        <w:t xml:space="preserve">classes) were excluded. Finally, our raw binary classifiers’ calibration</w:t>
      </w:r>
      <w:r>
        <w:t xml:space="preserve"> </w:t>
      </w:r>
      <w:r>
        <w:t xml:space="preserve">diagnostics flagged 13 of 23 outcomes with negative Brier skill; post-hoc</w:t>
      </w:r>
      <w:r>
        <w:t xml:space="preserve"> </w:t>
      </w:r>
      <w:r>
        <w:t xml:space="preserve">recalibration restored all of them to non-negative skill, but the</w:t>
      </w:r>
      <w:r>
        <w:t xml:space="preserve"> </w:t>
      </w:r>
      <w:r>
        <w:t xml:space="preserve">underlying discrimination at very low prevalence remains weak (several</w:t>
      </w:r>
      <w:r>
        <w:t xml:space="preserve"> </w:t>
      </w:r>
      <w:r>
        <w:t xml:space="preserve">AUCs near 0.5) and these outcomes should be treated as exploratory.</w:t>
      </w:r>
    </w:p>
    <w:bookmarkEnd w:id="60"/>
    <w:bookmarkStart w:id="61" w:name="external-validation-pathway"/>
    <w:p>
      <w:pPr>
        <w:pStyle w:val="Heading2"/>
      </w:pPr>
      <w:r>
        <w:t xml:space="preserve">4.6 External validation pathway</w:t>
      </w:r>
    </w:p>
    <w:p>
      <w:pPr>
        <w:pStyle w:val="FirstParagraph"/>
      </w:pPr>
      <w:r>
        <w:t xml:space="preserve">The findings presented here are based on a largely West African LOCO</w:t>
      </w:r>
      <w:r>
        <w:t xml:space="preserve"> </w:t>
      </w:r>
      <w:r>
        <w:t xml:space="preserve">panel (three West African countries plus Malawi) and a single external</w:t>
      </w:r>
      <w:r>
        <w:t xml:space="preserve"> </w:t>
      </w:r>
      <w:r>
        <w:t xml:space="preserve">held-out 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Three 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the Tanzania National Nutrition Survey 2018, and the Ethiopia National</w:t>
      </w:r>
      <w:r>
        <w:t xml:space="preserve"> </w:t>
      </w:r>
      <w:r>
        <w:t xml:space="preserve">Micronutrient Survey 2016. All three include the full vitamin A / iron /</w:t>
      </w:r>
      <w:r>
        <w:t xml:space="preserve"> </w:t>
      </w:r>
      <w:r>
        <w:t xml:space="preserve">zinc / folate / B12 / iodine biomarker panel collected under the BRINDA</w:t>
      </w:r>
      <w:r>
        <w:t xml:space="preserve"> </w:t>
      </w:r>
      <w:r>
        <w:t xml:space="preserve">inflammation-adjustment framework, making harmonisation with our four</w:t>
      </w:r>
      <w:r>
        <w:t xml:space="preserve"> </w:t>
      </w:r>
      <w:r>
        <w:t xml:space="preserve">training countries straightforward. As a lighter-weight alternative,</w:t>
      </w:r>
      <w:r>
        <w:t xml:space="preserve"> </w:t>
      </w:r>
      <w:r>
        <w:t xml:space="preserve">the most recent DHS rounds with haemoglobin biomarker (Kenya DHS 2022,</w:t>
      </w:r>
      <w:r>
        <w:t xml:space="preserve"> </w:t>
      </w:r>
      <w:r>
        <w:t xml:space="preserve">Tanzania DHS 2022, Burkina Faso DHS 2021) can be added with no further</w:t>
      </w:r>
      <w:r>
        <w:t xml:space="preserve"> </w:t>
      </w:r>
      <w:r>
        <w:t xml:space="preserve">paperwork beyond the user’s existing DHS account, providing iron-deficiency</w:t>
      </w:r>
      <w:r>
        <w:t xml:space="preserve"> </w:t>
      </w:r>
      <w:r>
        <w:t xml:space="preserve">anaemia coverage for three 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1"/>
    <w:bookmarkStart w:id="62" w:name="future-methodological-directions"/>
    <w:p>
      <w:pPr>
        <w:pStyle w:val="Heading2"/>
      </w:pPr>
      <w:r>
        <w:t xml:space="preserve">4.7 Future methodological directions</w:t>
      </w:r>
    </w:p>
    <w:p>
      <w:pPr>
        <w:pStyle w:val="FirstParagraph"/>
      </w:pPr>
      <w:r>
        <w:t xml:space="preserve">The results above locate the limits of the current approach precisely — modest</w:t>
      </w:r>
      <w:r>
        <w:t xml:space="preserve"> </w:t>
      </w:r>
      <w:r>
        <w:t xml:space="preserve">within-country ranking, transport failure that is predominantly a national-</w:t>
      </w:r>
      <w:r>
        <w:rPr>
          <w:i/>
          <w:iCs/>
        </w:rPr>
        <w:t xml:space="preserve">level</w:t>
      </w:r>
      <w:r>
        <w:t xml:space="preserve"> </w:t>
      </w:r>
      <w:r>
        <w:t xml:space="preserve">calibration error rather than a ranking error, and an ensemble that does not beat</w:t>
      </w:r>
      <w:r>
        <w:t xml:space="preserve"> </w:t>
      </w:r>
      <w:r>
        <w:t xml:space="preserve">parsimonious SAE baselines — and these limits motivate several planned</w:t>
      </w:r>
      <w:r>
        <w:t xml:space="preserve"> </w:t>
      </w:r>
      <w:r>
        <w:t xml:space="preserve">extensions. We describe them here as 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two lower-level refinements follow from the analysis: fitting</w:t>
      </w:r>
      <w:r>
        <w:t xml:space="preserve"> </w:t>
      </w:r>
      <w:r>
        <w:t xml:space="preserve">area-prevalence learners under a binomial (rather than Gaussian) loss to respect</w:t>
      </w:r>
      <w:r>
        <w:t xml:space="preserve"> </w:t>
      </w:r>
      <w:r>
        <w:t xml:space="preserve">the bounded, mean-variance-linked response, and adding a principal-components</w:t>
      </w:r>
      <w:r>
        <w:t xml:space="preserve"> </w:t>
      </w:r>
      <w:r>
        <w:t xml:space="preserve">learner suited to the many correlated predictors spanning distinct domains</w:t>
      </w:r>
      <w:r>
        <w:t xml:space="preserve"> </w:t>
      </w:r>
      <w:r>
        <w:t xml:space="preserve">(climate, soil, poverty). The most consequential validation step, however, is to</w:t>
      </w:r>
      <w:r>
        <w:t xml:space="preserve"> </w:t>
      </w:r>
      <w:r>
        <w:t xml:space="preserve">re-run the entire methodology on anaemia (haemoglobin), which is measured in</w:t>
      </w:r>
      <w:r>
        <w:t xml:space="preserve"> </w:t>
      </w:r>
      <w:r>
        <w:t xml:space="preserve">nearly every sub-Saharan African DHS at large sample size: a trusted,</w:t>
      </w:r>
      <w:r>
        <w:t xml:space="preserve"> </w:t>
      </w:r>
      <w:r>
        <w:t xml:space="preserve">abundant outcome would separate methodological limitations from the disputed</w:t>
      </w:r>
      <w:r>
        <w:t xml:space="preserve"> </w:t>
      </w:r>
      <w:r>
        <w:t xml:space="preserve">comparability of the micronutrient biomarkers themselves, and would expand the</w:t>
      </w:r>
      <w:r>
        <w:t xml:space="preserve"> </w:t>
      </w:r>
      <w:r>
        <w:t xml:space="preserve">cross-country panel far beyond the four countries available here.</w:t>
      </w:r>
    </w:p>
    <w:bookmarkEnd w:id="62"/>
    <w:bookmarkStart w:id="63" w:name="conclusions"/>
    <w:p>
      <w:pPr>
        <w:pStyle w:val="Heading2"/>
      </w:pPr>
      <w:r>
        <w:t xml:space="preserve">4.8 Conclusions</w:t>
      </w:r>
    </w:p>
    <w:p>
      <w:pPr>
        <w:pStyle w:val="FirstParagraph"/>
      </w:pPr>
      <w:r>
        <w:t xml:space="preserve">Within countries with biomarker data, admin-2 spatial ranking is only</w:t>
      </w:r>
      <w:r>
        <w:t xml:space="preserve"> </w:t>
      </w:r>
      <w:r>
        <w:t xml:space="preserve">modestly accurate when evaluated out-of-fold; aggregating individual-level</w:t>
      </w:r>
      <w:r>
        <w:t xml:space="preserve"> </w:t>
      </w:r>
      <w:r>
        <w:t xml:space="preserve">SuperLearner predictions outperforms fitting an ensemble directly on</w:t>
      </w:r>
      <w:r>
        <w:t xml:space="preserve"> </w:t>
      </w:r>
      <w:r>
        <w:t xml:space="preserve">admin-2 aggregates, which overfits given the small number of areal units.</w:t>
      </w:r>
      <w:r>
        <w:t xml:space="preserve"> </w:t>
      </w:r>
      <w:r>
        <w:t xml:space="preserve">Across countries, transportability is</w:t>
      </w:r>
      <w:r>
        <w:t xml:space="preserve"> </w:t>
      </w:r>
      <w:r>
        <w:t xml:space="preserve">limited and ensemble methods do not consistently outperform standard</w:t>
      </w:r>
      <w:r>
        <w:t xml:space="preserve"> </w:t>
      </w:r>
      <w:r>
        <w:t xml:space="preserve">small-area-estimation approaches. We recommend that within-country</w:t>
      </w:r>
      <w:r>
        <w:t xml:space="preserve"> </w:t>
      </w:r>
      <w:r>
        <w:t xml:space="preserve">performance be reported only from out-of-fold (not in-sample) predictions,</w:t>
      </w:r>
      <w:r>
        <w:t xml:space="preserve"> </w:t>
      </w:r>
      <w:r>
        <w:t xml:space="preserve">that future deployments of such models be benchmarked against Bayesian and</w:t>
      </w:r>
      <w:r>
        <w:t xml:space="preserve"> </w:t>
      </w:r>
      <w:r>
        <w:t xml:space="preserve">frequentist SAE methods,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63"/>
    <w:bookmarkEnd w:id="64"/>
    <w:bookmarkStart w:id="65"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65"/>
    <w:bookmarkStart w:id="66"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66"/>
    <w:bookmarkStart w:id="68"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67">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68"/>
    <w:bookmarkStart w:id="109" w:name="references"/>
    <w:p>
      <w:pPr>
        <w:pStyle w:val="Heading1"/>
      </w:pPr>
      <w:r>
        <w:t xml:space="preserve">8. References</w:t>
      </w:r>
    </w:p>
    <w:bookmarkStart w:id="108" w:name="refs"/>
    <w:bookmarkStart w:id="70"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9">
        <w:r>
          <w:rPr>
            <w:rStyle w:val="Hyperlink"/>
          </w:rPr>
          <w:t xml:space="preserve">https://doi.org/10.1007/BF00116466</w:t>
        </w:r>
      </w:hyperlink>
      <w:r>
        <w:t xml:space="preserve">.</w:t>
      </w:r>
    </w:p>
    <w:bookmarkEnd w:id="70"/>
    <w:bookmarkStart w:id="72"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1">
        <w:r>
          <w:rPr>
            <w:rStyle w:val="Hyperlink"/>
          </w:rPr>
          <w:t xml:space="preserve">https://doi.org/10.1080/01621459.1979.10482505</w:t>
        </w:r>
      </w:hyperlink>
      <w:r>
        <w:t xml:space="preserve">.</w:t>
      </w:r>
    </w:p>
    <w:bookmarkEnd w:id="72"/>
    <w:bookmarkStart w:id="74"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3">
        <w:r>
          <w:rPr>
            <w:rStyle w:val="Hyperlink"/>
          </w:rPr>
          <w:t xml:space="preserve">https://doi.org/10.1016/j.rse.2017.06.031</w:t>
        </w:r>
      </w:hyperlink>
      <w:r>
        <w:t xml:space="preserve">.</w:t>
      </w:r>
    </w:p>
    <w:bookmarkEnd w:id="74"/>
    <w:bookmarkStart w:id="76"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5">
        <w:r>
          <w:rPr>
            <w:rStyle w:val="Hyperlink"/>
          </w:rPr>
          <w:t xml:space="preserve">https://doi.org/10.2202/1544-6115.1309</w:t>
        </w:r>
      </w:hyperlink>
      <w:r>
        <w:t xml:space="preserve">.</w:t>
      </w:r>
    </w:p>
    <w:bookmarkEnd w:id="76"/>
    <w:bookmarkStart w:id="78"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77">
        <w:r>
          <w:rPr>
            <w:rStyle w:val="Hyperlink"/>
          </w:rPr>
          <w:t xml:space="preserve">https://doi.org/10.21105/joss.02959</w:t>
        </w:r>
      </w:hyperlink>
      <w:r>
        <w:t xml:space="preserve">.</w:t>
      </w:r>
    </w:p>
    <w:bookmarkEnd w:id="78"/>
    <w:bookmarkStart w:id="80"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9">
        <w:r>
          <w:rPr>
            <w:rStyle w:val="Hyperlink"/>
          </w:rPr>
          <w:t xml:space="preserve">https://doi.org/10.1038/s41591-020-0807-6</w:t>
        </w:r>
      </w:hyperlink>
      <w:r>
        <w:t xml:space="preserve">.</w:t>
      </w:r>
    </w:p>
    <w:bookmarkEnd w:id="80"/>
    <w:bookmarkStart w:id="82"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1">
        <w:r>
          <w:rPr>
            <w:rStyle w:val="Hyperlink"/>
          </w:rPr>
          <w:t xml:space="preserve">https://doi.org/10.1214/15-AOAS872</w:t>
        </w:r>
      </w:hyperlink>
      <w:r>
        <w:t xml:space="preserve">.</w:t>
      </w:r>
    </w:p>
    <w:bookmarkEnd w:id="82"/>
    <w:bookmarkStart w:id="84"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83">
        <w:r>
          <w:rPr>
            <w:rStyle w:val="Hyperlink"/>
          </w:rPr>
          <w:t xml:space="preserve">https://www.gainhealth.org/sites/default/files/publications/documents/kenya-national-micronutrient-survey-report-2011.pdf</w:t>
        </w:r>
      </w:hyperlink>
      <w:r>
        <w:t xml:space="preserve">.</w:t>
      </w:r>
    </w:p>
    <w:bookmarkEnd w:id="84"/>
    <w:bookmarkStart w:id="86"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5">
        <w:r>
          <w:rPr>
            <w:rStyle w:val="Hyperlink"/>
          </w:rPr>
          <w:t xml:space="preserve">https://doi.org/10.3945/ajcn.116.142273</w:t>
        </w:r>
      </w:hyperlink>
      <w:r>
        <w:t xml:space="preserve">.</w:t>
      </w:r>
    </w:p>
    <w:bookmarkEnd w:id="86"/>
    <w:bookmarkStart w:id="88"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7">
        <w:r>
          <w:rPr>
            <w:rStyle w:val="Hyperlink"/>
          </w:rPr>
          <w:t xml:space="preserve">https://doi.org/10.1145/1102351.1102430</w:t>
        </w:r>
      </w:hyperlink>
      <w:r>
        <w:t xml:space="preserve">.</w:t>
      </w:r>
    </w:p>
    <w:bookmarkEnd w:id="88"/>
    <w:bookmarkStart w:id="90"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9">
        <w:r>
          <w:rPr>
            <w:rStyle w:val="Hyperlink"/>
          </w:rPr>
          <w:t xml:space="preserve">https://doi.org/10.1038/nature25760</w:t>
        </w:r>
      </w:hyperlink>
      <w:r>
        <w:t xml:space="preserve">.</w:t>
      </w:r>
    </w:p>
    <w:bookmarkEnd w:id="90"/>
    <w:bookmarkStart w:id="92"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1">
        <w:r>
          <w:rPr>
            <w:rStyle w:val="Hyperlink"/>
          </w:rPr>
          <w:t xml:space="preserve">https://doi.org/10.1177/0962280216660421</w:t>
        </w:r>
      </w:hyperlink>
      <w:r>
        <w:t xml:space="preserve">.</w:t>
      </w:r>
    </w:p>
    <w:bookmarkEnd w:id="92"/>
    <w:bookmarkStart w:id="94"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93">
        <w:r>
          <w:rPr>
            <w:rStyle w:val="Hyperlink"/>
          </w:rPr>
          <w:t xml:space="preserve">https://doi.org/10.1111/j.1467-9868.2008.00700.x</w:t>
        </w:r>
      </w:hyperlink>
      <w:r>
        <w:t xml:space="preserve">.</w:t>
      </w:r>
    </w:p>
    <w:bookmarkEnd w:id="94"/>
    <w:bookmarkStart w:id="96"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95">
        <w:r>
          <w:rPr>
            <w:rStyle w:val="Hyperlink"/>
          </w:rPr>
          <w:t xml:space="preserve">https://doi.org/10.1177/0962280218784726</w:t>
        </w:r>
      </w:hyperlink>
      <w:r>
        <w:t xml:space="preserve">.</w:t>
      </w:r>
    </w:p>
    <w:bookmarkEnd w:id="96"/>
    <w:bookmarkStart w:id="98"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7">
        <w:r>
          <w:rPr>
            <w:rStyle w:val="Hyperlink"/>
          </w:rPr>
          <w:t xml:space="preserve">https://doi.org/10.1016/S2214-109X(22)00367-9</w:t>
        </w:r>
      </w:hyperlink>
      <w:r>
        <w:t xml:space="preserve">.</w:t>
      </w:r>
    </w:p>
    <w:bookmarkEnd w:id="98"/>
    <w:bookmarkStart w:id="100"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9">
        <w:r>
          <w:rPr>
            <w:rStyle w:val="Hyperlink"/>
          </w:rPr>
          <w:t xml:space="preserve">https://doi.org/10.3945/an.115.010215</w:t>
        </w:r>
      </w:hyperlink>
      <w:r>
        <w:t xml:space="preserve">.</w:t>
      </w:r>
    </w:p>
    <w:bookmarkEnd w:id="100"/>
    <w:bookmarkStart w:id="102"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1">
        <w:r>
          <w:rPr>
            <w:rStyle w:val="Hyperlink"/>
          </w:rPr>
          <w:t xml:space="preserve">https://doi.org/10.1111/insr.12400</w:t>
        </w:r>
      </w:hyperlink>
      <w:r>
        <w:t xml:space="preserve">.</w:t>
      </w:r>
    </w:p>
    <w:bookmarkEnd w:id="102"/>
    <w:bookmarkStart w:id="103"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3"/>
    <w:bookmarkStart w:id="105" w:name="ref-who2020anaemia"/>
    <w:p>
      <w:pPr>
        <w:pStyle w:val="Bibliography"/>
      </w:pPr>
      <w:r>
        <w:t xml:space="preserve">———. 2021.</w:t>
      </w:r>
      <w:r>
        <w:t xml:space="preserve"> </w:t>
      </w:r>
      <w:r>
        <w:t xml:space="preserve">“WHO Global Anaemia Estimates, 2021 Edition.”</w:t>
      </w:r>
      <w:r>
        <w:t xml:space="preserve"> </w:t>
      </w:r>
      <w:hyperlink r:id="rId104">
        <w:r>
          <w:rPr>
            <w:rStyle w:val="Hyperlink"/>
          </w:rPr>
          <w:t xml:space="preserve">https://www.who.int/data/gho/data/themes/topics/anaemia_in_women_and_children</w:t>
        </w:r>
      </w:hyperlink>
      <w:r>
        <w:t xml:space="preserve">.</w:t>
      </w:r>
    </w:p>
    <w:bookmarkEnd w:id="105"/>
    <w:bookmarkStart w:id="107" w:name="ref-who_vmnis"/>
    <w:p>
      <w:pPr>
        <w:pStyle w:val="Bibliography"/>
      </w:pPr>
      <w:r>
        <w:t xml:space="preserve">———. 2023.</w:t>
      </w:r>
      <w:r>
        <w:t xml:space="preserve"> </w:t>
      </w:r>
      <w:r>
        <w:t xml:space="preserve">“Vitamin and Mineral Nutrition Information System (VMNIS).”</w:t>
      </w:r>
      <w:r>
        <w:t xml:space="preserve"> </w:t>
      </w:r>
      <w:hyperlink r:id="rId106">
        <w:r>
          <w:rPr>
            <w:rStyle w:val="Hyperlink"/>
          </w:rPr>
          <w:t xml:space="preserve">https://www.who.int/teams/nutrition-and-food-safety/databases/vitamin-and-mineral-nutrition-information-system</w:t>
        </w:r>
      </w:hyperlink>
      <w:r>
        <w:t xml:space="preserve">.</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hyperlink" Id="rId67" Target="https://dhsprogram.com/" TargetMode="External" /><Relationship Type="http://schemas.openxmlformats.org/officeDocument/2006/relationships/hyperlink" Id="rId69" Target="https://doi.org/10.1007/BF00116466" TargetMode="External" /><Relationship Type="http://schemas.openxmlformats.org/officeDocument/2006/relationships/hyperlink" Id="rId97" Target="https://doi.org/10.1016/S2214-109X(22)00367-9" TargetMode="External" /><Relationship Type="http://schemas.openxmlformats.org/officeDocument/2006/relationships/hyperlink" Id="rId73" Target="https://doi.org/10.1016/j.rse.2017.06.031" TargetMode="External" /><Relationship Type="http://schemas.openxmlformats.org/officeDocument/2006/relationships/hyperlink" Id="rId89" Target="https://doi.org/10.1038/nature25760" TargetMode="External" /><Relationship Type="http://schemas.openxmlformats.org/officeDocument/2006/relationships/hyperlink" Id="rId79" Target="https://doi.org/10.1038/s41591-020-0807-6" TargetMode="External" /><Relationship Type="http://schemas.openxmlformats.org/officeDocument/2006/relationships/hyperlink" Id="rId71" Target="https://doi.org/10.1080/01621459.1979.10482505" TargetMode="External" /><Relationship Type="http://schemas.openxmlformats.org/officeDocument/2006/relationships/hyperlink" Id="rId101" Target="https://doi.org/10.1111/insr.12400" TargetMode="External" /><Relationship Type="http://schemas.openxmlformats.org/officeDocument/2006/relationships/hyperlink" Id="rId93" Target="https://doi.org/10.1111/j.1467-9868.2008.00700.x" TargetMode="External" /><Relationship Type="http://schemas.openxmlformats.org/officeDocument/2006/relationships/hyperlink" Id="rId87" Target="https://doi.org/10.1145/1102351.1102430" TargetMode="External" /><Relationship Type="http://schemas.openxmlformats.org/officeDocument/2006/relationships/hyperlink" Id="rId91" Target="https://doi.org/10.1177/0962280216660421" TargetMode="External" /><Relationship Type="http://schemas.openxmlformats.org/officeDocument/2006/relationships/hyperlink" Id="rId95" Target="https://doi.org/10.1177/0962280218784726" TargetMode="External" /><Relationship Type="http://schemas.openxmlformats.org/officeDocument/2006/relationships/hyperlink" Id="rId81" Target="https://doi.org/10.1214/15-AOAS872" TargetMode="External" /><Relationship Type="http://schemas.openxmlformats.org/officeDocument/2006/relationships/hyperlink" Id="rId77" Target="https://doi.org/10.21105/joss.02959" TargetMode="External" /><Relationship Type="http://schemas.openxmlformats.org/officeDocument/2006/relationships/hyperlink" Id="rId75" Target="https://doi.org/10.2202/1544-6115.1309" TargetMode="External" /><Relationship Type="http://schemas.openxmlformats.org/officeDocument/2006/relationships/hyperlink" Id="rId85" Target="https://doi.org/10.3945/ajcn.116.142273" TargetMode="External" /><Relationship Type="http://schemas.openxmlformats.org/officeDocument/2006/relationships/hyperlink" Id="rId99" Target="https://doi.org/10.3945/an.115.010215" TargetMode="External" /><Relationship Type="http://schemas.openxmlformats.org/officeDocument/2006/relationships/hyperlink" Id="rId83" Target="https://www.gainhealth.org/sites/default/files/publications/documents/kenya-national-micronutrient-survey-report-2011.pdf" TargetMode="External" /><Relationship Type="http://schemas.openxmlformats.org/officeDocument/2006/relationships/hyperlink" Id="rId104" Target="https://www.who.int/data/gho/data/themes/topics/anaemia_in_women_and_children" TargetMode="External" /><Relationship Type="http://schemas.openxmlformats.org/officeDocument/2006/relationships/hyperlink" Id="rId106"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7" Target="https://dhsprogram.com/" TargetMode="External" /><Relationship Type="http://schemas.openxmlformats.org/officeDocument/2006/relationships/hyperlink" Id="rId69" Target="https://doi.org/10.1007/BF00116466" TargetMode="External" /><Relationship Type="http://schemas.openxmlformats.org/officeDocument/2006/relationships/hyperlink" Id="rId97" Target="https://doi.org/10.1016/S2214-109X(22)00367-9" TargetMode="External" /><Relationship Type="http://schemas.openxmlformats.org/officeDocument/2006/relationships/hyperlink" Id="rId73" Target="https://doi.org/10.1016/j.rse.2017.06.031" TargetMode="External" /><Relationship Type="http://schemas.openxmlformats.org/officeDocument/2006/relationships/hyperlink" Id="rId89" Target="https://doi.org/10.1038/nature25760" TargetMode="External" /><Relationship Type="http://schemas.openxmlformats.org/officeDocument/2006/relationships/hyperlink" Id="rId79" Target="https://doi.org/10.1038/s41591-020-0807-6" TargetMode="External" /><Relationship Type="http://schemas.openxmlformats.org/officeDocument/2006/relationships/hyperlink" Id="rId71" Target="https://doi.org/10.1080/01621459.1979.10482505" TargetMode="External" /><Relationship Type="http://schemas.openxmlformats.org/officeDocument/2006/relationships/hyperlink" Id="rId101" Target="https://doi.org/10.1111/insr.12400" TargetMode="External" /><Relationship Type="http://schemas.openxmlformats.org/officeDocument/2006/relationships/hyperlink" Id="rId93" Target="https://doi.org/10.1111/j.1467-9868.2008.00700.x" TargetMode="External" /><Relationship Type="http://schemas.openxmlformats.org/officeDocument/2006/relationships/hyperlink" Id="rId87" Target="https://doi.org/10.1145/1102351.1102430" TargetMode="External" /><Relationship Type="http://schemas.openxmlformats.org/officeDocument/2006/relationships/hyperlink" Id="rId91" Target="https://doi.org/10.1177/0962280216660421" TargetMode="External" /><Relationship Type="http://schemas.openxmlformats.org/officeDocument/2006/relationships/hyperlink" Id="rId95" Target="https://doi.org/10.1177/0962280218784726" TargetMode="External" /><Relationship Type="http://schemas.openxmlformats.org/officeDocument/2006/relationships/hyperlink" Id="rId81" Target="https://doi.org/10.1214/15-AOAS872" TargetMode="External" /><Relationship Type="http://schemas.openxmlformats.org/officeDocument/2006/relationships/hyperlink" Id="rId77" Target="https://doi.org/10.21105/joss.02959" TargetMode="External" /><Relationship Type="http://schemas.openxmlformats.org/officeDocument/2006/relationships/hyperlink" Id="rId75" Target="https://doi.org/10.2202/1544-6115.1309" TargetMode="External" /><Relationship Type="http://schemas.openxmlformats.org/officeDocument/2006/relationships/hyperlink" Id="rId85" Target="https://doi.org/10.3945/ajcn.116.142273" TargetMode="External" /><Relationship Type="http://schemas.openxmlformats.org/officeDocument/2006/relationships/hyperlink" Id="rId99" Target="https://doi.org/10.3945/an.115.010215" TargetMode="External" /><Relationship Type="http://schemas.openxmlformats.org/officeDocument/2006/relationships/hyperlink" Id="rId83" Target="https://www.gainhealth.org/sites/default/files/publications/documents/kenya-national-micronutrient-survey-report-2011.pdf" TargetMode="External" /><Relationship Type="http://schemas.openxmlformats.org/officeDocument/2006/relationships/hyperlink" Id="rId104" Target="https://www.who.int/data/gho/data/themes/topics/anaemia_in_women_and_children" TargetMode="External" /><Relationship Type="http://schemas.openxmlformats.org/officeDocument/2006/relationships/hyperlink" Id="rId106"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2026-06-26T18:05:43Z</dcterms:created>
  <dcterms:modified xsi:type="dcterms:W3CDTF">2026-06-26T18:05:43Z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within and across four sub-Saharan African countries (three in West Africa plus Malawi), and whether they outperform canonical small-area estimation (SAE) methods.Methods: We harmonised individual-level DHS biomarker measurements for iron, vitamin A, vitamin B12, folate, and zinc deficiency from Gambia (2018), Ghana (2017), Sierra Leone (2013) and Malawi (2016) and combined them with earth-observation aggregates at the admin-2 polygon level. Four estimation strategies were compared: (1) individual-level SuperLearner aggregated to admin-2; (2) area-level SuperLearner fit directly on admin-2 aggregates; (3) frequentist regressions (OLS, elastic-net) and a country-mean baseline; (4) Bayesian small-area methods including Fay–Herriot and the BYM2 model (Besag–York–Mollié, PC priors) fit via integrated nested Laplace approximation (INLA). All approaches were evaluated within country by k-fold cross-validation and across countries by leave-one-country-out (LOCO) holdout. Performance metrics were Pearson r and Spearman ρ for spatial ranking, MAE and RMSE in percentage points for absolute error, and calibration slope. Headline metrics are from a leakage-free corrected analysis (preprocessing confined to each training fold; folds blocked by survey cluster and spatial region; out-of-fold recalibration), which is the analysis of record; the original pipeline is retained as a sensitivity comparison.Results: Evaluated with genuinely out-of-fold predictions, within-country admin-2 ranking was modest. Aggregating individual-level SuperLearner predictions to admin-2 ranked districts best (median Pearson r 0.53, range −0.39 to 0.87), though with large negative biases (up to ~20 percentage points) for iron. The area-level SuperLearner fit directly on admin-2 aggregates appeared excellent under in-sample evaluation but was substantially weaker out-of-fold (MSE-loss median r 0.12, range −0.57 to 0.61; 0 of 24 evaluable country–outcome combinations reached r ≥ 0.9 and about half were ≤ 0), reflecting overfitting in the area-level p ≫ n setting (14–87 areas, ~2,400 candidate covariates). Cross-country (LOCO) performance was weaker still: median r ≈ 0.1–0.2, with absolute errors of 1.5–44 percentage points and systematic underestimation in high-prevalence settings. Iron-deficiency outcomes transported best; vitamin-A-deficiency outcomes essentially did not transport (median r near zero, often with anti-predictive ordering). Benchmark frequentist regressions and Bayesian SAE models matched or exceeded the SuperLearner on the large majority of LOCO splits (the best benchmark beat the prescreened ensemble on 10 of 13 evaluable head-to-head splits), indicating that the ensemble’s predictive gains are concentrated on specific outcome–country combinations rather than general.Conclusions: Under honest out-of-fold evaluation, admin-2 prediction of micronutrient deficiency is only modestly accurate within countries; the apparent excellence of the directly-fit area-level ensemble was an artifact of in-sample evaluation, and individual-level prediction aggregated to admin-2 is the stronger area-level approach. Out-of-country transport remains unreliable for spatial targeting, especially outside the West African geography and for vitamin-A-deficiency outcomes. Standard small-area-estimation methods are a strong baseline that ensembles do not consistently beat; benchmarking should accompany any decision-relevant deployment of these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2026-06-26</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