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1: Descriptive statistics of sample population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65"/>
        <w:gridCol w:w="2774"/>
        <w:gridCol w:w="4589"/>
        <w:gridCol w:w="667"/>
        <w:gridCol w:w="1886"/>
      </w:tblGrid>
      <w:tr>
        <w:trPr>
          <w:trHeight w:val="4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 or median (IQR)</w:t>
            </w:r>
          </w:p>
        </w:tc>
      </w:tr>
      <w:tr>
        <w:trPr>
          <w:trHeight w:val="4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792 (49%)</w:t>
            </w:r>
          </w:p>
        </w:tc>
      </w:tr>
      <w:tr>
        <w:trPr>
          <w:trHeight w:val="4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Urinary F2-isoprostanes (Year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iPF(2a)-III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-0.42 (-0.73, -0.1)</w:t>
            </w:r>
          </w:p>
        </w:tc>
      </w:tr>
      <w:tr>
        <w:trPr>
          <w:trHeight w:val="4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2,3-dinor-iPF(2a)-III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1.76 (1.55, 1.97)</w:t>
            </w:r>
          </w:p>
        </w:tc>
      </w:tr>
      <w:tr>
        <w:trPr>
          <w:trHeight w:val="4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iPF(2a-VI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2.57 (2.31, 2.87)</w:t>
            </w:r>
          </w:p>
        </w:tc>
      </w:tr>
      <w:tr>
        <w:trPr>
          <w:trHeight w:val="4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8,12-iso-iPF(2a)-VI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2.57 (2.16, 2.91)</w:t>
            </w:r>
          </w:p>
        </w:tc>
      </w:tr>
      <w:tr>
        <w:trPr>
          <w:trHeight w:val="4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Salivary cortisol reactivity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slope between pre- and post-stressor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(0, 0.01)</w:t>
            </w:r>
          </w:p>
        </w:tc>
      </w:tr>
      <w:tr>
        <w:trPr>
          <w:trHeight w:val="4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Cortisol residualized gain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-0.09 (-0.21, 0.14)</w:t>
            </w:r>
          </w:p>
        </w:tc>
      </w:tr>
      <w:tr>
        <w:trPr>
          <w:trHeight w:val="4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sAA reactivity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slope between pre- and post-stressor sAA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1.39 (-0.06, 4.37)</w:t>
            </w:r>
          </w:p>
        </w:tc>
      </w:tr>
      <w:tr>
        <w:trPr>
          <w:trHeight w:val="4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sAA residualized gain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-26.37 (-51.35, 27.2)</w:t>
            </w:r>
          </w:p>
        </w:tc>
      </w:tr>
      <w:tr>
        <w:trPr>
          <w:trHeight w:val="4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SAM biomarkers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arterial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64.44 (60.78, 68.67)</w:t>
            </w:r>
          </w:p>
        </w:tc>
      </w:tr>
      <w:tr>
        <w:trPr>
          <w:trHeight w:val="4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Resting 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(99.33, 118.67)</w:t>
            </w:r>
          </w:p>
        </w:tc>
      </w:tr>
      <w:tr>
        <w:trPr>
          <w:trHeight w:val="4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Glucocorticoid receptor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NR3C1 exon 1F promoter methylation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-5.67 (-6.08, -5.31)</w:t>
            </w:r>
          </w:p>
        </w:tc>
      </w:tr>
      <w:tr>
        <w:trPr>
          <w:trHeight w:val="4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NGFI-A transcription factor binding site methylation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-4.72 (-9.21, -4.4)</w:t>
            </w:r>
          </w:p>
        </w:tc>
      </w:tr>
      <w:tr>
        <w:trPr>
          <w:trHeight w:val="4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Anthropometry (14 months, Year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-1.41 (-2.07, -0.74)</w:t>
            </w:r>
          </w:p>
        </w:tc>
      </w:tr>
      <w:tr>
        <w:trPr>
          <w:trHeight w:val="4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 (-2.01, -0.63)</w:t>
            </w:r>
          </w:p>
        </w:tc>
      </w:tr>
      <w:tr>
        <w:trPr>
          <w:trHeight w:val="4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-0.89 (-1.55, -0.22)</w:t>
            </w:r>
          </w:p>
        </w:tc>
      </w:tr>
      <w:tr>
        <w:trPr>
          <w:trHeight w:val="4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-1.78 (-2.35, -1.12)</w:t>
            </w:r>
          </w:p>
        </w:tc>
      </w:tr>
      <w:tr>
        <w:trPr>
          <w:trHeight w:val="4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Anthropometry (28 months, 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-1.56 (-2.27, -0.94)</w:t>
            </w:r>
          </w:p>
        </w:tc>
      </w:tr>
      <w:tr>
        <w:trPr>
          <w:trHeight w:val="4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-1.58 (-2.2, -0.94)</w:t>
            </w:r>
          </w:p>
        </w:tc>
      </w:tr>
      <w:tr>
        <w:trPr>
          <w:trHeight w:val="4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-1.03 (-1.62, -0.38)</w:t>
            </w:r>
          </w:p>
        </w:tc>
      </w:tr>
      <w:tr>
        <w:trPr>
          <w:trHeight w:val="4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-1.81 (-2.38, -1.2)</w:t>
            </w:r>
          </w:p>
        </w:tc>
      </w:tr>
      <w:tr>
        <w:trPr>
          <w:trHeight w:val="4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Diarrhea (14 months, Year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(13%)</w:t>
            </w:r>
          </w:p>
        </w:tc>
      </w:tr>
      <w:tr>
        <w:trPr>
          <w:trHeight w:val="4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Diarrhea (28 months, 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(7%)</w:t>
            </w:r>
          </w:p>
        </w:tc>
      </w:tr>
      <w:tr>
        <w:trPr>
          <w:trHeight w:val="4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(20, 27)</w:t>
            </w:r>
          </w:p>
        </w:tc>
      </w:tr>
      <w:tr>
        <w:trPr>
          <w:trHeight w:val="4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Anthropometry at 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Height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150.2 (146.84, 154.06)</w:t>
            </w:r>
          </w:p>
        </w:tc>
      </w:tr>
      <w:tr>
        <w:trPr>
          <w:trHeight w:val="4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Schooling completed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(4, 9)</w:t>
            </w:r>
          </w:p>
        </w:tc>
      </w:tr>
      <w:tr>
        <w:trPr>
          <w:trHeight w:val="4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 at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CES-D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(6, 16)</w:t>
            </w:r>
          </w:p>
        </w:tc>
      </w:tr>
      <w:tr>
        <w:trPr>
          <w:trHeight w:val="4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 at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CES-D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(5, 17)</w:t>
            </w:r>
          </w:p>
        </w:tc>
      </w:tr>
      <w:tr>
        <w:trPr>
          <w:trHeight w:val="4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Perceived stress at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Perceived Stress Scale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(10, 17)</w:t>
            </w:r>
          </w:p>
        </w:tc>
      </w:tr>
      <w:tr>
        <w:trPr>
          <w:trHeight w:val="417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836 (57%)</w:t>
            </w:r>
          </w:p>
        </w:tc>
      </w:tr>
    </w:tbl>
    <w:p>
      <w:pPr>
        <w:pStyle w:val="Titre2"/>
      </w:pPr>
      <w:r>
        <w:t xml:space="preserve">Table 2: Study exposures, outcomes, and hypothesized relationships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4320"/>
        <w:gridCol w:w="2880"/>
        <w:gridCol w:w="576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Hypothesis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Exposure Biological Domain and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Finding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1) Oxidative status is negatively associated with concurrent and future child growth measures, as well as growth velocity between year 1 and year 2.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Oxidative status: Individual urinary F2 isoprostane isomers and combined score at Year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LAZ, WAZ*, HCAZ* score, and WLZ** at year 1, year 2, and the growth velocity between year 1 and 2.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2) Salivary cortisol measures are positively associated with concurrent child growth measures, and sAA measures are negatively associated with concurrent child growth measures.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HPA axis: Cortisol and via concentrations pre-stressor, post-stressor, and reactivity at Year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SAM axis: sAA and via concentrations pre-stressor, post-stressor, and reactivity at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LAZ, WAZ*, HCAZ* score, and WLZ** at year 2.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3) SAM biomarker measures are negatively associated with concurrent child growth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SAM axis: mean arterial pressure and resting heart rate at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LAZ, WAZ*, HCAZ* score, and WLZ** at year 2.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4) Glucocorticoid receptor methylation is negatively associated with concurrent child growth measures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HPA axis: Glucocorticoid receptor methylation via percentage methylation at NGFI-A transcription factor binding site and mean overall glucocorticoid receptor methylation at Year 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LAZ, WAZ*, HCAZ* score, and WLZ** at year 2.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Table 3: Associations between child stress measures and linear growth outcomes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008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IPF(2a)-III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 (-0.21, -0.06)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(-0.03,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 velocity (cm/month)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(-0.01,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LAZ from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(-0.03,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2,3-dinor-iPF(2a)-III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 (-0.3, -0.07)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(-0.01,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 velocity (cm/month)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(0,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LAZ from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(0.03,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iPF(2a)-VI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 (-0.35, -0.1)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(-0.02,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 velocity (cm/month)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(-0.01,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LAZ from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 (0.03,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0.01*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8,12-iso-iPF(2a)-VI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 (-0.23,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(-0.02,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 velocity (cm/month)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(-0.01,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LAZ from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(-0.02,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Combined urinary oxidative stress biomarkers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-0.31 (-0.51, -0.11)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(-0.06,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 velocity (cm/month)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(-0.02,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LAZ from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 (-0.04,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Pre-stressor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 (-0.03,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Post-stressor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(-0.05,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 to post-stress change in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(-0.02,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Cortisol residualized gain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(-0.02,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Pre-stressor sAA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(-0.11,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Post-stressor sAA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(-0.04,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 to post-stress change in sAA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 (-0.04,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sAA residualized gain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 (-0.05,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Mean arterial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(-0.03,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Mean resting 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(-0.03,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Entire promoter region (39 assayed CpG sites)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(-0.15,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(-0.06, 0.07)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0.05 after FDR correction (** P-value &lt; 0.01, *** P-value &lt; 0.001)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2024-06-06T03:44:17Z</dcterms:modified>
  <cp:category/>
</cp:coreProperties>
</file>