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0D48" w14:textId="77777777" w:rsidR="00C34FBC" w:rsidRDefault="00733919">
      <w:pPr>
        <w:pStyle w:val="Heading2"/>
      </w:pPr>
      <w:r>
        <w:t>Table 1</w:t>
      </w:r>
    </w:p>
    <w:tbl>
      <w:tblPr>
        <w:tblW w:w="11081" w:type="dxa"/>
        <w:jc w:val="center"/>
        <w:tblLayout w:type="fixed"/>
        <w:tblLook w:val="0420" w:firstRow="1" w:lastRow="0" w:firstColumn="0" w:lastColumn="0" w:noHBand="0" w:noVBand="1"/>
      </w:tblPr>
      <w:tblGrid>
        <w:gridCol w:w="826"/>
        <w:gridCol w:w="3088"/>
        <w:gridCol w:w="5130"/>
        <w:gridCol w:w="2037"/>
      </w:tblGrid>
      <w:tr w:rsidR="00C34FBC" w14:paraId="12CC5DA6" w14:textId="77777777">
        <w:trPr>
          <w:cantSplit/>
          <w:tblHeader/>
          <w:jc w:val="center"/>
        </w:trPr>
        <w:tc>
          <w:tcPr>
            <w:tcW w:w="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6FCE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F3F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666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BB67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 (%) or median (IQR)</w:t>
            </w:r>
          </w:p>
        </w:tc>
      </w:tr>
      <w:tr w:rsidR="00C34FBC" w14:paraId="692E9B2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6D44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Child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99E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0DD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Female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381D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408 (48%)</w:t>
            </w:r>
          </w:p>
        </w:tc>
      </w:tr>
      <w:tr w:rsidR="00C34FBC" w14:paraId="352D814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453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45B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Urinary F2-isoprostanes (Year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39F2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E929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0.66 (0.48, 0.91)</w:t>
            </w:r>
          </w:p>
        </w:tc>
      </w:tr>
      <w:tr w:rsidR="00C34FBC" w14:paraId="4525E82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4F07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AD47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D2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2,3-dinor-iPF(2a)-III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1FB4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5.8 (4.7, 7.14)</w:t>
            </w:r>
          </w:p>
        </w:tc>
      </w:tr>
      <w:tr w:rsidR="00C34FBC" w14:paraId="0361222B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D6A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D72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160E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(2a-VI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CDE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13.06 (10.05, 17.63)</w:t>
            </w:r>
          </w:p>
        </w:tc>
      </w:tr>
      <w:tr w:rsidR="00C34FBC" w14:paraId="1409974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850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C98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79D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8,12-iso-iPF(2a)-VI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FF1C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13.12 (8.7, 18.43)</w:t>
            </w:r>
          </w:p>
        </w:tc>
      </w:tr>
      <w:tr w:rsidR="00C34FBC" w14:paraId="17425571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A0C2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0DE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Salivary cortisol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AE62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Change in slope between pre- and post-stressor cortisol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B52D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(-0.01, 0)</w:t>
            </w:r>
          </w:p>
        </w:tc>
      </w:tr>
      <w:tr w:rsidR="00C34FBC" w14:paraId="49EEB51F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9E9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550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CF6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5E70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-0.09 (-0.21, 0.14)</w:t>
            </w:r>
          </w:p>
        </w:tc>
      </w:tr>
      <w:tr w:rsidR="00C34FBC" w14:paraId="7DFB0D3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3635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8830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reactivity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79B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Change in slope between pre- and post-stressor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change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A7157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-1.39 (-4.37, 0.06)</w:t>
            </w:r>
          </w:p>
        </w:tc>
      </w:tr>
      <w:tr w:rsidR="00C34FBC" w14:paraId="46B9430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E56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568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0B6E" w14:textId="77777777" w:rsidR="00C34FBC" w:rsidRDefault="00733919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gain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5B3F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-26.37 (-51.35, 27.2)</w:t>
            </w:r>
          </w:p>
        </w:tc>
      </w:tr>
      <w:tr w:rsidR="00C34FBC" w14:paraId="7A3B6D8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0D6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FD0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SAM biomarkers (Year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5EC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7CBF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64.44 (60.89, 68.89)</w:t>
            </w:r>
          </w:p>
        </w:tc>
      </w:tr>
      <w:tr w:rsidR="00C34FBC" w14:paraId="2C16EDA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7C9C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441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E56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heart rate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643A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109 (98.67, 118)</w:t>
            </w:r>
          </w:p>
        </w:tc>
      </w:tr>
      <w:tr w:rsidR="00C34FBC" w14:paraId="5C4AEB4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A8D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134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Glucocorticoid receptor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61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NR3C1 exon 1F promoter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C59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0.33 (0.22, 0.48)</w:t>
            </w:r>
          </w:p>
        </w:tc>
      </w:tr>
      <w:tr w:rsidR="00C34FBC" w14:paraId="3B77619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FB6E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6F60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F632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NGFI-A transcription factor binding site methylation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DE1B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0.87 (0, 1.21)</w:t>
            </w:r>
          </w:p>
        </w:tc>
      </w:tr>
      <w:tr w:rsidR="00C34FBC" w14:paraId="1E51872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9987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B38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E41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253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-1.43 (-2.09, -0.79)</w:t>
            </w:r>
          </w:p>
        </w:tc>
      </w:tr>
      <w:tr w:rsidR="00C34FBC" w14:paraId="6744178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74C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EA2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133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FE06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-1.31 (-1.99, -0.68)</w:t>
            </w:r>
          </w:p>
        </w:tc>
      </w:tr>
      <w:tr w:rsidR="00C34FBC" w14:paraId="75A05BB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13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C238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912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1821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-0.89 (-1.61, -0.26)</w:t>
            </w:r>
          </w:p>
        </w:tc>
      </w:tr>
      <w:tr w:rsidR="00C34FBC" w14:paraId="47742D87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52E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46E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B222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8E42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(-2.39, -1.19)</w:t>
            </w:r>
          </w:p>
        </w:tc>
      </w:tr>
      <w:tr w:rsidR="00C34FBC" w14:paraId="76897C4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6CA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AD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0F1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Length-for-age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EDC6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(-2.26, -0.96)</w:t>
            </w:r>
          </w:p>
        </w:tc>
      </w:tr>
      <w:tr w:rsidR="00C34FBC" w14:paraId="091B04D4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78B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60F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BDFEA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0692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-1.56 (-2.1, -0.9)</w:t>
            </w:r>
          </w:p>
        </w:tc>
      </w:tr>
      <w:tr w:rsidR="00C34FBC" w14:paraId="51C51930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012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CBC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6BC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Weight-for-length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81C4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-1.01 (-1.6, -0.36)</w:t>
            </w:r>
          </w:p>
        </w:tc>
      </w:tr>
      <w:tr w:rsidR="00C34FBC" w14:paraId="74426B4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303D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59E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6A55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Head circumference-for-age Z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102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-1.79 (-2.37, -1.22)</w:t>
            </w:r>
          </w:p>
        </w:tc>
      </w:tr>
      <w:tr w:rsidR="00C34FBC" w14:paraId="5FAC708C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5C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026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(14 months, Year 1)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7CB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960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108 (15%)</w:t>
            </w:r>
          </w:p>
        </w:tc>
      </w:tr>
      <w:tr w:rsidR="00C34FBC" w14:paraId="17081DC2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A66A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1E80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Diarrhea (28 months, Year 2)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073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Caregiver-reported 7-day recall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A66A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 (8%)</w:t>
            </w:r>
          </w:p>
        </w:tc>
      </w:tr>
      <w:tr w:rsidR="00C34FBC" w14:paraId="785A962A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488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Mother</w:t>
            </w: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836F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1BDC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Age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74EE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 (20, 27)</w:t>
            </w:r>
          </w:p>
        </w:tc>
      </w:tr>
      <w:tr w:rsidR="00C34FBC" w14:paraId="5D8D10EE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C2F1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70C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Anthropometry at enrollment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1DC0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Height (cm)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194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150.3 (147.06, 153.8)</w:t>
            </w:r>
          </w:p>
        </w:tc>
      </w:tr>
      <w:tr w:rsidR="00C34FBC" w14:paraId="2AFD6CDD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6264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55B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Education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40F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Schooling completed (years)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A3C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 (4, 9)</w:t>
            </w:r>
          </w:p>
        </w:tc>
      </w:tr>
      <w:tr w:rsidR="00C34FBC" w14:paraId="318DB8D6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358C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1ED7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1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F5EB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341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17)</w:t>
            </w:r>
          </w:p>
        </w:tc>
      </w:tr>
      <w:tr w:rsidR="00C34FBC" w14:paraId="190BD548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ADDB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624D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Depression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2991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CES-D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9AC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12 (9, 16)</w:t>
            </w:r>
          </w:p>
        </w:tc>
      </w:tr>
      <w:tr w:rsidR="00C34FBC" w14:paraId="46A11783" w14:textId="77777777">
        <w:trPr>
          <w:cantSplit/>
          <w:jc w:val="center"/>
        </w:trPr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F0D6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3F19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at Year 2</w:t>
            </w:r>
          </w:p>
        </w:tc>
        <w:tc>
          <w:tcPr>
            <w:tcW w:w="5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7793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Perceived Stress Scale score</w:t>
            </w:r>
          </w:p>
        </w:tc>
        <w:tc>
          <w:tcPr>
            <w:tcW w:w="20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25E8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14 (10, 18)</w:t>
            </w:r>
          </w:p>
        </w:tc>
      </w:tr>
      <w:tr w:rsidR="00C34FBC" w14:paraId="5A60FE39" w14:textId="77777777">
        <w:trPr>
          <w:cantSplit/>
          <w:jc w:val="center"/>
        </w:trPr>
        <w:tc>
          <w:tcPr>
            <w:tcW w:w="8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DB73" w14:textId="77777777" w:rsidR="00C34FBC" w:rsidRDefault="00C34FBC">
            <w:pPr>
              <w:spacing w:before="40" w:after="40"/>
              <w:ind w:left="100" w:right="100"/>
            </w:pPr>
          </w:p>
        </w:tc>
        <w:tc>
          <w:tcPr>
            <w:tcW w:w="30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A2F8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Intimate partner violence</w:t>
            </w:r>
          </w:p>
        </w:tc>
        <w:tc>
          <w:tcPr>
            <w:tcW w:w="51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D5EA" w14:textId="77777777" w:rsidR="00C34FBC" w:rsidRDefault="0073391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Any lifetime exposure</w:t>
            </w:r>
          </w:p>
        </w:tc>
        <w:tc>
          <w:tcPr>
            <w:tcW w:w="20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5955" w14:textId="77777777" w:rsidR="00C34FBC" w:rsidRDefault="007339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406 (56%)</w:t>
            </w:r>
          </w:p>
        </w:tc>
      </w:tr>
    </w:tbl>
    <w:p w14:paraId="68C2D6E8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05C392" w14:textId="5F5C089A" w:rsidR="00C34FBC" w:rsidRDefault="00733919">
      <w:pPr>
        <w:pStyle w:val="Heading2"/>
      </w:pPr>
      <w:r>
        <w:lastRenderedPageBreak/>
        <w:t>Table 2</w:t>
      </w:r>
    </w:p>
    <w:tbl>
      <w:tblPr>
        <w:tblW w:w="11678" w:type="dxa"/>
        <w:jc w:val="center"/>
        <w:tblLayout w:type="fixed"/>
        <w:tblLook w:val="0420" w:firstRow="1" w:lastRow="0" w:firstColumn="0" w:lastColumn="0" w:noHBand="0" w:noVBand="1"/>
      </w:tblPr>
      <w:tblGrid>
        <w:gridCol w:w="1300"/>
        <w:gridCol w:w="950"/>
        <w:gridCol w:w="584"/>
        <w:gridCol w:w="584"/>
        <w:gridCol w:w="1018"/>
        <w:gridCol w:w="1018"/>
        <w:gridCol w:w="1422"/>
        <w:gridCol w:w="597"/>
        <w:gridCol w:w="1018"/>
        <w:gridCol w:w="1018"/>
        <w:gridCol w:w="1584"/>
        <w:gridCol w:w="585"/>
      </w:tblGrid>
      <w:tr w:rsidR="00C34FBC" w:rsidRPr="002F444A" w14:paraId="6CC12381" w14:textId="77777777" w:rsidTr="002F444A">
        <w:trPr>
          <w:cantSplit/>
          <w:trHeight w:val="71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A356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F846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940F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DC3C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6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F35E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F444A" w:rsidRPr="002F444A" w14:paraId="3E22A8F7" w14:textId="77777777" w:rsidTr="002F444A">
        <w:trPr>
          <w:cantSplit/>
          <w:trHeight w:val="71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FB35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F718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4190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1617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5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5F6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20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7D89" w14:textId="1EC2AB58" w:rsidR="00C34FBC" w:rsidRPr="008D5D3C" w:rsidRDefault="00733919">
            <w:pPr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8D5D3C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2F444A" w:rsidRPr="002F444A" w14:paraId="160C813E" w14:textId="77777777" w:rsidTr="002F444A">
        <w:trPr>
          <w:cantSplit/>
          <w:trHeight w:val="316"/>
          <w:tblHeader/>
          <w:jc w:val="center"/>
        </w:trPr>
        <w:tc>
          <w:tcPr>
            <w:tcW w:w="13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EE69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Urinary oxidative stress biomarker</w:t>
            </w:r>
          </w:p>
        </w:tc>
        <w:tc>
          <w:tcPr>
            <w:tcW w:w="9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1FE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31D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08A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AD7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439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A26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9CF2" w14:textId="2D341FD1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9AA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B42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B452E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E4D5" w14:textId="43B56E64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BC5E52" w:rsidRPr="002F444A" w14:paraId="5A736234" w14:textId="77777777" w:rsidTr="002F444A">
        <w:trPr>
          <w:cantSplit/>
          <w:trHeight w:val="18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F466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IPF(2a)-III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D4D6" w14:textId="71B62DE2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3B8E2" w14:textId="48B1CFF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9735" w14:textId="2CA7CC4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B5AD" w14:textId="19FA6F7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-1.26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9D90" w14:textId="03772D1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96D8" w14:textId="265A9B1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-0.14 (-0.23, -0.05)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CE49" w14:textId="68AE00C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9CFD" w14:textId="003AECF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60EB" w14:textId="339C25C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-1.59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C408" w14:textId="5305707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2446" w14:textId="6355B6F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0.84</w:t>
            </w:r>
          </w:p>
        </w:tc>
      </w:tr>
      <w:tr w:rsidR="00BC5E52" w:rsidRPr="002F444A" w14:paraId="28A2152F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42E4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E677" w14:textId="70F1B624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4190" w14:textId="16B0B57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2574" w14:textId="78E131D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9B99" w14:textId="66D2FBE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208DC" w14:textId="492547E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B650" w14:textId="4BB76B5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(-0.17, 0)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0576" w14:textId="668AE65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5702" w14:textId="5CF83E3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CB14" w14:textId="3CC8C18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B8EC" w14:textId="5731D61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1CD6" w14:textId="44A6860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BC5E52" w:rsidRPr="002F444A" w14:paraId="24E2AC77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84F0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D55D" w14:textId="38849EF2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319" w14:textId="70D057E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7667" w14:textId="4024119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42D5" w14:textId="55DFCED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B10E" w14:textId="62862C7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5176" w14:textId="2EA7D6A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DA95" w14:textId="553C676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613F" w14:textId="2B511C8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6808" w14:textId="0C2BAAD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D2F3" w14:textId="21B9E21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782A" w14:textId="1A856D2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BC5E52" w:rsidRPr="002F444A" w14:paraId="5418E430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1677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A6C7" w14:textId="5305A192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E813" w14:textId="1363136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FB31" w14:textId="4018C37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BEC" w14:textId="28B49B2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-0.05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2D65" w14:textId="313CD6C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7287" w14:textId="13FD8E6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822F" w14:textId="6D1AB11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F015" w14:textId="2768725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3982" w14:textId="0158899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0EEF" w14:textId="4737E58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(-0.03, 0.05)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D772" w14:textId="7CC7FE5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0.88</w:t>
            </w:r>
          </w:p>
        </w:tc>
      </w:tr>
      <w:tr w:rsidR="00BC5E52" w:rsidRPr="002F444A" w14:paraId="226129C2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6F2FB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7673" w14:textId="77777777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0FDC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7551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6AC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6A01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58B0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5E36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0447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D649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74BB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4FB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BC5E52" w:rsidRPr="002F444A" w14:paraId="654DD14B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B047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2,3-dinor-iPF(2a)-III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3B20" w14:textId="5526BC0F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48B0" w14:textId="64E7406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70C3" w14:textId="64AF6B4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C71A" w14:textId="7391387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F740" w14:textId="47B8858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-1.5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4509" w14:textId="4805649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-0.26 (-0.37, -0.16)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F74F7" w14:textId="7E9B3F3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E399" w14:textId="31162E3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4371" w14:textId="450EDCA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1E3F" w14:textId="726381E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(-0.04, 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0259" w14:textId="06C3C99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0.98</w:t>
            </w:r>
          </w:p>
        </w:tc>
      </w:tr>
      <w:tr w:rsidR="00BC5E52" w:rsidRPr="002F444A" w14:paraId="1C39AD11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1697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91B8" w14:textId="27B8F0A5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2B36" w14:textId="5477E7C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C210" w14:textId="18D9A45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94A3" w14:textId="01B303D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-1.29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0D39" w14:textId="655F2EA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4601" w14:textId="4FFD35D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(-0.27, -0.07)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8FB2" w14:textId="0F7443A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78E8" w14:textId="7DD649A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1C93" w14:textId="3F6CD36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E109" w14:textId="584C967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(-0.1, 0.11)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E17F" w14:textId="7466EC8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BC5E52" w:rsidRPr="002F444A" w14:paraId="47B6AB52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162D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B49D" w14:textId="6B54D5A4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8CAE" w14:textId="58B9C57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B80C" w14:textId="2C05F11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46C0" w14:textId="3E720DA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BE6" w14:textId="12D845A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32FA" w14:textId="26E8401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745F" w14:textId="11E7415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01EF" w14:textId="0EFDDE2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E1C0" w14:textId="324B577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57DE" w14:textId="7011406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C6AE" w14:textId="1D72239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BC5E52" w:rsidRPr="002F444A" w14:paraId="73278A38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45C6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A6BA" w14:textId="3B44E3B5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19B2" w14:textId="2749C00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7956" w14:textId="1D721A4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B083" w14:textId="2BA3097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4405" w14:textId="632268A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30AA" w14:textId="586795C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(-0.03, 0.17)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89C0" w14:textId="7800458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7A18" w14:textId="46DBEF0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D87E" w14:textId="7C3B74C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114C" w14:textId="61C1AD5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(-0.09, 0.1)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5AF1" w14:textId="38724B8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</w:t>
            </w:r>
          </w:p>
        </w:tc>
      </w:tr>
      <w:tr w:rsidR="00BC5E52" w:rsidRPr="002F444A" w14:paraId="0D4D790A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68CD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4E06" w14:textId="77777777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15F3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AF9D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1DE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17E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747C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A099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E87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2A1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C724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838D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BC5E52" w:rsidRPr="002F444A" w14:paraId="2DA03833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2CAD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iPF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(2a)-VI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E3F4" w14:textId="64248B6F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F244" w14:textId="2625248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E076" w14:textId="471FCEF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ECD3" w14:textId="7BAC186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-1.11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524F" w14:textId="58B98EB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A40D" w14:textId="3A161C1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-0.32 (-0.55, -0.09)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4A3B" w14:textId="1D837DC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AC87" w14:textId="6F22B72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6A85" w14:textId="278E8A3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-1.58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41FE" w14:textId="4BD6BD7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604C" w14:textId="4C44687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</w:tr>
      <w:tr w:rsidR="00BC5E52" w:rsidRPr="002F444A" w14:paraId="0DFB4029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C847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3E22" w14:textId="1327A7D0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7F63" w14:textId="6959D2B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B50F" w14:textId="283B70A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CDDA" w14:textId="0462951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006" w14:textId="417054A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E920" w14:textId="1F2B4D3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(-0.19, 0)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4D62" w14:textId="6D6489B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A3DB" w14:textId="2F0EF09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011F" w14:textId="400C5A2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BFC6" w14:textId="39F4765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1400" w14:textId="267E30D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BC5E52" w:rsidRPr="002F444A" w14:paraId="4CBEC8CE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179E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0779" w14:textId="3CA26E4A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AF8E" w14:textId="15A7020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CB81" w14:textId="2842A4B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E370" w14:textId="3A414E0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15C8" w14:textId="232E640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682F" w14:textId="0576959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9456" w14:textId="1D11749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891A" w14:textId="101402C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669D" w14:textId="473DC6B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6967" w14:textId="23E764A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 (0, 0.03)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827C" w14:textId="125A29E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BC5E52" w:rsidRPr="002F444A" w14:paraId="7339F7F9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671E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D366" w14:textId="13167EB5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C04E" w14:textId="7F59D26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386A" w14:textId="156C365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30AB" w14:textId="6C50E4E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FB1E" w14:textId="59AEFB9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966D" w14:textId="7B76814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0.16 (0.06, 0.26)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95FD" w14:textId="309FD77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BBD7" w14:textId="1CA8F7D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F209" w14:textId="4A7BE45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0F52" w14:textId="4A80927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(-0.01, 0.12)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4A4" w14:textId="7B9B8C4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0.26</w:t>
            </w:r>
          </w:p>
        </w:tc>
      </w:tr>
      <w:tr w:rsidR="00BC5E52" w:rsidRPr="002F444A" w14:paraId="7120FC39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B07D7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8AAB" w14:textId="77777777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6123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8390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F67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142F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50EC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65B2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3016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8E56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6AFC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1532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BC5E52" w:rsidRPr="002F444A" w14:paraId="2AAE210E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077A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8,12-iso-iPF(2a)-VI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9508" w14:textId="2354053C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3936" w14:textId="2E4B768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9647" w14:textId="03F3F64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C41B" w14:textId="06A9283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475A" w14:textId="1B6C941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-1.33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3829" w14:textId="6C63CEB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(-0.15, 0.28)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6F63" w14:textId="15066C8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F16B" w14:textId="27D6DFA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8883" w14:textId="0649877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-1.58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E023" w14:textId="084133A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0.04 (0, 0.08)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4A54" w14:textId="23FFD13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0.26</w:t>
            </w:r>
          </w:p>
        </w:tc>
      </w:tr>
      <w:tr w:rsidR="00BC5E52" w:rsidRPr="002F444A" w14:paraId="229C92FC" w14:textId="77777777" w:rsidTr="002F444A">
        <w:trPr>
          <w:cantSplit/>
          <w:trHeight w:val="17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D3D3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3944" w14:textId="0B4953C2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CA09" w14:textId="16E8702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7711" w14:textId="68DF406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78B4" w14:textId="75BE318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6DB3" w14:textId="68BE528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-1.33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63D6" w14:textId="38FB9DE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(-0.11, 0.28)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3AB" w14:textId="3AB1CA0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0.66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A263" w14:textId="2C1D232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A3CE" w14:textId="1410B6F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E8A2" w14:textId="529F7F8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(-0.15, 0.16)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5DAC" w14:textId="4D4613B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BC5E52" w:rsidRPr="002F444A" w14:paraId="342D7C2E" w14:textId="77777777" w:rsidTr="002F444A">
        <w:trPr>
          <w:cantSplit/>
          <w:trHeight w:val="388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9EFE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611F" w14:textId="10E6CFD9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BD01" w14:textId="5042EBF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8190" w14:textId="14148E2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65FB" w14:textId="7D1FB5B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0602" w14:textId="4A36B5D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3A90" w14:textId="34E9208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(-0.01, 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9D3A" w14:textId="0665483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77BC" w14:textId="3993DDD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53F2" w14:textId="0CDF5C7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2CED" w14:textId="03418B7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 (0, 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5AE9" w14:textId="000C207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BC5E52" w:rsidRPr="002F444A" w14:paraId="51CC8496" w14:textId="77777777" w:rsidTr="002F444A">
        <w:trPr>
          <w:cantSplit/>
          <w:trHeight w:val="31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BAE4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8FEC" w14:textId="746A53DD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3B6E" w14:textId="231D0BF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DDFA" w14:textId="73DEC12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92B2" w14:textId="2572685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6619" w14:textId="677BE8D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7FBD" w14:textId="5BEF4EF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0.12 (0.01, 0.23)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210C" w14:textId="5CD93C6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835A" w14:textId="4BC61A0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042B" w14:textId="7FF7C42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8B62" w14:textId="7E60582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(-0.01, 0.18)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1D6C" w14:textId="65E205B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0.26</w:t>
            </w:r>
          </w:p>
        </w:tc>
      </w:tr>
      <w:tr w:rsidR="00BC5E52" w:rsidRPr="002F444A" w14:paraId="206E0FEF" w14:textId="77777777" w:rsidTr="002F444A">
        <w:trPr>
          <w:cantSplit/>
          <w:trHeight w:val="11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4BDB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5D078" w14:textId="77777777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8979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C6CB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1970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A04C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FCD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16C3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2A74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8878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45D2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8E82" w14:textId="777777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BC5E52" w:rsidRPr="002F444A" w14:paraId="054A9DBA" w14:textId="77777777" w:rsidTr="002F444A">
        <w:trPr>
          <w:cantSplit/>
          <w:trHeight w:val="38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FD38" w14:textId="4B9AE688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Combined urinary oxidative stress biomarkers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2C6E" w14:textId="121EBC11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1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EB2" w14:textId="6164BDE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F820" w14:textId="1260738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A5B6" w14:textId="451E6E4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-1.21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18E6" w14:textId="1876083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0AF7" w14:textId="797433E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-0.26 (-0.5, -0.02)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96A6" w14:textId="1800C83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2DF4" w14:textId="51F33C8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-1.62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C6B4" w14:textId="0F1D880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-1.59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B1CC" w14:textId="0F09BBE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0.06)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A0BF" w14:textId="26052CC4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0.32</w:t>
            </w:r>
          </w:p>
        </w:tc>
      </w:tr>
      <w:tr w:rsidR="00BC5E52" w:rsidRPr="002F444A" w14:paraId="7D75A28E" w14:textId="77777777" w:rsidTr="002F444A">
        <w:trPr>
          <w:cantSplit/>
          <w:trHeight w:val="180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8FFC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7EDA" w14:textId="3BC30B8D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55E7" w14:textId="20091F3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3731" w14:textId="11BFFBD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1616" w14:textId="27F14D8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33A3" w14:textId="5FDC25A3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F8C3" w14:textId="66A9BE9E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(-0.25, 0.05)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371F" w14:textId="151BCA5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0.36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516A" w14:textId="38E8FEF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2F57" w14:textId="218D3619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02A8" w14:textId="438012B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-0.19 (-0.34, -0.04)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D003" w14:textId="7CB7C18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BC5E52" w:rsidRPr="002F444A" w14:paraId="171EC391" w14:textId="77777777" w:rsidTr="002F444A">
        <w:trPr>
          <w:cantSplit/>
          <w:trHeight w:val="386"/>
          <w:jc w:val="center"/>
        </w:trPr>
        <w:tc>
          <w:tcPr>
            <w:tcW w:w="1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2CE2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97EB" w14:textId="72FD07B5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Length velocity Year 1 and Year 2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E698" w14:textId="3E50DE0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0EFC" w14:textId="3B52B21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DB79" w14:textId="69FF047F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899A" w14:textId="3140711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87DB" w14:textId="013291A2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(-0.02, 0.03)</w:t>
            </w:r>
          </w:p>
        </w:tc>
        <w:tc>
          <w:tcPr>
            <w:tcW w:w="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84CC" w14:textId="6BA9B910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4E59" w14:textId="1343A57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5457" w14:textId="28A20ED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8DA8" w14:textId="1CFEA6F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(-0.02, 0.03)</w:t>
            </w:r>
          </w:p>
        </w:tc>
        <w:tc>
          <w:tcPr>
            <w:tcW w:w="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5034" w14:textId="73C2708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0.82</w:t>
            </w:r>
          </w:p>
        </w:tc>
      </w:tr>
      <w:tr w:rsidR="00BC5E52" w:rsidRPr="002F444A" w14:paraId="0DF890D5" w14:textId="77777777" w:rsidTr="002F444A">
        <w:trPr>
          <w:cantSplit/>
          <w:trHeight w:val="318"/>
          <w:jc w:val="center"/>
        </w:trPr>
        <w:tc>
          <w:tcPr>
            <w:tcW w:w="13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6214" w14:textId="77777777" w:rsidR="00BC5E52" w:rsidRPr="002F444A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48EB" w14:textId="593B2C45" w:rsidR="00BC5E52" w:rsidRPr="00BC5E52" w:rsidRDefault="00BC5E52" w:rsidP="00BC5E52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LAZ Year 1 to Year 2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4D4A" w14:textId="788D9C5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FBB4" w14:textId="79D9ADFD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10EB" w14:textId="00AE6D1C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C9D5" w14:textId="1711FCB1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4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CEA5" w14:textId="369D4BD7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(0, 0.19)</w:t>
            </w:r>
          </w:p>
        </w:tc>
        <w:tc>
          <w:tcPr>
            <w:tcW w:w="59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3062" w14:textId="20F830F8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0.09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1264" w14:textId="53E54E7B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6AA8" w14:textId="79E49D46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912F" w14:textId="0DFD0E1A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(-0.06, 0.12)</w:t>
            </w:r>
          </w:p>
        </w:tc>
        <w:tc>
          <w:tcPr>
            <w:tcW w:w="5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B653" w14:textId="2A1AAAE5" w:rsidR="00BC5E52" w:rsidRPr="00BC5E52" w:rsidRDefault="00BC5E52" w:rsidP="00BC5E52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BC5E52">
              <w:rPr>
                <w:rFonts w:ascii="Arial" w:eastAsia="Arial" w:hAnsi="Arial" w:cs="Arial"/>
                <w:color w:val="111111"/>
                <w:sz w:val="12"/>
                <w:szCs w:val="12"/>
              </w:rPr>
              <w:t>0.87</w:t>
            </w:r>
          </w:p>
        </w:tc>
      </w:tr>
    </w:tbl>
    <w:p w14:paraId="365CF902" w14:textId="77777777" w:rsidR="008D5D3C" w:rsidRDefault="008D5D3C" w:rsidP="008D5D3C">
      <w:pPr>
        <w:rPr>
          <w:rFonts w:ascii="Calibri" w:hAnsi="Calibri" w:cs="Calibri"/>
          <w:sz w:val="22"/>
          <w:szCs w:val="22"/>
          <w:vertAlign w:val="superscript"/>
        </w:rPr>
      </w:pPr>
    </w:p>
    <w:p w14:paraId="4D671561" w14:textId="27B6219B" w:rsidR="00BC5E52" w:rsidRPr="008D5D3C" w:rsidRDefault="008D5D3C" w:rsidP="00BC5E5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="00BC5E52"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="00BC5E52"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 w:rsidR="00BC5E52" w:rsidRPr="00BC5E52">
        <w:rPr>
          <w:rFonts w:ascii="Calibri" w:hAnsi="Calibri" w:cs="Calibri"/>
          <w:sz w:val="22"/>
          <w:szCs w:val="22"/>
        </w:rPr>
        <w:t xml:space="preserve"> </w:t>
      </w:r>
      <w:r w:rsidR="00BC5E52">
        <w:rPr>
          <w:rFonts w:ascii="Calibri" w:hAnsi="Calibri" w:cs="Calibri"/>
          <w:sz w:val="22"/>
          <w:szCs w:val="22"/>
        </w:rPr>
        <w:t>Child age, c</w:t>
      </w:r>
      <w:r w:rsidR="00BC5E52"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and Year 2 outcomes only),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="00BC5E52"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="00BC5E52"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30817F83" w14:textId="06AC17F0" w:rsidR="008D5D3C" w:rsidRPr="008D5D3C" w:rsidRDefault="008D5D3C" w:rsidP="008D5D3C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72B5B9B0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3D8E677" w14:textId="52DFE735" w:rsidR="00C34FBC" w:rsidRDefault="00733919">
      <w:pPr>
        <w:pStyle w:val="Heading2"/>
      </w:pPr>
      <w:r>
        <w:lastRenderedPageBreak/>
        <w:t>Table 3</w:t>
      </w:r>
    </w:p>
    <w:tbl>
      <w:tblPr>
        <w:tblW w:w="11664" w:type="dxa"/>
        <w:jc w:val="center"/>
        <w:tblLayout w:type="fixed"/>
        <w:tblLook w:val="0420" w:firstRow="1" w:lastRow="0" w:firstColumn="0" w:lastColumn="0" w:noHBand="0" w:noVBand="1"/>
      </w:tblPr>
      <w:tblGrid>
        <w:gridCol w:w="1299"/>
        <w:gridCol w:w="810"/>
        <w:gridCol w:w="569"/>
        <w:gridCol w:w="666"/>
        <w:gridCol w:w="1015"/>
        <w:gridCol w:w="1080"/>
        <w:gridCol w:w="1350"/>
        <w:gridCol w:w="696"/>
        <w:gridCol w:w="1014"/>
        <w:gridCol w:w="1080"/>
        <w:gridCol w:w="1350"/>
        <w:gridCol w:w="735"/>
      </w:tblGrid>
      <w:tr w:rsidR="00C34FBC" w:rsidRPr="002F444A" w14:paraId="5F3836C4" w14:textId="77777777" w:rsidTr="002F444A">
        <w:trPr>
          <w:cantSplit/>
          <w:trHeight w:val="80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27B8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7211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E72B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4A2C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32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1C86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C34FBC" w:rsidRPr="002F444A" w14:paraId="134F0D54" w14:textId="77777777" w:rsidTr="002F444A">
        <w:trPr>
          <w:cantSplit/>
          <w:trHeight w:val="80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E13C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8114" w14:textId="77777777" w:rsidR="00C34FBC" w:rsidRPr="002F444A" w:rsidRDefault="00C34FBC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C4A3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A264" w14:textId="77777777" w:rsidR="00C34FBC" w:rsidRPr="002F444A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4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B5DD" w14:textId="77777777" w:rsidR="00C34FBC" w:rsidRPr="002F444A" w:rsidRDefault="00733919">
            <w:pPr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7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A978" w14:textId="542B0B85" w:rsidR="00C34FBC" w:rsidRPr="008D5D3C" w:rsidRDefault="00733919">
            <w:pPr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2F444A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8D5D3C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2F444A" w:rsidRPr="002F444A" w14:paraId="6E80470F" w14:textId="77777777" w:rsidTr="002F444A">
        <w:trPr>
          <w:cantSplit/>
          <w:trHeight w:val="274"/>
          <w:tblHeader/>
          <w:jc w:val="center"/>
        </w:trPr>
        <w:tc>
          <w:tcPr>
            <w:tcW w:w="12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13D9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Salivary stress biomarker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5ED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56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7DB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385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FBD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E3E3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363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78AD" w14:textId="1265C955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747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D2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F30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73B2" w14:textId="65E97773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2F444A" w:rsidRPr="002F444A" w14:paraId="638A9471" w14:textId="77777777" w:rsidTr="002F444A">
        <w:trPr>
          <w:cantSplit/>
          <w:trHeight w:val="278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EAA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Pre to post-stress change in slope of cortisol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1190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5A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224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F77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DC8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40AD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(-0.08, 0.09)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07E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5D8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5B4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-1.94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E049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-0.05 (-0.2, 0.09)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0A4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674E425E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B1E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D89D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D5E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E03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A94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F9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AABE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284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B276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391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707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926B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11D2F28A" w14:textId="77777777" w:rsidTr="002F444A">
        <w:trPr>
          <w:cantSplit/>
          <w:trHeight w:val="274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509E8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Cortisol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E97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42F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EBE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847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B66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33C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(-0.09, 0.08)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336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CA9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CF7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5B01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(-0.04, 0.14)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0D7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0AE50C48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5D3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F2F4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4AA9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354C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80D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CF50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8AA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925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BB6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D67A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D66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A76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1C0A14D9" w14:textId="77777777" w:rsidTr="002F444A">
        <w:trPr>
          <w:cantSplit/>
          <w:trHeight w:val="274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EA0B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Pre to post-stress change in slope of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7134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9D2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A82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67C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A47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-1.5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4AE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(-0.28, 0.19)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F3D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E908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B4E5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78A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(-0.05, 0.03)</w:t>
            </w: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7E3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2F444A" w:rsidRPr="002F444A" w14:paraId="6E1B1380" w14:textId="77777777" w:rsidTr="002F444A">
        <w:trPr>
          <w:cantSplit/>
          <w:trHeight w:val="123"/>
          <w:jc w:val="center"/>
        </w:trPr>
        <w:tc>
          <w:tcPr>
            <w:tcW w:w="12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9A21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C0E7" w14:textId="77777777" w:rsidR="00C34FBC" w:rsidRPr="002F444A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5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1A6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11D8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693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D2A5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ED37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38C4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6C4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42B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7532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D541" w14:textId="77777777" w:rsidR="00C34FBC" w:rsidRPr="002F444A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F444A" w:rsidRPr="002F444A" w14:paraId="52534685" w14:textId="77777777" w:rsidTr="002F444A">
        <w:trPr>
          <w:cantSplit/>
          <w:trHeight w:val="278"/>
          <w:jc w:val="center"/>
        </w:trPr>
        <w:tc>
          <w:tcPr>
            <w:tcW w:w="12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FD21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  <w:proofErr w:type="spellStart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968E" w14:textId="77777777" w:rsidR="00C34FBC" w:rsidRPr="002F444A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56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AEEF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EF80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D1E7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3A92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E0F6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(-0.25, 0.23)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02D4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0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411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-1.94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643B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E07C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0.11 (-0.01, 0.22)</w:t>
            </w:r>
          </w:p>
        </w:tc>
        <w:tc>
          <w:tcPr>
            <w:tcW w:w="7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BF9A" w14:textId="77777777" w:rsidR="00C34FBC" w:rsidRPr="002F444A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2F444A">
              <w:rPr>
                <w:rFonts w:ascii="Arial" w:eastAsia="Arial" w:hAnsi="Arial" w:cs="Arial"/>
                <w:color w:val="111111"/>
                <w:sz w:val="12"/>
                <w:szCs w:val="12"/>
              </w:rPr>
              <w:t>0.42</w:t>
            </w:r>
          </w:p>
        </w:tc>
      </w:tr>
    </w:tbl>
    <w:p w14:paraId="54449473" w14:textId="77777777" w:rsidR="008D5D3C" w:rsidRDefault="008D5D3C" w:rsidP="008D5D3C">
      <w:pPr>
        <w:rPr>
          <w:rFonts w:ascii="Calibri" w:hAnsi="Calibri" w:cs="Calibri"/>
          <w:sz w:val="22"/>
          <w:szCs w:val="22"/>
          <w:vertAlign w:val="superscript"/>
        </w:rPr>
      </w:pPr>
    </w:p>
    <w:p w14:paraId="5E1E59AC" w14:textId="418786F4" w:rsidR="00BC5E52" w:rsidRPr="008D5D3C" w:rsidRDefault="008D5D3C" w:rsidP="00BC5E5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="00BC5E52"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="00BC5E52"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 w:rsidR="00BC5E52" w:rsidRPr="00BC5E52">
        <w:rPr>
          <w:rFonts w:ascii="Calibri" w:hAnsi="Calibri" w:cs="Calibri"/>
          <w:sz w:val="22"/>
          <w:szCs w:val="22"/>
        </w:rPr>
        <w:t xml:space="preserve"> </w:t>
      </w:r>
      <w:r w:rsidR="00BC5E52">
        <w:rPr>
          <w:rFonts w:ascii="Calibri" w:hAnsi="Calibri" w:cs="Calibri"/>
          <w:sz w:val="22"/>
          <w:szCs w:val="22"/>
        </w:rPr>
        <w:t>Child age, c</w:t>
      </w:r>
      <w:r w:rsidR="00BC5E52"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and Year 2 outcomes only),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="00BC5E52"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="00BC5E52"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5E873128" w14:textId="4D62FFAA" w:rsidR="008D5D3C" w:rsidRPr="008D5D3C" w:rsidRDefault="008D5D3C" w:rsidP="008D5D3C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3D7CB05D" w14:textId="77777777" w:rsidR="002F444A" w:rsidRDefault="002F444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FC53268" w14:textId="0D3175B1" w:rsidR="00C34FBC" w:rsidRDefault="00733919">
      <w:pPr>
        <w:pStyle w:val="Heading2"/>
      </w:pPr>
      <w:r>
        <w:lastRenderedPageBreak/>
        <w:t>Table 4</w:t>
      </w:r>
    </w:p>
    <w:tbl>
      <w:tblPr>
        <w:tblW w:w="11263" w:type="dxa"/>
        <w:jc w:val="center"/>
        <w:tblLayout w:type="fixed"/>
        <w:tblLook w:val="0420" w:firstRow="1" w:lastRow="0" w:firstColumn="0" w:lastColumn="0" w:noHBand="0" w:noVBand="1"/>
      </w:tblPr>
      <w:tblGrid>
        <w:gridCol w:w="1093"/>
        <w:gridCol w:w="829"/>
        <w:gridCol w:w="691"/>
        <w:gridCol w:w="691"/>
        <w:gridCol w:w="1029"/>
        <w:gridCol w:w="1080"/>
        <w:gridCol w:w="1170"/>
        <w:gridCol w:w="630"/>
        <w:gridCol w:w="1080"/>
        <w:gridCol w:w="1080"/>
        <w:gridCol w:w="1170"/>
        <w:gridCol w:w="720"/>
      </w:tblGrid>
      <w:tr w:rsidR="00C34FBC" w14:paraId="3AD04A6E" w14:textId="77777777" w:rsidTr="00733919">
        <w:trPr>
          <w:cantSplit/>
          <w:trHeight w:val="81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B4AC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EBBF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E03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8CE7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95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66B7" w14:textId="77777777" w:rsidR="00C34FBC" w:rsidRPr="00733919" w:rsidRDefault="00733919">
            <w:pPr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733919" w14:paraId="0DFCFC07" w14:textId="77777777" w:rsidTr="00733919">
        <w:trPr>
          <w:cantSplit/>
          <w:trHeight w:val="81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3088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B1B0" w14:textId="77777777" w:rsidR="00C34FBC" w:rsidRPr="00733919" w:rsidRDefault="00C34FBC">
            <w:pPr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966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16EF" w14:textId="77777777" w:rsidR="00C34FBC" w:rsidRPr="00733919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0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BD45" w14:textId="77777777" w:rsidR="00C34FBC" w:rsidRPr="00733919" w:rsidRDefault="00733919">
            <w:pPr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5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D003" w14:textId="41857275" w:rsidR="00C34FBC" w:rsidRPr="008D5D3C" w:rsidRDefault="00733919">
            <w:pPr>
              <w:jc w:val="center"/>
              <w:rPr>
                <w:sz w:val="12"/>
                <w:szCs w:val="12"/>
                <w:vertAlign w:val="superscript"/>
              </w:rPr>
            </w:pPr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733919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8D5D3C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733919" w14:paraId="59E1F98B" w14:textId="77777777" w:rsidTr="00733919">
        <w:trPr>
          <w:cantSplit/>
          <w:trHeight w:val="278"/>
          <w:tblHeader/>
          <w:jc w:val="center"/>
        </w:trPr>
        <w:tc>
          <w:tcPr>
            <w:tcW w:w="1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5277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Resting SAM biomarker</w:t>
            </w:r>
          </w:p>
        </w:tc>
        <w:tc>
          <w:tcPr>
            <w:tcW w:w="8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625E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806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9122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BB8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7BA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F1F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560B" w14:textId="3784CCCB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982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AD7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88E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8AF0" w14:textId="7CB15CDC" w:rsidR="00C34FBC" w:rsidRPr="008D5D3C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8D5D3C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733919" w14:paraId="6253D78A" w14:textId="77777777" w:rsidTr="00733919">
        <w:trPr>
          <w:cantSplit/>
          <w:trHeight w:val="282"/>
          <w:jc w:val="center"/>
        </w:trPr>
        <w:tc>
          <w:tcPr>
            <w:tcW w:w="10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39F7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Mean arterial pressure</w:t>
            </w: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84DC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B460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B984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D35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C15E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-1.26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0A4B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0.13 (0, 0.25)</w:t>
            </w: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9C3D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A47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DD3E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6AF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(-0.07,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5E99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733919" w14:paraId="29025E8A" w14:textId="77777777" w:rsidTr="00733919">
        <w:trPr>
          <w:cantSplit/>
          <w:trHeight w:val="125"/>
          <w:jc w:val="center"/>
        </w:trPr>
        <w:tc>
          <w:tcPr>
            <w:tcW w:w="10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BFAB" w14:textId="77777777" w:rsidR="00C34FBC" w:rsidRPr="00733919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EA98" w14:textId="77777777" w:rsidR="00C34FBC" w:rsidRPr="00733919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C38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F02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C14F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CAB0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BDB8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1861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2796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AA57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A764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94BA" w14:textId="77777777" w:rsidR="00C34FBC" w:rsidRPr="00733919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733919" w14:paraId="1DF48396" w14:textId="77777777" w:rsidTr="00733919">
        <w:trPr>
          <w:cantSplit/>
          <w:trHeight w:val="200"/>
          <w:jc w:val="center"/>
        </w:trPr>
        <w:tc>
          <w:tcPr>
            <w:tcW w:w="10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C19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Mean resting heart rate</w:t>
            </w:r>
          </w:p>
        </w:tc>
        <w:tc>
          <w:tcPr>
            <w:tcW w:w="8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1E5E" w14:textId="77777777" w:rsidR="00C34FBC" w:rsidRPr="00733919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6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A31D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98.5</w:t>
            </w:r>
          </w:p>
        </w:tc>
        <w:tc>
          <w:tcPr>
            <w:tcW w:w="69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546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7DC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-1.27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57DC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-1.42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91B4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(-0.3, -0.01)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6C0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D513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785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0F8F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(-0.07, 0.07)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8656" w14:textId="77777777" w:rsidR="00C34FBC" w:rsidRPr="0073391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733919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</w:tbl>
    <w:p w14:paraId="23B6AF4A" w14:textId="4898721C" w:rsidR="008D5D3C" w:rsidRDefault="008D5D3C"/>
    <w:p w14:paraId="72B5BFA1" w14:textId="439ECE22" w:rsidR="008D5D3C" w:rsidRPr="008D5D3C" w:rsidRDefault="008D5D3C" w:rsidP="00BC5E5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 w:rsidR="00BC5E52" w:rsidRPr="00BC5E52">
        <w:rPr>
          <w:rFonts w:ascii="Calibri" w:hAnsi="Calibri" w:cs="Calibri"/>
          <w:sz w:val="22"/>
          <w:szCs w:val="22"/>
        </w:rPr>
        <w:t xml:space="preserve"> </w:t>
      </w:r>
      <w:r w:rsidR="00BC5E52">
        <w:rPr>
          <w:rFonts w:ascii="Calibri" w:hAnsi="Calibri" w:cs="Calibri"/>
          <w:sz w:val="22"/>
          <w:szCs w:val="22"/>
        </w:rPr>
        <w:t>Child age, c</w:t>
      </w:r>
      <w:r w:rsidR="00BC5E52"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and Year 2 outcomes only),</w:t>
      </w:r>
      <w:r w:rsidR="00BC5E52"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="00BC5E52"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="00BC5E52"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 w:rsidR="00BC5E52">
        <w:rPr>
          <w:rFonts w:ascii="Calibri" w:hAnsi="Calibri" w:cs="Calibri"/>
          <w:sz w:val="22"/>
          <w:szCs w:val="22"/>
        </w:rPr>
        <w:t xml:space="preserve"> </w:t>
      </w:r>
      <w:r w:rsidR="00BC5E52"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4D5FAB9D" w14:textId="7571832F" w:rsidR="002F444A" w:rsidRPr="008D5D3C" w:rsidRDefault="008D5D3C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  <w:r w:rsidR="002F444A">
        <w:br w:type="page"/>
      </w:r>
    </w:p>
    <w:p w14:paraId="4868CC29" w14:textId="771DCD73" w:rsidR="00C34FBC" w:rsidRDefault="00733919">
      <w:pPr>
        <w:pStyle w:val="Heading2"/>
      </w:pPr>
      <w:r>
        <w:lastRenderedPageBreak/>
        <w:t>Table 5</w:t>
      </w:r>
    </w:p>
    <w:tbl>
      <w:tblPr>
        <w:tblW w:w="11644" w:type="dxa"/>
        <w:jc w:val="center"/>
        <w:tblLayout w:type="fixed"/>
        <w:tblLook w:val="0420" w:firstRow="1" w:lastRow="0" w:firstColumn="0" w:lastColumn="0" w:noHBand="0" w:noVBand="1"/>
      </w:tblPr>
      <w:tblGrid>
        <w:gridCol w:w="1199"/>
        <w:gridCol w:w="810"/>
        <w:gridCol w:w="781"/>
        <w:gridCol w:w="804"/>
        <w:gridCol w:w="1039"/>
        <w:gridCol w:w="1107"/>
        <w:gridCol w:w="1199"/>
        <w:gridCol w:w="647"/>
        <w:gridCol w:w="1106"/>
        <w:gridCol w:w="1107"/>
        <w:gridCol w:w="1199"/>
        <w:gridCol w:w="646"/>
      </w:tblGrid>
      <w:tr w:rsidR="00C34FBC" w:rsidRPr="00831501" w14:paraId="7E04237E" w14:textId="77777777" w:rsidTr="00BE25D9">
        <w:trPr>
          <w:cantSplit/>
          <w:trHeight w:val="113"/>
          <w:tblHeader/>
          <w:jc w:val="center"/>
        </w:trPr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2359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0119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E7FC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8876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050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EF82" w14:textId="77777777" w:rsidR="00C34FBC" w:rsidRPr="00831501" w:rsidRDefault="00733919">
            <w:pPr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C34FBC" w:rsidRPr="00831501" w14:paraId="266F9BC5" w14:textId="77777777" w:rsidTr="00BE25D9">
        <w:trPr>
          <w:cantSplit/>
          <w:trHeight w:val="113"/>
          <w:tblHeader/>
          <w:jc w:val="center"/>
        </w:trPr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8DBC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53F7" w14:textId="77777777" w:rsidR="00C34FBC" w:rsidRPr="00831501" w:rsidRDefault="00C34FBC">
            <w:pPr>
              <w:rPr>
                <w:sz w:val="12"/>
                <w:szCs w:val="12"/>
              </w:rPr>
            </w:pP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0F83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D3D5" w14:textId="77777777" w:rsidR="00C34FBC" w:rsidRPr="00831501" w:rsidRDefault="00C34FB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9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518B" w14:textId="77777777" w:rsidR="00C34FBC" w:rsidRPr="00831501" w:rsidRDefault="00733919">
            <w:pPr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5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200E" w14:textId="51C21E91" w:rsidR="00C34FBC" w:rsidRPr="00BE25D9" w:rsidRDefault="00733919">
            <w:pPr>
              <w:jc w:val="center"/>
              <w:rPr>
                <w:sz w:val="12"/>
                <w:szCs w:val="12"/>
                <w:vertAlign w:val="superscript"/>
              </w:rPr>
            </w:pPr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831501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BE25D9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831501" w:rsidRPr="00831501" w14:paraId="49A97819" w14:textId="77777777" w:rsidTr="00BE25D9">
        <w:trPr>
          <w:cantSplit/>
          <w:trHeight w:val="388"/>
          <w:tblHeader/>
          <w:jc w:val="center"/>
        </w:trPr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9096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Methylation site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90EC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A40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8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330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949D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306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3A2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0C36" w14:textId="1F1B8B14" w:rsidR="00C34FBC" w:rsidRPr="00BE25D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BE25D9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2FC9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0663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F20A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1696" w14:textId="7EB32F0A" w:rsidR="00C34FBC" w:rsidRPr="00BE25D9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BE25D9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831501" w:rsidRPr="00831501" w14:paraId="4F3416AA" w14:textId="77777777" w:rsidTr="00BE25D9">
        <w:trPr>
          <w:cantSplit/>
          <w:trHeight w:val="392"/>
          <w:jc w:val="center"/>
        </w:trPr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2E61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E3CD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21E4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E951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98D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-1.34</w:t>
            </w: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6ACAC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0A0A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-0.05 (-0.11, 0.01)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0D62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0.29</w:t>
            </w: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23B9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2FC0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-1.84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8D6D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(-0.06, 0.02)</w:t>
            </w:r>
          </w:p>
        </w:tc>
        <w:tc>
          <w:tcPr>
            <w:tcW w:w="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5CAC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  <w:tr w:rsidR="00831501" w:rsidRPr="00831501" w14:paraId="7C75406C" w14:textId="77777777" w:rsidTr="00BE25D9">
        <w:trPr>
          <w:cantSplit/>
          <w:trHeight w:val="175"/>
          <w:jc w:val="center"/>
        </w:trPr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4BFB" w14:textId="77777777" w:rsidR="00C34FBC" w:rsidRPr="00831501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95F4" w14:textId="77777777" w:rsidR="00C34FBC" w:rsidRPr="00831501" w:rsidRDefault="00C34FBC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7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8D34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DC61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62EE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41AB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049A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6CBA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DACF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1CBB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EA21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D6AC" w14:textId="77777777" w:rsidR="00C34FBC" w:rsidRPr="00831501" w:rsidRDefault="00C34FB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31501" w:rsidRPr="00831501" w14:paraId="606C99D5" w14:textId="77777777" w:rsidTr="00BE25D9">
        <w:trPr>
          <w:cantSplit/>
          <w:trHeight w:val="496"/>
          <w:jc w:val="center"/>
        </w:trPr>
        <w:tc>
          <w:tcPr>
            <w:tcW w:w="11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7B6D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D8BE" w14:textId="77777777" w:rsidR="00C34FBC" w:rsidRPr="00831501" w:rsidRDefault="00733919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LAZ Year 2</w:t>
            </w:r>
          </w:p>
        </w:tc>
        <w:tc>
          <w:tcPr>
            <w:tcW w:w="7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CA2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8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731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4474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E7F7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-1.3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AFB1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(-0.1, 0.13)</w:t>
            </w:r>
          </w:p>
        </w:tc>
        <w:tc>
          <w:tcPr>
            <w:tcW w:w="6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05A6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0.97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7DF5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-1.69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F2DF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-1.68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512B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0.09)</w:t>
            </w:r>
          </w:p>
        </w:tc>
        <w:tc>
          <w:tcPr>
            <w:tcW w:w="6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B7B7" w14:textId="77777777" w:rsidR="00C34FBC" w:rsidRPr="00831501" w:rsidRDefault="00733919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831501">
              <w:rPr>
                <w:rFonts w:ascii="Arial" w:eastAsia="Arial" w:hAnsi="Arial" w:cs="Arial"/>
                <w:color w:val="111111"/>
                <w:sz w:val="12"/>
                <w:szCs w:val="12"/>
              </w:rPr>
              <w:t>0.95</w:t>
            </w:r>
          </w:p>
        </w:tc>
      </w:tr>
    </w:tbl>
    <w:p w14:paraId="41565C9E" w14:textId="613378B8" w:rsidR="00733919" w:rsidRDefault="00733919"/>
    <w:p w14:paraId="4DB88EFE" w14:textId="6E9F1495" w:rsidR="006D7E50" w:rsidRPr="006D7E50" w:rsidRDefault="006D7E50" w:rsidP="006D7E5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>
        <w:rPr>
          <w:rFonts w:ascii="Calibri" w:hAnsi="Calibri" w:cs="Calibri"/>
          <w:sz w:val="22"/>
          <w:szCs w:val="22"/>
        </w:rPr>
        <w:t xml:space="preserve"> Child age, c</w:t>
      </w:r>
      <w:r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</w:p>
    <w:p w14:paraId="2863DA6A" w14:textId="08858215" w:rsidR="006D7E50" w:rsidRPr="006D7E50" w:rsidRDefault="006D7E50" w:rsidP="006D7E5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D7E50">
        <w:rPr>
          <w:rFonts w:ascii="Calibri" w:hAnsi="Calibri" w:cs="Calibri"/>
          <w:sz w:val="22"/>
          <w:szCs w:val="22"/>
        </w:rPr>
        <w:t>and Year 2 outcomes only),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</w:p>
    <w:p w14:paraId="5371ED24" w14:textId="04DC1B6D" w:rsidR="006D7E50" w:rsidRPr="008D5D3C" w:rsidRDefault="006D7E50" w:rsidP="006D7E50">
      <w:pPr>
        <w:rPr>
          <w:rFonts w:ascii="Calibri" w:hAnsi="Calibri" w:cs="Calibri"/>
          <w:sz w:val="22"/>
          <w:szCs w:val="22"/>
        </w:rPr>
      </w:pPr>
      <w:r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0EAB0F2D" w14:textId="3EFE65EB" w:rsidR="006D7E50" w:rsidRPr="006D7E50" w:rsidRDefault="006D7E50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sectPr w:rsidR="006D7E50" w:rsidRPr="006D7E5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F444A"/>
    <w:rsid w:val="0035500D"/>
    <w:rsid w:val="00362E65"/>
    <w:rsid w:val="004158F9"/>
    <w:rsid w:val="00457CF1"/>
    <w:rsid w:val="006D7E50"/>
    <w:rsid w:val="00733919"/>
    <w:rsid w:val="00747CCE"/>
    <w:rsid w:val="007B3E96"/>
    <w:rsid w:val="00831501"/>
    <w:rsid w:val="008D5D3C"/>
    <w:rsid w:val="008F1F48"/>
    <w:rsid w:val="00901463"/>
    <w:rsid w:val="00946CB3"/>
    <w:rsid w:val="00AE18EF"/>
    <w:rsid w:val="00AE1BDD"/>
    <w:rsid w:val="00B3547C"/>
    <w:rsid w:val="00B4379D"/>
    <w:rsid w:val="00BC5E52"/>
    <w:rsid w:val="00BE25D9"/>
    <w:rsid w:val="00C27329"/>
    <w:rsid w:val="00C31EEB"/>
    <w:rsid w:val="00C34FB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1F75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1671</Words>
  <Characters>9527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14</cp:revision>
  <dcterms:created xsi:type="dcterms:W3CDTF">2017-02-28T11:18:00Z</dcterms:created>
  <dcterms:modified xsi:type="dcterms:W3CDTF">2020-11-15T05:11:00Z</dcterms:modified>
  <cp:category/>
</cp:coreProperties>
</file>