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S1: Associations between isoprostanes and growth measures at 14 months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(-0.21, -0.06)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-0.14 (-0.22, -0.06)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 (-0.3, -0.07)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 (-0.26,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(-0.21,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(-0.17,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 (-0.35, 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(-0.21, -0.03)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(-0.16,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(-0.13,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(-0.23,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 (-0.25,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 (-0.18,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(-0.14,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 (-0.51, -0.11)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 (-0.27, -0.08)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 (-0.21,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(-0.15, 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S2: Associations between isoprostanes and growth measures at 28 months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(0,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(-0.05,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(0.01,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(-0.02,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(-0.01,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(-0.02,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(-0.02,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(-0.16,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(-0.14,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(0, 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S3: Associations between isoprostanes and growth velocity measures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 velocity (kg/month)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 circumference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 velocity (kg/month)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 circumference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(-0.01,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 velocity (kg/month)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 circumference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(-0.01,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 velocity (kg/month)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(0,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 circumference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Length velocity (cm/month)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(-0.02,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Weight velocity (kg/month)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(-0.01,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Head circumference velocity (cm/month) Year 1 to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(0, 0.01)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S4: Associations between isoprostanes and change in growth Z-score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72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Urinary oxidative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IPF(2a)-III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(-0.03, 0.06)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(0.04,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WLZ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 (0.05,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HCZ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(-0.01,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2,3-dinor-iPF(2a)-III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(0.03,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WLZ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HCZ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(0.01,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 (0.03,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(0.02,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WLZ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(-0.06,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HCZ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(-0.01,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8,12-iso-iPF(2a)-VI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(0.01,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WLZ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 (0,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HCZ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Combined urinary oxidative stress biomarkers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LAZ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(-0.04,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WAZ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(0.04,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0**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WLZ from Year 1 to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(-0.12,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Change in HCZ from Year 1 to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(0, 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S5: Associations between salivary biomarkers and growth measures at 28 months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Salivary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Pre-stressor cortisol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(-0.03, 0.2)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(-0.09,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Post-stressor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(-0.05,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(-0.13,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(-0.16,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 to post-stress change in cortisol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 (-0.16,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 (-0.22,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(-0.07,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Cortisol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 (-0.13,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 (-0.19, -0.02)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Pre-stressor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(-0.11,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(-0.13,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Post-stressor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(-0.04,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 (-0.07,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(-0.05,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 to post-stress change in sAA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 (-0.04,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(-0.03,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(-0.05,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(-0.04,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sAA residualized gain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 (-0.05,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(-0.04,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(-0.06,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-51.41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 (-0.05, 0.02)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S6: Associations between sympathetic-adreno-medullar biomarkers and growth measures at 28 months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Resting SAM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 arterial pressure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(-0.03, 0.11)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(-0.08,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 (-0.07,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(-0.02,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Mean resting 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 (-0.03,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 (0, 0.09)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p>
      <w:pPr>
        <w:pStyle w:val="Titre2"/>
      </w:pPr>
      <w:r>
        <w:t xml:space="preserve">Table S7: Associations between methylation and growth measures at 28 months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008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Methylation site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Entire promoter region (39 assayed CpG sites)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 (-0.15, 0.08)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 (-0.13,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 (-0.08,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(-0.05,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(-0.06,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 (-0.15,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WLZ Year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 (-0.15,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HCZ Year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 (-0.07, 0.07)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trHeight w:val="360" w:hRule="auto"/>
        </w:trPr>
        footer2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* P-value &lt; 0.05 after FDR correction (** P-value &lt; 0.01, *** P-value &lt; 0.001)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2024-06-06T03:44:20Z</dcterms:modified>
  <cp:category/>
</cp:coreProperties>
</file>