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C9D7" w14:textId="77777777" w:rsidR="00F57549" w:rsidRPr="00F57549" w:rsidRDefault="00F57549" w:rsidP="00F57549">
      <w:pPr>
        <w:pStyle w:val="Title"/>
        <w:rPr>
          <w:sz w:val="36"/>
          <w:szCs w:val="36"/>
        </w:rPr>
      </w:pPr>
      <w:r w:rsidRPr="00F57549">
        <w:rPr>
          <w:sz w:val="36"/>
          <w:szCs w:val="36"/>
        </w:rPr>
        <w:t>Effect of water, sanitation, and hygiene interventions on enteropathogen detection in the environment: an individual-participant data meta-analysis</w:t>
      </w:r>
    </w:p>
    <w:p w14:paraId="7D58A122" w14:textId="77777777" w:rsidR="00F57549" w:rsidRDefault="00F57549" w:rsidP="003449A2">
      <w:pPr>
        <w:spacing w:after="0" w:line="240" w:lineRule="auto"/>
        <w:rPr>
          <w:rFonts w:ascii="Verdana" w:eastAsia="Times New Roman" w:hAnsi="Verdana" w:cs="Calibri"/>
          <w:b/>
          <w:bCs/>
          <w:color w:val="222222"/>
        </w:rPr>
      </w:pPr>
    </w:p>
    <w:p w14:paraId="1B829212" w14:textId="105739FF" w:rsidR="00F57549" w:rsidRDefault="00F57549" w:rsidP="003449A2">
      <w:pPr>
        <w:spacing w:after="0" w:line="240" w:lineRule="auto"/>
        <w:rPr>
          <w:rFonts w:ascii="Verdana" w:eastAsia="Times New Roman" w:hAnsi="Verdana" w:cs="Calibri"/>
          <w:b/>
          <w:bCs/>
          <w:color w:val="222222"/>
        </w:rPr>
      </w:pPr>
      <w:r>
        <w:rPr>
          <w:rFonts w:ascii="Verdana" w:eastAsia="Times New Roman" w:hAnsi="Verdana" w:cs="Calibri"/>
          <w:b/>
          <w:bCs/>
          <w:color w:val="222222"/>
        </w:rPr>
        <w:t>Coauthor responses</w:t>
      </w:r>
    </w:p>
    <w:p w14:paraId="04C6E439" w14:textId="5D2E0D3C" w:rsidR="00F57549" w:rsidRDefault="00F57549" w:rsidP="003449A2">
      <w:pPr>
        <w:spacing w:after="0" w:line="240" w:lineRule="auto"/>
        <w:rPr>
          <w:rFonts w:ascii="Verdana" w:eastAsia="Times New Roman" w:hAnsi="Verdana" w:cs="Calibri"/>
          <w:b/>
          <w:bCs/>
          <w:color w:val="222222"/>
        </w:rPr>
      </w:pPr>
    </w:p>
    <w:p w14:paraId="4ABEAF48" w14:textId="77777777" w:rsidR="00F57549" w:rsidRDefault="00F57549" w:rsidP="003449A2">
      <w:pPr>
        <w:spacing w:after="0" w:line="240" w:lineRule="auto"/>
        <w:rPr>
          <w:rFonts w:ascii="Verdana" w:eastAsia="Times New Roman" w:hAnsi="Verdana" w:cs="Calibri"/>
          <w:b/>
          <w:bCs/>
          <w:color w:val="222222"/>
        </w:rPr>
      </w:pPr>
    </w:p>
    <w:p w14:paraId="257D8B8B" w14:textId="74C50C69" w:rsidR="008E527D" w:rsidRPr="00FD260A" w:rsidRDefault="008A1489" w:rsidP="003449A2">
      <w:pPr>
        <w:spacing w:after="0" w:line="240" w:lineRule="auto"/>
        <w:rPr>
          <w:rFonts w:ascii="Verdana" w:eastAsia="Times New Roman" w:hAnsi="Verdana" w:cs="Calibri"/>
          <w:b/>
          <w:bCs/>
          <w:color w:val="222222"/>
        </w:rPr>
      </w:pPr>
      <w:r>
        <w:rPr>
          <w:rFonts w:ascii="Verdana" w:eastAsia="Times New Roman" w:hAnsi="Verdana" w:cs="Calibri"/>
          <w:b/>
          <w:bCs/>
          <w:color w:val="222222"/>
        </w:rPr>
        <w:t>Major manuscript</w:t>
      </w:r>
      <w:r w:rsidR="008E527D" w:rsidRPr="00FD260A">
        <w:rPr>
          <w:rFonts w:ascii="Verdana" w:eastAsia="Times New Roman" w:hAnsi="Verdana" w:cs="Calibri"/>
          <w:b/>
          <w:bCs/>
          <w:color w:val="222222"/>
        </w:rPr>
        <w:t xml:space="preserve"> changes to note</w:t>
      </w:r>
    </w:p>
    <w:p w14:paraId="79D50C7E" w14:textId="3A0934AE" w:rsidR="008A1489" w:rsidRPr="00C55237" w:rsidRDefault="008A1489" w:rsidP="008A1489">
      <w:pPr>
        <w:pStyle w:val="ListParagraph"/>
        <w:numPr>
          <w:ilvl w:val="0"/>
          <w:numId w:val="3"/>
        </w:numPr>
        <w:spacing w:after="0" w:line="240" w:lineRule="auto"/>
        <w:rPr>
          <w:rFonts w:ascii="Arial" w:eastAsia="Times New Roman" w:hAnsi="Arial" w:cs="Arial"/>
          <w:color w:val="222222"/>
        </w:rPr>
      </w:pPr>
      <w:r w:rsidRPr="00C55237">
        <w:rPr>
          <w:rFonts w:ascii="Arial" w:eastAsia="Times New Roman" w:hAnsi="Arial" w:cs="Arial"/>
          <w:color w:val="222222"/>
        </w:rPr>
        <w:t xml:space="preserve">We have addressed </w:t>
      </w:r>
      <w:r w:rsidRPr="00C55237">
        <w:rPr>
          <w:rFonts w:ascii="Arial" w:eastAsia="Times New Roman" w:hAnsi="Arial" w:cs="Arial"/>
          <w:color w:val="222222"/>
        </w:rPr>
        <w:t xml:space="preserve">in this document </w:t>
      </w:r>
      <w:r w:rsidRPr="00C55237">
        <w:rPr>
          <w:rFonts w:ascii="Arial" w:eastAsia="Times New Roman" w:hAnsi="Arial" w:cs="Arial"/>
          <w:color w:val="222222"/>
        </w:rPr>
        <w:t>all</w:t>
      </w:r>
      <w:r w:rsidRPr="00C55237">
        <w:rPr>
          <w:rFonts w:ascii="Arial" w:eastAsia="Times New Roman" w:hAnsi="Arial" w:cs="Arial"/>
          <w:color w:val="222222"/>
        </w:rPr>
        <w:t xml:space="preserve"> emailed coauthor comments as well as major comments </w:t>
      </w:r>
      <w:r w:rsidR="00AC4960" w:rsidRPr="00C55237">
        <w:rPr>
          <w:rFonts w:ascii="Arial" w:eastAsia="Times New Roman" w:hAnsi="Arial" w:cs="Arial"/>
          <w:color w:val="222222"/>
        </w:rPr>
        <w:t xml:space="preserve">from the manuscript document. </w:t>
      </w:r>
    </w:p>
    <w:p w14:paraId="5149086D" w14:textId="202CF74C" w:rsidR="008A1489" w:rsidRPr="00C55237" w:rsidRDefault="008A1489" w:rsidP="00AC4960">
      <w:pPr>
        <w:pStyle w:val="ListParagraph"/>
        <w:numPr>
          <w:ilvl w:val="1"/>
          <w:numId w:val="3"/>
        </w:numPr>
        <w:spacing w:after="0" w:line="240" w:lineRule="auto"/>
        <w:rPr>
          <w:rFonts w:ascii="Arial" w:eastAsia="Times New Roman" w:hAnsi="Arial" w:cs="Arial"/>
          <w:color w:val="222222"/>
        </w:rPr>
      </w:pPr>
      <w:r w:rsidRPr="00C55237">
        <w:rPr>
          <w:rFonts w:ascii="Arial" w:eastAsia="Times New Roman" w:hAnsi="Arial" w:cs="Arial"/>
          <w:color w:val="222222"/>
        </w:rPr>
        <w:t>Smaller comments</w:t>
      </w:r>
      <w:r w:rsidR="00AC4960" w:rsidRPr="00C55237">
        <w:rPr>
          <w:rFonts w:ascii="Arial" w:eastAsia="Times New Roman" w:hAnsi="Arial" w:cs="Arial"/>
          <w:color w:val="222222"/>
        </w:rPr>
        <w:t xml:space="preserve"> added onto the manuscript</w:t>
      </w:r>
      <w:r w:rsidRPr="00C55237">
        <w:rPr>
          <w:rFonts w:ascii="Arial" w:eastAsia="Times New Roman" w:hAnsi="Arial" w:cs="Arial"/>
          <w:color w:val="222222"/>
        </w:rPr>
        <w:t xml:space="preserve"> are responded to in the </w:t>
      </w:r>
      <w:r w:rsidR="00AC4960" w:rsidRPr="00C55237">
        <w:rPr>
          <w:rFonts w:ascii="Arial" w:eastAsia="Times New Roman" w:hAnsi="Arial" w:cs="Arial"/>
          <w:color w:val="222222"/>
        </w:rPr>
        <w:t xml:space="preserve">attached </w:t>
      </w:r>
      <w:r w:rsidRPr="00C55237">
        <w:rPr>
          <w:rFonts w:ascii="Arial" w:eastAsia="Times New Roman" w:hAnsi="Arial" w:cs="Arial"/>
          <w:color w:val="222222"/>
        </w:rPr>
        <w:t xml:space="preserve">tracked-changes </w:t>
      </w:r>
      <w:r w:rsidR="00AC4960" w:rsidRPr="00C55237">
        <w:rPr>
          <w:rFonts w:ascii="Arial" w:eastAsia="Times New Roman" w:hAnsi="Arial" w:cs="Arial"/>
          <w:color w:val="222222"/>
        </w:rPr>
        <w:t>version of the manuscript.</w:t>
      </w:r>
    </w:p>
    <w:p w14:paraId="03EEF32D" w14:textId="75AB37CB" w:rsidR="008E527D" w:rsidRPr="00C55237" w:rsidRDefault="00AC4960" w:rsidP="002E67D2">
      <w:pPr>
        <w:pStyle w:val="ListParagraph"/>
        <w:numPr>
          <w:ilvl w:val="0"/>
          <w:numId w:val="3"/>
        </w:numPr>
        <w:spacing w:after="0" w:line="240" w:lineRule="auto"/>
        <w:rPr>
          <w:rFonts w:ascii="Arial" w:eastAsia="Times New Roman" w:hAnsi="Arial" w:cs="Arial"/>
          <w:color w:val="222222"/>
        </w:rPr>
      </w:pPr>
      <w:r w:rsidRPr="00C55237">
        <w:rPr>
          <w:rFonts w:ascii="Arial" w:eastAsia="Times New Roman" w:hAnsi="Arial" w:cs="Arial"/>
          <w:color w:val="222222"/>
        </w:rPr>
        <w:t>We had previously combined all</w:t>
      </w:r>
      <w:r w:rsidR="009B31F8" w:rsidRPr="00C55237">
        <w:rPr>
          <w:rFonts w:ascii="Arial" w:eastAsia="Times New Roman" w:hAnsi="Arial" w:cs="Arial"/>
          <w:color w:val="222222"/>
        </w:rPr>
        <w:t xml:space="preserve"> </w:t>
      </w:r>
      <w:proofErr w:type="spellStart"/>
      <w:r w:rsidR="009B31F8" w:rsidRPr="00C55237">
        <w:rPr>
          <w:rFonts w:ascii="Arial" w:eastAsia="Times New Roman" w:hAnsi="Arial" w:cs="Arial"/>
          <w:color w:val="222222"/>
        </w:rPr>
        <w:t>MapSan</w:t>
      </w:r>
      <w:proofErr w:type="spellEnd"/>
      <w:r w:rsidR="009B31F8" w:rsidRPr="00C55237">
        <w:rPr>
          <w:rFonts w:ascii="Arial" w:eastAsia="Times New Roman" w:hAnsi="Arial" w:cs="Arial"/>
          <w:color w:val="222222"/>
        </w:rPr>
        <w:t xml:space="preserve"> study environmental sampling</w:t>
      </w:r>
      <w:r w:rsidR="00745062" w:rsidRPr="00C55237">
        <w:rPr>
          <w:rFonts w:ascii="Arial" w:eastAsia="Times New Roman" w:hAnsi="Arial" w:cs="Arial"/>
          <w:color w:val="222222"/>
        </w:rPr>
        <w:t>, including unpublished results</w:t>
      </w:r>
      <w:r w:rsidR="002E67D2" w:rsidRPr="00C55237">
        <w:rPr>
          <w:rFonts w:ascii="Arial" w:eastAsia="Times New Roman" w:hAnsi="Arial" w:cs="Arial"/>
          <w:color w:val="222222"/>
        </w:rPr>
        <w:t xml:space="preserve">, and labeled them under Holcomb et al. 2020. But Drew Capone has published results from analyzing pathogens in </w:t>
      </w:r>
      <w:proofErr w:type="gramStart"/>
      <w:r w:rsidR="002E67D2" w:rsidRPr="00C55237">
        <w:rPr>
          <w:rFonts w:ascii="Arial" w:eastAsia="Times New Roman" w:hAnsi="Arial" w:cs="Arial"/>
          <w:color w:val="222222"/>
        </w:rPr>
        <w:t>soil, and</w:t>
      </w:r>
      <w:proofErr w:type="gramEnd"/>
      <w:r w:rsidR="002E67D2" w:rsidRPr="00C55237">
        <w:rPr>
          <w:rFonts w:ascii="Arial" w:eastAsia="Times New Roman" w:hAnsi="Arial" w:cs="Arial"/>
          <w:color w:val="222222"/>
        </w:rPr>
        <w:t xml:space="preserve"> has an analysis of pathogens on flies in preparation, so we have split the soil and fly samples into their respective studies (Capone et al. 2021 and </w:t>
      </w:r>
      <w:r w:rsidR="008E527D" w:rsidRPr="00C55237">
        <w:rPr>
          <w:rFonts w:ascii="Arial" w:eastAsia="Times New Roman" w:hAnsi="Arial" w:cs="Arial"/>
          <w:color w:val="222222"/>
        </w:rPr>
        <w:t xml:space="preserve">Capone </w:t>
      </w:r>
      <w:r w:rsidR="002E67D2" w:rsidRPr="00C55237">
        <w:rPr>
          <w:rFonts w:ascii="Arial" w:eastAsia="Times New Roman" w:hAnsi="Arial" w:cs="Arial"/>
          <w:color w:val="222222"/>
        </w:rPr>
        <w:t>et al. 202</w:t>
      </w:r>
      <w:r w:rsidR="002E67D2" w:rsidRPr="00C55237">
        <w:rPr>
          <w:rFonts w:ascii="Arial" w:eastAsia="Times New Roman" w:hAnsi="Arial" w:cs="Arial"/>
          <w:color w:val="222222"/>
        </w:rPr>
        <w:t xml:space="preserve">2 </w:t>
      </w:r>
      <w:r w:rsidR="008E527D" w:rsidRPr="00C55237">
        <w:rPr>
          <w:rFonts w:ascii="Arial" w:eastAsia="Times New Roman" w:hAnsi="Arial" w:cs="Arial"/>
          <w:color w:val="222222"/>
        </w:rPr>
        <w:t>in prep</w:t>
      </w:r>
      <w:r w:rsidR="002E67D2" w:rsidRPr="00C55237">
        <w:rPr>
          <w:rFonts w:ascii="Arial" w:eastAsia="Times New Roman" w:hAnsi="Arial" w:cs="Arial"/>
          <w:color w:val="222222"/>
        </w:rPr>
        <w:t>.).</w:t>
      </w:r>
    </w:p>
    <w:p w14:paraId="44885797" w14:textId="0BDFF8D9" w:rsidR="002E67D2" w:rsidRPr="00C53DC8" w:rsidRDefault="00C55237" w:rsidP="00C53DC8">
      <w:pPr>
        <w:pStyle w:val="ListParagraph"/>
        <w:numPr>
          <w:ilvl w:val="1"/>
          <w:numId w:val="3"/>
        </w:numPr>
        <w:spacing w:after="0" w:line="240" w:lineRule="auto"/>
        <w:rPr>
          <w:rFonts w:ascii="Arial" w:eastAsia="Times New Roman" w:hAnsi="Arial" w:cs="Arial"/>
          <w:color w:val="222222"/>
        </w:rPr>
      </w:pPr>
      <w:r>
        <w:rPr>
          <w:rFonts w:ascii="Arial" w:eastAsia="Times New Roman" w:hAnsi="Arial" w:cs="Arial"/>
          <w:color w:val="222222"/>
        </w:rPr>
        <w:t>We c</w:t>
      </w:r>
      <w:r w:rsidR="002E67D2" w:rsidRPr="00C55237">
        <w:rPr>
          <w:rFonts w:ascii="Arial" w:eastAsia="Times New Roman" w:hAnsi="Arial" w:cs="Arial"/>
          <w:color w:val="222222"/>
        </w:rPr>
        <w:t>ombined fly types</w:t>
      </w:r>
      <w:r>
        <w:rPr>
          <w:rFonts w:ascii="Arial" w:eastAsia="Times New Roman" w:hAnsi="Arial" w:cs="Arial"/>
          <w:color w:val="222222"/>
        </w:rPr>
        <w:t xml:space="preserve"> (kitchen versus latrine)</w:t>
      </w:r>
      <w:r w:rsidR="002E67D2" w:rsidRPr="00C55237">
        <w:rPr>
          <w:rFonts w:ascii="Arial" w:eastAsia="Times New Roman" w:hAnsi="Arial" w:cs="Arial"/>
          <w:color w:val="222222"/>
        </w:rPr>
        <w:t xml:space="preserve"> in Capone et al in prep based on feedback on sampling schemes</w:t>
      </w:r>
      <w:r>
        <w:rPr>
          <w:rFonts w:ascii="Arial" w:eastAsia="Times New Roman" w:hAnsi="Arial" w:cs="Arial"/>
          <w:color w:val="222222"/>
        </w:rPr>
        <w:t xml:space="preserve"> where latrine </w:t>
      </w:r>
      <w:r w:rsidRPr="00C55237">
        <w:rPr>
          <w:rFonts w:ascii="Arial" w:eastAsia="Times New Roman" w:hAnsi="Arial" w:cs="Arial"/>
          <w:color w:val="222222"/>
        </w:rPr>
        <w:t>entrance</w:t>
      </w:r>
      <w:r>
        <w:rPr>
          <w:rFonts w:ascii="Arial" w:eastAsia="Times New Roman" w:hAnsi="Arial" w:cs="Arial"/>
          <w:color w:val="222222"/>
        </w:rPr>
        <w:t xml:space="preserve"> flies were only</w:t>
      </w:r>
      <w:r w:rsidRPr="00C55237">
        <w:t xml:space="preserve"> </w:t>
      </w:r>
      <w:r w:rsidRPr="00C55237">
        <w:rPr>
          <w:rFonts w:ascii="Arial" w:eastAsia="Times New Roman" w:hAnsi="Arial" w:cs="Arial"/>
          <w:color w:val="222222"/>
        </w:rPr>
        <w:t xml:space="preserve">analyzed </w:t>
      </w:r>
      <w:r>
        <w:rPr>
          <w:rFonts w:ascii="Arial" w:eastAsia="Times New Roman" w:hAnsi="Arial" w:cs="Arial"/>
          <w:color w:val="222222"/>
        </w:rPr>
        <w:t>when</w:t>
      </w:r>
      <w:r w:rsidRPr="00C55237">
        <w:rPr>
          <w:rFonts w:ascii="Arial" w:eastAsia="Times New Roman" w:hAnsi="Arial" w:cs="Arial"/>
          <w:color w:val="222222"/>
        </w:rPr>
        <w:t xml:space="preserve"> </w:t>
      </w:r>
      <w:r>
        <w:rPr>
          <w:rFonts w:ascii="Arial" w:eastAsia="Times New Roman" w:hAnsi="Arial" w:cs="Arial"/>
          <w:color w:val="222222"/>
        </w:rPr>
        <w:t>they</w:t>
      </w:r>
      <w:r w:rsidRPr="00C55237">
        <w:rPr>
          <w:rFonts w:ascii="Arial" w:eastAsia="Times New Roman" w:hAnsi="Arial" w:cs="Arial"/>
          <w:color w:val="222222"/>
        </w:rPr>
        <w:t xml:space="preserve"> didn’t catch any flies at the kitchen area.</w:t>
      </w:r>
    </w:p>
    <w:p w14:paraId="245D4BDD" w14:textId="7A772876" w:rsidR="008E527D" w:rsidRPr="00C55237" w:rsidRDefault="002E67D2" w:rsidP="008E527D">
      <w:pPr>
        <w:pStyle w:val="ListParagraph"/>
        <w:numPr>
          <w:ilvl w:val="0"/>
          <w:numId w:val="3"/>
        </w:numPr>
        <w:spacing w:after="0" w:line="240" w:lineRule="auto"/>
        <w:rPr>
          <w:rFonts w:ascii="Arial" w:eastAsia="Times New Roman" w:hAnsi="Arial" w:cs="Arial"/>
          <w:color w:val="222222"/>
        </w:rPr>
      </w:pPr>
      <w:r w:rsidRPr="00C55237">
        <w:rPr>
          <w:rFonts w:ascii="Arial" w:eastAsia="Times New Roman" w:hAnsi="Arial" w:cs="Arial"/>
          <w:color w:val="222222"/>
        </w:rPr>
        <w:t xml:space="preserve">Based on multiple co-author comments on the lack of specificity of general MST markers like </w:t>
      </w:r>
      <w:proofErr w:type="spellStart"/>
      <w:r w:rsidRPr="00C55237">
        <w:rPr>
          <w:rFonts w:ascii="Arial" w:eastAsia="Times New Roman" w:hAnsi="Arial" w:cs="Arial"/>
          <w:color w:val="222222"/>
        </w:rPr>
        <w:t>GenBac</w:t>
      </w:r>
      <w:proofErr w:type="spellEnd"/>
      <w:r w:rsidRPr="00C55237">
        <w:rPr>
          <w:rFonts w:ascii="Arial" w:eastAsia="Times New Roman" w:hAnsi="Arial" w:cs="Arial"/>
          <w:color w:val="222222"/>
        </w:rPr>
        <w:t>, we d</w:t>
      </w:r>
      <w:r w:rsidR="008E527D" w:rsidRPr="00C55237">
        <w:rPr>
          <w:rFonts w:ascii="Arial" w:eastAsia="Times New Roman" w:hAnsi="Arial" w:cs="Arial"/>
          <w:color w:val="222222"/>
        </w:rPr>
        <w:t>ropp</w:t>
      </w:r>
      <w:r w:rsidRPr="00C55237">
        <w:rPr>
          <w:rFonts w:ascii="Arial" w:eastAsia="Times New Roman" w:hAnsi="Arial" w:cs="Arial"/>
          <w:color w:val="222222"/>
        </w:rPr>
        <w:t>ed</w:t>
      </w:r>
      <w:r w:rsidR="008E527D" w:rsidRPr="00C55237">
        <w:rPr>
          <w:rFonts w:ascii="Arial" w:eastAsia="Times New Roman" w:hAnsi="Arial" w:cs="Arial"/>
          <w:color w:val="222222"/>
        </w:rPr>
        <w:t xml:space="preserve"> general MST markers</w:t>
      </w:r>
      <w:r w:rsidRPr="00C55237">
        <w:rPr>
          <w:rFonts w:ascii="Arial" w:eastAsia="Times New Roman" w:hAnsi="Arial" w:cs="Arial"/>
          <w:color w:val="222222"/>
        </w:rPr>
        <w:t xml:space="preserve"> from the analysis.</w:t>
      </w:r>
    </w:p>
    <w:p w14:paraId="2AB01D73" w14:textId="69A68EAA" w:rsidR="00C53DC8" w:rsidRDefault="002E67D2" w:rsidP="002E67D2">
      <w:pPr>
        <w:pStyle w:val="ListParagraph"/>
        <w:numPr>
          <w:ilvl w:val="1"/>
          <w:numId w:val="3"/>
        </w:numPr>
        <w:spacing w:after="0" w:line="240" w:lineRule="auto"/>
        <w:rPr>
          <w:rFonts w:ascii="Arial" w:eastAsia="Times New Roman" w:hAnsi="Arial" w:cs="Arial"/>
          <w:color w:val="222222"/>
        </w:rPr>
      </w:pPr>
      <w:r w:rsidRPr="00C55237">
        <w:rPr>
          <w:rFonts w:ascii="Arial" w:eastAsia="Times New Roman" w:hAnsi="Arial" w:cs="Arial"/>
          <w:color w:val="222222"/>
        </w:rPr>
        <w:t>Previously, we</w:t>
      </w:r>
      <w:r w:rsidR="00C53DC8">
        <w:rPr>
          <w:rFonts w:ascii="Arial" w:eastAsia="Times New Roman" w:hAnsi="Arial" w:cs="Arial"/>
          <w:color w:val="222222"/>
        </w:rPr>
        <w:t xml:space="preserve"> were excluding three very high prevalence pathogens or MST markers from the aggregate outcome to make the analysis possible, but that biased estimates away from the null. We now include all pathogens/MST markers, especially because </w:t>
      </w:r>
      <w:proofErr w:type="spellStart"/>
      <w:r w:rsidR="00C53DC8">
        <w:rPr>
          <w:rFonts w:ascii="Arial" w:eastAsia="Times New Roman" w:hAnsi="Arial" w:cs="Arial"/>
          <w:color w:val="222222"/>
        </w:rPr>
        <w:t>GenBac</w:t>
      </w:r>
      <w:proofErr w:type="spellEnd"/>
      <w:r w:rsidR="00C53DC8">
        <w:rPr>
          <w:rFonts w:ascii="Arial" w:eastAsia="Times New Roman" w:hAnsi="Arial" w:cs="Arial"/>
          <w:color w:val="222222"/>
        </w:rPr>
        <w:t>, which has been excluded for being a general MST marker, was the highest prevalence markers that was primarily causing the analysis issue of close to 100% prevalence in some aggregate outcomes.</w:t>
      </w:r>
    </w:p>
    <w:p w14:paraId="49635F32" w14:textId="26CC4CAF" w:rsidR="002E67D2" w:rsidRPr="00C55237" w:rsidRDefault="002E67D2" w:rsidP="008E527D">
      <w:pPr>
        <w:pStyle w:val="ListParagraph"/>
        <w:numPr>
          <w:ilvl w:val="0"/>
          <w:numId w:val="3"/>
        </w:numPr>
        <w:spacing w:after="0" w:line="240" w:lineRule="auto"/>
        <w:rPr>
          <w:rFonts w:ascii="Arial" w:eastAsia="Times New Roman" w:hAnsi="Arial" w:cs="Arial"/>
          <w:color w:val="222222"/>
        </w:rPr>
      </w:pPr>
      <w:r w:rsidRPr="00C55237">
        <w:rPr>
          <w:rFonts w:ascii="Arial" w:eastAsia="Times New Roman" w:hAnsi="Arial" w:cs="Arial"/>
          <w:color w:val="222222"/>
        </w:rPr>
        <w:t xml:space="preserve">Slight </w:t>
      </w:r>
      <w:r w:rsidR="00C53DC8">
        <w:rPr>
          <w:rFonts w:ascii="Arial" w:eastAsia="Times New Roman" w:hAnsi="Arial" w:cs="Arial"/>
          <w:color w:val="222222"/>
        </w:rPr>
        <w:t xml:space="preserve">changes in adjusted results due to updated covariate cleaning that occurred in </w:t>
      </w:r>
      <w:r w:rsidR="0028585C">
        <w:rPr>
          <w:rFonts w:ascii="Arial" w:eastAsia="Times New Roman" w:hAnsi="Arial" w:cs="Arial"/>
          <w:color w:val="222222"/>
        </w:rPr>
        <w:t>completing the second manuscript (associations between environmental measures and child health outcomes).</w:t>
      </w:r>
    </w:p>
    <w:p w14:paraId="5C1AE915" w14:textId="103FA5FD" w:rsidR="006B4C6B" w:rsidRPr="00C55237" w:rsidRDefault="0028585C" w:rsidP="008E527D">
      <w:pPr>
        <w:pStyle w:val="ListParagraph"/>
        <w:numPr>
          <w:ilvl w:val="0"/>
          <w:numId w:val="3"/>
        </w:numPr>
        <w:spacing w:after="0" w:line="240" w:lineRule="auto"/>
        <w:rPr>
          <w:rFonts w:ascii="Arial" w:eastAsia="Times New Roman" w:hAnsi="Arial" w:cs="Arial"/>
          <w:color w:val="222222"/>
        </w:rPr>
      </w:pPr>
      <w:r>
        <w:rPr>
          <w:rFonts w:ascii="Arial" w:eastAsia="Times New Roman" w:hAnsi="Arial" w:cs="Arial"/>
          <w:color w:val="222222"/>
        </w:rPr>
        <w:t>We d</w:t>
      </w:r>
      <w:r w:rsidR="006B4C6B" w:rsidRPr="00C55237">
        <w:rPr>
          <w:rFonts w:ascii="Arial" w:eastAsia="Times New Roman" w:hAnsi="Arial" w:cs="Arial"/>
          <w:color w:val="222222"/>
        </w:rPr>
        <w:t>ropped “vote counting”</w:t>
      </w:r>
      <w:r>
        <w:rPr>
          <w:rFonts w:ascii="Arial" w:eastAsia="Times New Roman" w:hAnsi="Arial" w:cs="Arial"/>
          <w:color w:val="222222"/>
        </w:rPr>
        <w:t xml:space="preserve"> of the number of significant results as well as non-significant but protective results on based on Cochrane guidance to avoid this practice.</w:t>
      </w:r>
    </w:p>
    <w:p w14:paraId="30B4EC92" w14:textId="17007E18" w:rsidR="006B4C6B" w:rsidRPr="00FD260A" w:rsidRDefault="006B4C6B" w:rsidP="006B4C6B">
      <w:pPr>
        <w:spacing w:after="0" w:line="240" w:lineRule="auto"/>
        <w:rPr>
          <w:rFonts w:ascii="Verdana" w:eastAsia="Times New Roman" w:hAnsi="Verdana" w:cs="Calibri"/>
          <w:color w:val="222222"/>
        </w:rPr>
      </w:pPr>
    </w:p>
    <w:p w14:paraId="7339FA5C" w14:textId="77777777" w:rsidR="00F1501A" w:rsidRPr="00FD260A" w:rsidRDefault="00F1501A" w:rsidP="00F1501A">
      <w:pPr>
        <w:pStyle w:val="CommentText"/>
      </w:pPr>
    </w:p>
    <w:p w14:paraId="2E793CB8" w14:textId="30147F1F" w:rsidR="00F1501A" w:rsidRPr="00FD260A" w:rsidRDefault="00F1501A" w:rsidP="00F1501A">
      <w:pPr>
        <w:pStyle w:val="Heading1"/>
      </w:pPr>
      <w:r w:rsidRPr="00FD260A">
        <w:t>Jacky Knee</w:t>
      </w:r>
    </w:p>
    <w:p w14:paraId="372F5915" w14:textId="77777777" w:rsidR="00F1501A" w:rsidRPr="00FD260A" w:rsidRDefault="00F1501A" w:rsidP="00F1501A">
      <w:pPr>
        <w:pStyle w:val="CommentText"/>
      </w:pPr>
    </w:p>
    <w:p w14:paraId="6157D6D9" w14:textId="12468A2B" w:rsidR="00F1501A" w:rsidRPr="009B31F8" w:rsidRDefault="00F1501A" w:rsidP="00F1501A">
      <w:pPr>
        <w:pStyle w:val="CommentText"/>
        <w:rPr>
          <w:rFonts w:ascii="Arial" w:hAnsi="Arial" w:cs="Arial"/>
          <w:sz w:val="22"/>
          <w:szCs w:val="22"/>
        </w:rPr>
      </w:pPr>
      <w:r w:rsidRPr="009B31F8">
        <w:rPr>
          <w:rFonts w:ascii="Arial" w:hAnsi="Arial" w:cs="Arial"/>
          <w:sz w:val="22"/>
          <w:szCs w:val="22"/>
        </w:rPr>
        <w:t xml:space="preserve">This is something I should have mentioned in a review of the analysis plan way back when (so feel free to ignore) but might it make sense for human MST markers to be the primary outcome? Just thinking that most of the interventions in the included study would have limited impact on animal </w:t>
      </w:r>
      <w:proofErr w:type="spellStart"/>
      <w:r w:rsidRPr="009B31F8">
        <w:rPr>
          <w:rFonts w:ascii="Arial" w:hAnsi="Arial" w:cs="Arial"/>
          <w:sz w:val="22"/>
          <w:szCs w:val="22"/>
        </w:rPr>
        <w:t>faecal</w:t>
      </w:r>
      <w:proofErr w:type="spellEnd"/>
      <w:r w:rsidRPr="009B31F8">
        <w:rPr>
          <w:rFonts w:ascii="Arial" w:hAnsi="Arial" w:cs="Arial"/>
          <w:sz w:val="22"/>
          <w:szCs w:val="22"/>
        </w:rPr>
        <w:t xml:space="preserve"> contamination (aside from the scoop provided with WASH-B), plus lumping them together sort of negates the rationale for using them in the first place.</w:t>
      </w:r>
    </w:p>
    <w:p w14:paraId="64B4797D" w14:textId="31F024A5" w:rsidR="00F1501A" w:rsidRPr="00CE596A" w:rsidRDefault="00FD260A" w:rsidP="00FD260A">
      <w:pPr>
        <w:pStyle w:val="CommentText"/>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Because we pre-registered it in the analysis plan, we should keep any MST marker as a primary outcome. We had pre-registered that as the primary outcome because we did not </w:t>
      </w:r>
      <w:r w:rsidRPr="00FD260A">
        <w:rPr>
          <w:rFonts w:ascii="Verdana" w:eastAsia="Times New Roman" w:hAnsi="Verdana" w:cs="Calibri"/>
          <w:color w:val="5B9BD5" w:themeColor="accent5"/>
        </w:rPr>
        <w:lastRenderedPageBreak/>
        <w:t>know a priori that we would catch only sanitation trials. Water treatment and handwashing can reduce animal markers, so we analyzed human</w:t>
      </w:r>
      <w:r w:rsidR="002B5183">
        <w:rPr>
          <w:rFonts w:ascii="Verdana" w:eastAsia="Times New Roman" w:hAnsi="Verdana" w:cs="Calibri"/>
          <w:color w:val="5B9BD5" w:themeColor="accent5"/>
        </w:rPr>
        <w:t xml:space="preserve"> and </w:t>
      </w:r>
      <w:r w:rsidRPr="00FD260A">
        <w:rPr>
          <w:rFonts w:ascii="Verdana" w:eastAsia="Times New Roman" w:hAnsi="Verdana" w:cs="Calibri"/>
          <w:color w:val="5B9BD5" w:themeColor="accent5"/>
        </w:rPr>
        <w:t>animal MST markers together (pre-specified) as well as separately.</w:t>
      </w:r>
      <w:r w:rsidR="00CE596A">
        <w:rPr>
          <w:rFonts w:ascii="Verdana" w:eastAsia="Times New Roman" w:hAnsi="Verdana" w:cs="Calibri"/>
          <w:color w:val="5B9BD5" w:themeColor="accent5"/>
        </w:rPr>
        <w:t xml:space="preserve"> </w:t>
      </w:r>
      <w:r w:rsidRPr="00FD260A">
        <w:rPr>
          <w:rFonts w:ascii="Verdana" w:eastAsia="Times New Roman" w:hAnsi="Verdana" w:cs="Calibri"/>
          <w:color w:val="5B9BD5" w:themeColor="accent5"/>
        </w:rPr>
        <w:t>But we’ve tried to better highlight in the results sections the human MST results and how they are the outcome expected to be affected more by interventions.</w:t>
      </w:r>
    </w:p>
    <w:p w14:paraId="4010D8BE" w14:textId="77777777" w:rsidR="00F1501A" w:rsidRPr="00FD260A" w:rsidRDefault="00F1501A" w:rsidP="00B23A67">
      <w:pPr>
        <w:pStyle w:val="Heading1"/>
      </w:pPr>
    </w:p>
    <w:p w14:paraId="15CC638F" w14:textId="7AA5A751" w:rsidR="00B23A67" w:rsidRPr="00FD260A" w:rsidRDefault="00B23A67" w:rsidP="00B23A67">
      <w:pPr>
        <w:pStyle w:val="Heading1"/>
      </w:pPr>
      <w:r w:rsidRPr="00FD260A">
        <w:t>Amy Pickering</w:t>
      </w:r>
    </w:p>
    <w:p w14:paraId="538B2F45" w14:textId="6B6F90E0" w:rsidR="006B4C6B" w:rsidRPr="00FD260A" w:rsidRDefault="006B4C6B" w:rsidP="006B4C6B">
      <w:pPr>
        <w:spacing w:after="0" w:line="240" w:lineRule="auto"/>
        <w:rPr>
          <w:rFonts w:ascii="Verdana" w:eastAsia="Times New Roman" w:hAnsi="Verdana" w:cs="Calibri"/>
          <w:color w:val="222222"/>
        </w:rPr>
      </w:pPr>
    </w:p>
    <w:p w14:paraId="27F8FE91" w14:textId="77777777" w:rsidR="00EB0C85" w:rsidRPr="00FD260A" w:rsidRDefault="00EB0C85" w:rsidP="00EB0C85">
      <w:pPr>
        <w:spacing w:after="0" w:line="240" w:lineRule="auto"/>
        <w:ind w:left="360"/>
        <w:textAlignment w:val="center"/>
        <w:rPr>
          <w:rFonts w:ascii="Verdana" w:eastAsia="Times New Roman" w:hAnsi="Verdana" w:cs="Calibri"/>
          <w:color w:val="222222"/>
        </w:rPr>
      </w:pPr>
    </w:p>
    <w:p w14:paraId="27C6E630" w14:textId="77777777" w:rsidR="00B23A67" w:rsidRPr="00FD260A" w:rsidRDefault="00B23A67" w:rsidP="00B23A67">
      <w:pPr>
        <w:pStyle w:val="CommentText"/>
        <w:rPr>
          <w:rFonts w:ascii="Arial" w:hAnsi="Arial" w:cs="Arial"/>
          <w:sz w:val="22"/>
          <w:szCs w:val="22"/>
        </w:rPr>
      </w:pPr>
      <w:r w:rsidRPr="00FD260A">
        <w:rPr>
          <w:rFonts w:ascii="Arial" w:hAnsi="Arial" w:cs="Arial"/>
          <w:sz w:val="22"/>
          <w:szCs w:val="22"/>
        </w:rPr>
        <w:t xml:space="preserve">Editors/reviewers might ask why this is a separate paper- I could see them thinking at a big picture level, there is limited new insight from combining five studies that had no/little impact of WASH interventions on env pathogens to conclude there is no/little impact of WASH interventions on env pathogens. </w:t>
      </w:r>
    </w:p>
    <w:p w14:paraId="39F52310" w14:textId="7DE9766B" w:rsidR="00B23A67" w:rsidRPr="00FD260A" w:rsidRDefault="00FD260A" w:rsidP="00B23A67">
      <w:pPr>
        <w:pStyle w:val="CommentText"/>
      </w:pPr>
      <w:r w:rsidRPr="00FD260A">
        <w:rPr>
          <w:rFonts w:ascii="Verdana" w:eastAsia="Times New Roman" w:hAnsi="Verdana" w:cs="Calibri"/>
          <w:color w:val="5B9BD5" w:themeColor="accent5"/>
        </w:rPr>
        <w:t xml:space="preserve">That is a concern of ours as well, and we separated partly due to the volume of results and the difference between evaluating randomized interventions and the observational analysis nested within studies. We plan on submitting the manuscripts together and would be </w:t>
      </w:r>
      <w:proofErr w:type="gramStart"/>
      <w:r w:rsidRPr="00FD260A">
        <w:rPr>
          <w:rFonts w:ascii="Verdana" w:eastAsia="Times New Roman" w:hAnsi="Verdana" w:cs="Calibri"/>
          <w:color w:val="5B9BD5" w:themeColor="accent5"/>
        </w:rPr>
        <w:t>open</w:t>
      </w:r>
      <w:proofErr w:type="gramEnd"/>
      <w:r w:rsidRPr="00FD260A">
        <w:rPr>
          <w:rFonts w:ascii="Verdana" w:eastAsia="Times New Roman" w:hAnsi="Verdana" w:cs="Calibri"/>
          <w:color w:val="5B9BD5" w:themeColor="accent5"/>
        </w:rPr>
        <w:t xml:space="preserve"> to combining the results if the journal editor asks for it or if the split manuscripts get rejected. </w:t>
      </w:r>
    </w:p>
    <w:p w14:paraId="17D31471" w14:textId="77777777" w:rsidR="008C6E63" w:rsidRPr="00FD260A" w:rsidRDefault="008C6E63" w:rsidP="008C6E63">
      <w:pPr>
        <w:pStyle w:val="CommentText"/>
        <w:rPr>
          <w:rFonts w:ascii="Arial" w:hAnsi="Arial" w:cs="Arial"/>
          <w:sz w:val="22"/>
          <w:szCs w:val="22"/>
        </w:rPr>
      </w:pPr>
      <w:r w:rsidRPr="00FD260A">
        <w:rPr>
          <w:rFonts w:ascii="Arial" w:hAnsi="Arial" w:cs="Arial"/>
          <w:sz w:val="22"/>
          <w:szCs w:val="22"/>
        </w:rPr>
        <w:t xml:space="preserve">Not sure it makes sense to combine human, animal, and general into a composite. Would suggest at least removing general from the composite. </w:t>
      </w:r>
    </w:p>
    <w:p w14:paraId="1E24D837" w14:textId="5BF233E1" w:rsidR="008C6E63" w:rsidRPr="00FD260A" w:rsidRDefault="00FD260A" w:rsidP="008C6E63">
      <w:pPr>
        <w:pStyle w:val="CommentText"/>
      </w:pPr>
      <w:r w:rsidRPr="00FD260A">
        <w:rPr>
          <w:rFonts w:ascii="Verdana" w:eastAsia="Times New Roman" w:hAnsi="Verdana" w:cs="Calibri"/>
          <w:color w:val="5B9BD5" w:themeColor="accent5"/>
        </w:rPr>
        <w:t xml:space="preserve">We have removed general MST markers from the whole analysis based on comments from yourself and Ali </w:t>
      </w:r>
    </w:p>
    <w:p w14:paraId="1FFBBECA" w14:textId="391EB623" w:rsidR="008C6E63" w:rsidRPr="00FD260A" w:rsidRDefault="008C6E63" w:rsidP="00B23A67">
      <w:pPr>
        <w:pStyle w:val="CommentText"/>
      </w:pPr>
    </w:p>
    <w:p w14:paraId="6FCB36BD" w14:textId="06FE1593" w:rsidR="008C6E63" w:rsidRPr="00FD260A" w:rsidRDefault="008C6E63" w:rsidP="008C6E63">
      <w:pPr>
        <w:pStyle w:val="Heading1"/>
      </w:pPr>
      <w:r w:rsidRPr="00FD260A">
        <w:t>Steve Luby</w:t>
      </w:r>
    </w:p>
    <w:p w14:paraId="6A3E36DA" w14:textId="77777777" w:rsidR="008C6E63" w:rsidRPr="00FD260A" w:rsidRDefault="008C6E63" w:rsidP="00B23A67">
      <w:pPr>
        <w:pStyle w:val="CommentText"/>
      </w:pPr>
    </w:p>
    <w:p w14:paraId="4E80C40C" w14:textId="77777777" w:rsidR="008C6E63" w:rsidRPr="00CE596A" w:rsidRDefault="008C6E63" w:rsidP="008C6E63">
      <w:pPr>
        <w:pStyle w:val="CommentText"/>
        <w:rPr>
          <w:rFonts w:ascii="Arial" w:hAnsi="Arial" w:cs="Arial"/>
          <w:sz w:val="22"/>
          <w:szCs w:val="22"/>
        </w:rPr>
      </w:pPr>
      <w:r w:rsidRPr="00CE596A">
        <w:rPr>
          <w:rFonts w:ascii="Arial" w:hAnsi="Arial" w:cs="Arial"/>
          <w:sz w:val="22"/>
          <w:szCs w:val="22"/>
        </w:rPr>
        <w:t>Indeed, given the heterogeneity of study settings the rationale for pooling is suspect. It implies that there is an underlying universal phenomenon that we are measuring. We would expect different interventions to have different impacts in different contexts depending on number of local variables.</w:t>
      </w:r>
    </w:p>
    <w:p w14:paraId="7231E036" w14:textId="139BEC79" w:rsidR="008C6E63" w:rsidRPr="00FD260A" w:rsidRDefault="00CE596A" w:rsidP="008C6E63">
      <w:pPr>
        <w:pStyle w:val="CommentText"/>
      </w:pPr>
      <w:r w:rsidRPr="00CE596A">
        <w:rPr>
          <w:rFonts w:ascii="Verdana" w:eastAsia="Times New Roman" w:hAnsi="Verdana" w:cs="Calibri"/>
          <w:color w:val="5B9BD5" w:themeColor="accent5"/>
        </w:rPr>
        <w:t xml:space="preserve">We agree with the limitations in pooling across diverse study </w:t>
      </w:r>
      <w:proofErr w:type="gramStart"/>
      <w:r w:rsidRPr="00CE596A">
        <w:rPr>
          <w:rFonts w:ascii="Verdana" w:eastAsia="Times New Roman" w:hAnsi="Verdana" w:cs="Calibri"/>
          <w:color w:val="5B9BD5" w:themeColor="accent5"/>
        </w:rPr>
        <w:t>settings, and</w:t>
      </w:r>
      <w:proofErr w:type="gramEnd"/>
      <w:r w:rsidRPr="00CE596A">
        <w:rPr>
          <w:rFonts w:ascii="Verdana" w:eastAsia="Times New Roman" w:hAnsi="Verdana" w:cs="Calibri"/>
          <w:color w:val="5B9BD5" w:themeColor="accent5"/>
        </w:rPr>
        <w:t xml:space="preserve"> have added to the limitation section the assumption that pooling is reasonable, but we believe that reporting pooled estimates alongside the study-specific estimates provides a useful summary measure across studies if effects are consistent. We use random effects models so that we aren’t assuming there is a universal phenomenon that we are measuring, but instead there is a distribution of intervention effects. The heterogeneity in intervention effects was insignificant when there were &gt;4 estimates to pool (largely because of null or near null effects), so pooling isn’t obscuring large differences in individual study effects.</w:t>
      </w:r>
      <w:r w:rsidRPr="00FD260A">
        <w:rPr>
          <w:rFonts w:ascii="Verdana" w:eastAsia="Times New Roman" w:hAnsi="Verdana" w:cs="Calibri"/>
          <w:color w:val="5B9BD5" w:themeColor="accent5"/>
        </w:rPr>
        <w:t xml:space="preserve"> </w:t>
      </w:r>
    </w:p>
    <w:p w14:paraId="30493D17" w14:textId="04B9641D" w:rsidR="00B52B43" w:rsidRPr="00FD260A" w:rsidRDefault="00B52B43" w:rsidP="008C6E63">
      <w:pPr>
        <w:pStyle w:val="CommentText"/>
      </w:pPr>
    </w:p>
    <w:p w14:paraId="2A8F2C10" w14:textId="77777777" w:rsidR="00B52B43" w:rsidRPr="00CE596A" w:rsidRDefault="00B52B43" w:rsidP="00B52B43">
      <w:pPr>
        <w:pStyle w:val="CommentText"/>
        <w:rPr>
          <w:rFonts w:ascii="Arial" w:hAnsi="Arial" w:cs="Arial"/>
          <w:sz w:val="22"/>
          <w:szCs w:val="22"/>
        </w:rPr>
      </w:pPr>
      <w:r w:rsidRPr="00CE596A">
        <w:rPr>
          <w:rFonts w:ascii="Arial" w:hAnsi="Arial" w:cs="Arial"/>
          <w:sz w:val="22"/>
          <w:szCs w:val="22"/>
        </w:rPr>
        <w:t>Although pooling all of this does increase statistical power, it does not seem to me to be intellectually coherent to combine very different interventions and different media.</w:t>
      </w:r>
    </w:p>
    <w:p w14:paraId="7B34FEF6" w14:textId="143447A0" w:rsidR="00B52B43" w:rsidRPr="00FD260A" w:rsidRDefault="00CE596A" w:rsidP="00B52B43">
      <w:pPr>
        <w:pStyle w:val="CommentText"/>
        <w:rPr>
          <w:noProof/>
        </w:rPr>
      </w:pPr>
      <w:r w:rsidRPr="00CE596A">
        <w:rPr>
          <w:rFonts w:ascii="Verdana" w:eastAsia="Times New Roman" w:hAnsi="Verdana" w:cs="Calibri"/>
          <w:color w:val="5B9BD5" w:themeColor="accent5"/>
        </w:rPr>
        <w:lastRenderedPageBreak/>
        <w:t>We have added a discussion of this to the limitations, as we agree with the tradeoffs you both discuss. We also discuss pathogen-specific effects in specific types of environmental samples below. With 8 sample types and 38 pathogen/MST targets, the aggregated measures allow us to distill the complexity while the pathogen-specific and sample-specific estimates then provide the nuance.</w:t>
      </w:r>
    </w:p>
    <w:p w14:paraId="5C4B413F" w14:textId="24FFE56F" w:rsidR="00B52B43" w:rsidRPr="00FD260A" w:rsidRDefault="00B52B43" w:rsidP="00B52B43">
      <w:pPr>
        <w:pStyle w:val="Heading1"/>
      </w:pPr>
      <w:r w:rsidRPr="00FD260A">
        <w:t>Jade Benjamin-Chung</w:t>
      </w:r>
    </w:p>
    <w:p w14:paraId="2527E43B" w14:textId="77777777" w:rsidR="00B51B68" w:rsidRPr="00FD260A" w:rsidRDefault="00B51B68" w:rsidP="00FD260A">
      <w:pPr>
        <w:rPr>
          <w:rStyle w:val="Strong"/>
          <w:rFonts w:ascii="Arial" w:hAnsi="Arial" w:cs="Arial"/>
          <w:b w:val="0"/>
          <w:bCs w:val="0"/>
        </w:rPr>
      </w:pPr>
      <w:r w:rsidRPr="00FD260A">
        <w:rPr>
          <w:rStyle w:val="Strong"/>
          <w:rFonts w:ascii="Arial" w:hAnsi="Arial" w:cs="Arial"/>
          <w:b w:val="0"/>
          <w:bCs w:val="0"/>
        </w:rPr>
        <w:t xml:space="preserve">An advantage of measuring pathogens instead of indicators is that it could elucidate impacts on specific environmental pathways, which vary from pathogen to pathogen, and which interventions may intervene on differently. But by emphasizing the results pooled across all sample types and pathogens, you </w:t>
      </w:r>
      <w:proofErr w:type="gramStart"/>
      <w:r w:rsidRPr="00FD260A">
        <w:rPr>
          <w:rStyle w:val="Strong"/>
          <w:rFonts w:ascii="Arial" w:hAnsi="Arial" w:cs="Arial"/>
          <w:b w:val="0"/>
          <w:bCs w:val="0"/>
        </w:rPr>
        <w:t>aren’t able to</w:t>
      </w:r>
      <w:proofErr w:type="gramEnd"/>
      <w:r w:rsidRPr="00FD260A">
        <w:rPr>
          <w:rStyle w:val="Strong"/>
          <w:rFonts w:ascii="Arial" w:hAnsi="Arial" w:cs="Arial"/>
          <w:b w:val="0"/>
          <w:bCs w:val="0"/>
        </w:rPr>
        <w:t xml:space="preserve"> speak to that. This seems like it should at least be mentioned as a limitation.  </w:t>
      </w:r>
    </w:p>
    <w:p w14:paraId="08119258" w14:textId="4EE78574" w:rsidR="00B51B68" w:rsidRPr="00FD260A" w:rsidRDefault="00B51B68" w:rsidP="00B51B68"/>
    <w:p w14:paraId="10C549E1" w14:textId="1FA4FC41" w:rsidR="00B51B68" w:rsidRPr="00FD260A" w:rsidRDefault="00CE596A" w:rsidP="00B51B68">
      <w:pPr>
        <w:pStyle w:val="CommentText"/>
        <w:rPr>
          <w:noProof/>
        </w:rPr>
      </w:pPr>
      <w:r w:rsidRPr="00CE596A">
        <w:rPr>
          <w:rFonts w:ascii="Verdana" w:eastAsia="Times New Roman" w:hAnsi="Verdana" w:cs="Calibri"/>
          <w:color w:val="5B9BD5" w:themeColor="accent5"/>
        </w:rPr>
        <w:t>We have added a discussion of this to the limitations, as we agree with the tradeoffs you both discuss. We also discuss pathogen-specific effects in specific types of environmental samples below. With 8 sample types and 38 pathogen/MST targets, the aggregated measures allow us to distill the complexity while the pathogen-specific and sample-specific estimates then provide the nuance</w:t>
      </w:r>
    </w:p>
    <w:p w14:paraId="22F7A017" w14:textId="77777777" w:rsidR="00B51B68" w:rsidRPr="00FD260A" w:rsidRDefault="00B51B68" w:rsidP="00B51B68"/>
    <w:p w14:paraId="57426E52" w14:textId="77777777" w:rsidR="00B52B43" w:rsidRPr="00FD260A" w:rsidRDefault="00B52B43" w:rsidP="008C6E63">
      <w:pPr>
        <w:pStyle w:val="CommentText"/>
        <w:rPr>
          <w:noProof/>
        </w:rPr>
      </w:pPr>
    </w:p>
    <w:p w14:paraId="7DAB98C8" w14:textId="30D769CD" w:rsidR="00EB0C85" w:rsidRPr="00FD260A" w:rsidRDefault="00EB0C85" w:rsidP="00EB0C85">
      <w:pPr>
        <w:pStyle w:val="Heading1"/>
      </w:pPr>
      <w:r w:rsidRPr="00FD260A">
        <w:t>Kara Nelson</w:t>
      </w:r>
    </w:p>
    <w:p w14:paraId="3AFEFFEB" w14:textId="63ACA30D" w:rsidR="0099249E" w:rsidRPr="00FD260A" w:rsidRDefault="0099249E" w:rsidP="0099249E"/>
    <w:p w14:paraId="40B4815C" w14:textId="77777777" w:rsidR="0099249E" w:rsidRPr="00FD260A" w:rsidRDefault="0099249E" w:rsidP="0099249E">
      <w:pPr>
        <w:spacing w:after="0" w:line="240" w:lineRule="auto"/>
        <w:rPr>
          <w:rFonts w:ascii="Arial" w:eastAsia="Times New Roman" w:hAnsi="Arial" w:cs="Arial"/>
          <w:color w:val="222222"/>
        </w:rPr>
      </w:pPr>
      <w:r w:rsidRPr="00FD260A">
        <w:rPr>
          <w:rFonts w:ascii="Arial" w:eastAsia="Times New Roman" w:hAnsi="Arial" w:cs="Arial"/>
          <w:color w:val="222222"/>
        </w:rPr>
        <w:t xml:space="preserve">I find the results quite powerful, especially given all the sub-analyses and the different ways you present the results in the supplemental tables and figures (which I think address Steve’s concerns about the conceptual basis for pooling across so many factors, </w:t>
      </w:r>
      <w:proofErr w:type="spellStart"/>
      <w:r w:rsidRPr="00FD260A">
        <w:rPr>
          <w:rFonts w:ascii="Arial" w:eastAsia="Times New Roman" w:hAnsi="Arial" w:cs="Arial"/>
          <w:color w:val="222222"/>
        </w:rPr>
        <w:t>bc</w:t>
      </w:r>
      <w:proofErr w:type="spellEnd"/>
      <w:r w:rsidRPr="00FD260A">
        <w:rPr>
          <w:rFonts w:ascii="Arial" w:eastAsia="Times New Roman" w:hAnsi="Arial" w:cs="Arial"/>
          <w:color w:val="222222"/>
        </w:rPr>
        <w:t xml:space="preserve"> the results are also presented with </w:t>
      </w:r>
      <w:proofErr w:type="gramStart"/>
      <w:r w:rsidRPr="00FD260A">
        <w:rPr>
          <w:rFonts w:ascii="Arial" w:eastAsia="Times New Roman" w:hAnsi="Arial" w:cs="Arial"/>
          <w:color w:val="222222"/>
        </w:rPr>
        <w:t>many different ways</w:t>
      </w:r>
      <w:proofErr w:type="gramEnd"/>
      <w:r w:rsidRPr="00FD260A">
        <w:rPr>
          <w:rFonts w:ascii="Arial" w:eastAsia="Times New Roman" w:hAnsi="Arial" w:cs="Arial"/>
          <w:color w:val="222222"/>
        </w:rPr>
        <w:t xml:space="preserve"> of pooling).  I added a few minor comments to one of the middle versions, attached.  From my perspective on pathogen measurement and the engineering side, I’ll add a few other thoughts here:</w:t>
      </w:r>
    </w:p>
    <w:p w14:paraId="67D3794A" w14:textId="710998A9" w:rsidR="0099249E" w:rsidRPr="00FD260A" w:rsidRDefault="0099249E" w:rsidP="0099249E">
      <w:pPr>
        <w:numPr>
          <w:ilvl w:val="0"/>
          <w:numId w:val="2"/>
        </w:numPr>
        <w:spacing w:after="0" w:line="240" w:lineRule="auto"/>
        <w:textAlignment w:val="center"/>
        <w:rPr>
          <w:rFonts w:ascii="Calibri" w:eastAsia="Times New Roman" w:hAnsi="Calibri" w:cs="Calibri"/>
          <w:color w:val="222222"/>
        </w:rPr>
      </w:pPr>
      <w:r w:rsidRPr="00FD260A">
        <w:rPr>
          <w:rFonts w:ascii="Arial" w:eastAsia="Times New Roman" w:hAnsi="Arial" w:cs="Arial"/>
          <w:color w:val="222222"/>
        </w:rPr>
        <w:t>One type of sub-group analysis that you didn’t do is looking at the time after intervention, to explore whether there is more effect later (either due to higher compliance, or the RNA/DNA signal or the helminth eggs degrading in the environment).  Is there a reason that isn’t possible to do? </w:t>
      </w:r>
    </w:p>
    <w:p w14:paraId="18328442" w14:textId="3264339C" w:rsidR="00BE51C0" w:rsidRPr="00FD260A" w:rsidRDefault="00BE51C0" w:rsidP="00BE51C0">
      <w:pPr>
        <w:spacing w:after="0" w:line="240" w:lineRule="auto"/>
        <w:textAlignment w:val="center"/>
        <w:rPr>
          <w:rFonts w:ascii="Arial" w:eastAsia="Times New Roman" w:hAnsi="Arial" w:cs="Arial"/>
          <w:color w:val="222222"/>
        </w:rPr>
      </w:pPr>
    </w:p>
    <w:p w14:paraId="3720ADF5" w14:textId="680152A9" w:rsidR="00BE51C0" w:rsidRPr="00FD260A" w:rsidRDefault="00BE51C0" w:rsidP="00BE51C0">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The primary issue </w:t>
      </w:r>
      <w:r w:rsidR="00353932" w:rsidRPr="00FD260A">
        <w:rPr>
          <w:rFonts w:ascii="Verdana" w:eastAsia="Times New Roman" w:hAnsi="Verdana" w:cs="Calibri"/>
          <w:color w:val="5B9BD5" w:themeColor="accent5"/>
        </w:rPr>
        <w:t xml:space="preserve">with a time-after intervention subgroup analysis </w:t>
      </w:r>
      <w:r w:rsidRPr="00FD260A">
        <w:rPr>
          <w:rFonts w:ascii="Verdana" w:eastAsia="Times New Roman" w:hAnsi="Verdana" w:cs="Calibri"/>
          <w:color w:val="5B9BD5" w:themeColor="accent5"/>
        </w:rPr>
        <w:t>is</w:t>
      </w:r>
      <w:r w:rsidR="00353932" w:rsidRPr="00FD260A">
        <w:rPr>
          <w:rFonts w:ascii="Verdana" w:eastAsia="Times New Roman" w:hAnsi="Verdana" w:cs="Calibri"/>
          <w:color w:val="5B9BD5" w:themeColor="accent5"/>
        </w:rPr>
        <w:t xml:space="preserve"> that, within studies, there is limited variation in the time between intervention delivery and sampling, and across studies there is too much variation in types of samples and microbial targets to assess if differences are due to the time after the intervention. Additionally, we didn’t include this subgroup analysis in the analysis plan.</w:t>
      </w:r>
    </w:p>
    <w:p w14:paraId="491CB3A6" w14:textId="77777777" w:rsidR="00BE51C0" w:rsidRPr="00FD260A" w:rsidRDefault="00BE51C0" w:rsidP="00BE51C0">
      <w:pPr>
        <w:spacing w:after="0" w:line="240" w:lineRule="auto"/>
        <w:textAlignment w:val="center"/>
        <w:rPr>
          <w:rFonts w:ascii="Arial" w:eastAsia="Times New Roman" w:hAnsi="Arial" w:cs="Arial"/>
          <w:color w:val="222222"/>
        </w:rPr>
      </w:pPr>
    </w:p>
    <w:p w14:paraId="13C97397" w14:textId="77777777" w:rsidR="00BE51C0" w:rsidRPr="00FD260A" w:rsidRDefault="00BE51C0" w:rsidP="00BE51C0">
      <w:pPr>
        <w:spacing w:after="0" w:line="240" w:lineRule="auto"/>
        <w:textAlignment w:val="center"/>
        <w:rPr>
          <w:rFonts w:ascii="Calibri" w:eastAsia="Times New Roman" w:hAnsi="Calibri" w:cs="Calibri"/>
          <w:color w:val="222222"/>
        </w:rPr>
      </w:pPr>
    </w:p>
    <w:p w14:paraId="36E1080A" w14:textId="0E09DC61" w:rsidR="0099249E" w:rsidRPr="00FD260A" w:rsidRDefault="0099249E" w:rsidP="0099249E">
      <w:pPr>
        <w:numPr>
          <w:ilvl w:val="0"/>
          <w:numId w:val="2"/>
        </w:numPr>
        <w:spacing w:after="0" w:line="240" w:lineRule="auto"/>
        <w:textAlignment w:val="center"/>
        <w:rPr>
          <w:rFonts w:ascii="Calibri" w:eastAsia="Times New Roman" w:hAnsi="Calibri" w:cs="Calibri"/>
          <w:color w:val="222222"/>
        </w:rPr>
      </w:pPr>
      <w:r w:rsidRPr="00FD260A">
        <w:rPr>
          <w:rFonts w:ascii="Arial" w:eastAsia="Times New Roman" w:hAnsi="Arial" w:cs="Arial"/>
          <w:color w:val="222222"/>
        </w:rPr>
        <w:t>Are there any other take-aways about the utility of specific pathogen targets measured?  I’m referring to the data in Table 2 and Table S4 - emphasizing the </w:t>
      </w:r>
      <w:r w:rsidRPr="00FD260A">
        <w:rPr>
          <w:rFonts w:ascii="Arial" w:eastAsia="Times New Roman" w:hAnsi="Arial" w:cs="Arial"/>
          <w:color w:val="222222"/>
          <w:u w:val="single"/>
        </w:rPr>
        <w:t>abundance</w:t>
      </w:r>
      <w:r w:rsidRPr="00FD260A">
        <w:rPr>
          <w:rFonts w:ascii="Arial" w:eastAsia="Times New Roman" w:hAnsi="Arial" w:cs="Arial"/>
          <w:color w:val="222222"/>
        </w:rPr>
        <w:t> and </w:t>
      </w:r>
      <w:r w:rsidRPr="00FD260A">
        <w:rPr>
          <w:rFonts w:ascii="Arial" w:eastAsia="Times New Roman" w:hAnsi="Arial" w:cs="Arial"/>
          <w:color w:val="222222"/>
          <w:u w:val="single"/>
        </w:rPr>
        <w:t>prevalence</w:t>
      </w:r>
      <w:r w:rsidRPr="00FD260A">
        <w:rPr>
          <w:rFonts w:ascii="Arial" w:eastAsia="Times New Roman" w:hAnsi="Arial" w:cs="Arial"/>
          <w:color w:val="222222"/>
        </w:rPr>
        <w:t> data rather than the </w:t>
      </w:r>
      <w:r w:rsidRPr="00FD260A">
        <w:rPr>
          <w:rFonts w:ascii="Arial" w:eastAsia="Times New Roman" w:hAnsi="Arial" w:cs="Arial"/>
          <w:color w:val="222222"/>
          <w:u w:val="single"/>
        </w:rPr>
        <w:t>ratios</w:t>
      </w:r>
      <w:r w:rsidRPr="00FD260A">
        <w:rPr>
          <w:rFonts w:ascii="Arial" w:eastAsia="Times New Roman" w:hAnsi="Arial" w:cs="Arial"/>
          <w:color w:val="222222"/>
        </w:rPr>
        <w:t xml:space="preserve">.  Most targets had very low prevalence, but not all.  It’s a bit hard for me to “see” any patterns with the information in </w:t>
      </w:r>
      <w:r w:rsidRPr="00FD260A">
        <w:rPr>
          <w:rFonts w:ascii="Arial" w:eastAsia="Times New Roman" w:hAnsi="Arial" w:cs="Arial"/>
          <w:color w:val="222222"/>
        </w:rPr>
        <w:lastRenderedPageBreak/>
        <w:t>Table format, so one of my suggestions is whether additional graphical analysis might help. </w:t>
      </w:r>
    </w:p>
    <w:p w14:paraId="07AFB6BB" w14:textId="637DB70A" w:rsidR="005E726D" w:rsidRPr="00FD260A" w:rsidRDefault="005E726D" w:rsidP="005E726D">
      <w:pPr>
        <w:spacing w:after="0" w:line="240" w:lineRule="auto"/>
        <w:ind w:left="360"/>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We explored the prevalence through heatmaps </w:t>
      </w:r>
      <w:r w:rsidR="00D11A27" w:rsidRPr="00FD260A">
        <w:rPr>
          <w:rFonts w:ascii="Verdana" w:eastAsia="Times New Roman" w:hAnsi="Verdana" w:cs="Calibri"/>
          <w:color w:val="5B9BD5" w:themeColor="accent5"/>
        </w:rPr>
        <w:t xml:space="preserve">(draft version below), but we didn’t see a pattern </w:t>
      </w:r>
      <w:r w:rsidR="002E1E93" w:rsidRPr="00FD260A">
        <w:rPr>
          <w:rFonts w:ascii="Verdana" w:eastAsia="Times New Roman" w:hAnsi="Verdana" w:cs="Calibri"/>
          <w:color w:val="5B9BD5" w:themeColor="accent5"/>
        </w:rPr>
        <w:t>across the sample types and targets beyond what is discussed in the results. But we are open to co-author input as to if any interesting patterns in the prevalence are apparent, or if this figure should be included in the supplementary material.</w:t>
      </w:r>
    </w:p>
    <w:p w14:paraId="73E4E294" w14:textId="73F32833" w:rsidR="00353932" w:rsidRPr="00FD260A" w:rsidRDefault="00353932" w:rsidP="00353932">
      <w:pPr>
        <w:spacing w:after="0" w:line="240" w:lineRule="auto"/>
        <w:ind w:left="720"/>
        <w:textAlignment w:val="center"/>
        <w:rPr>
          <w:rFonts w:ascii="Calibri" w:eastAsia="Times New Roman" w:hAnsi="Calibri" w:cs="Calibri"/>
          <w:color w:val="222222"/>
        </w:rPr>
      </w:pPr>
    </w:p>
    <w:p w14:paraId="525A15F3" w14:textId="4622805E" w:rsidR="005E726D" w:rsidRPr="00FD260A" w:rsidRDefault="005E726D" w:rsidP="00353932">
      <w:pPr>
        <w:spacing w:after="0" w:line="240" w:lineRule="auto"/>
        <w:ind w:left="720"/>
        <w:textAlignment w:val="center"/>
        <w:rPr>
          <w:noProof/>
        </w:rPr>
      </w:pPr>
      <w:r w:rsidRPr="00FD260A">
        <w:rPr>
          <w:noProof/>
        </w:rPr>
        <mc:AlternateContent>
          <mc:Choice Requires="wps">
            <w:drawing>
              <wp:inline distT="0" distB="0" distL="0" distR="0" wp14:anchorId="0D584943" wp14:editId="2872B93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B88B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60A">
        <w:rPr>
          <w:noProof/>
        </w:rPr>
        <w:t xml:space="preserve"> </w:t>
      </w:r>
    </w:p>
    <w:p w14:paraId="4B7A9A0B" w14:textId="3E4A46B7" w:rsidR="00D11A27" w:rsidRPr="00FD260A" w:rsidRDefault="00D11A27" w:rsidP="00353932">
      <w:pPr>
        <w:spacing w:after="0" w:line="240" w:lineRule="auto"/>
        <w:ind w:left="720"/>
        <w:textAlignment w:val="center"/>
        <w:rPr>
          <w:rFonts w:ascii="Calibri" w:eastAsia="Times New Roman" w:hAnsi="Calibri" w:cs="Calibri"/>
          <w:color w:val="222222"/>
        </w:rPr>
      </w:pPr>
    </w:p>
    <w:p w14:paraId="2491DBCF" w14:textId="52DF9EEA" w:rsidR="005E726D" w:rsidRPr="00FD260A" w:rsidRDefault="00D11A27" w:rsidP="00353932">
      <w:pPr>
        <w:spacing w:after="0" w:line="240" w:lineRule="auto"/>
        <w:ind w:left="720"/>
        <w:textAlignment w:val="center"/>
        <w:rPr>
          <w:rFonts w:ascii="Calibri" w:eastAsia="Times New Roman" w:hAnsi="Calibri" w:cs="Calibri"/>
          <w:color w:val="222222"/>
        </w:rPr>
      </w:pPr>
      <w:r w:rsidRPr="00FD260A">
        <w:rPr>
          <w:noProof/>
        </w:rPr>
        <w:drawing>
          <wp:inline distT="0" distB="0" distL="0" distR="0" wp14:anchorId="67E04EF9" wp14:editId="68E896A2">
            <wp:extent cx="5943600" cy="3528695"/>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6"/>
                    <a:stretch>
                      <a:fillRect/>
                    </a:stretch>
                  </pic:blipFill>
                  <pic:spPr>
                    <a:xfrm>
                      <a:off x="0" y="0"/>
                      <a:ext cx="5943600" cy="3528695"/>
                    </a:xfrm>
                    <a:prstGeom prst="rect">
                      <a:avLst/>
                    </a:prstGeom>
                  </pic:spPr>
                </pic:pic>
              </a:graphicData>
            </a:graphic>
          </wp:inline>
        </w:drawing>
      </w:r>
    </w:p>
    <w:p w14:paraId="71FE40A5" w14:textId="77777777" w:rsidR="0099249E" w:rsidRPr="00FD260A" w:rsidRDefault="0099249E" w:rsidP="0099249E">
      <w:pPr>
        <w:numPr>
          <w:ilvl w:val="0"/>
          <w:numId w:val="2"/>
        </w:numPr>
        <w:spacing w:after="0" w:line="240" w:lineRule="auto"/>
        <w:textAlignment w:val="center"/>
        <w:rPr>
          <w:rFonts w:ascii="Calibri" w:eastAsia="Times New Roman" w:hAnsi="Calibri" w:cs="Calibri"/>
          <w:color w:val="222222"/>
        </w:rPr>
      </w:pPr>
      <w:r w:rsidRPr="00FD260A">
        <w:rPr>
          <w:rFonts w:ascii="Arial" w:eastAsia="Times New Roman" w:hAnsi="Arial" w:cs="Arial"/>
          <w:color w:val="222222"/>
        </w:rPr>
        <w:t xml:space="preserve">I don’t think the manuscript mentions anything about compliance </w:t>
      </w:r>
      <w:proofErr w:type="gramStart"/>
      <w:r w:rsidRPr="00FD260A">
        <w:rPr>
          <w:rFonts w:ascii="Arial" w:eastAsia="Times New Roman" w:hAnsi="Arial" w:cs="Arial"/>
          <w:color w:val="222222"/>
        </w:rPr>
        <w:t>-  which</w:t>
      </w:r>
      <w:proofErr w:type="gramEnd"/>
      <w:r w:rsidRPr="00FD260A">
        <w:rPr>
          <w:rFonts w:ascii="Arial" w:eastAsia="Times New Roman" w:hAnsi="Arial" w:cs="Arial"/>
          <w:color w:val="222222"/>
        </w:rPr>
        <w:t xml:space="preserve"> seems highly relevant to the final recommendation on “alternative sanitation modalities”, and begs the question that perhaps a reason larger reductions in pathogens and diarrhea are not observed is that some household members, notably children, aren’t using the latrines.  The fact that there are such consistent small or null effects in terms of pathogen reductions, across so many different pathogen targets and sample types and contexts confirms that poop is still very present. The results of this IPD meta-analysis make it clear to me that pathogens detected in intervention </w:t>
      </w:r>
      <w:proofErr w:type="spellStart"/>
      <w:r w:rsidRPr="00FD260A">
        <w:rPr>
          <w:rFonts w:ascii="Arial" w:eastAsia="Times New Roman" w:hAnsi="Arial" w:cs="Arial"/>
          <w:color w:val="222222"/>
        </w:rPr>
        <w:t>hh</w:t>
      </w:r>
      <w:proofErr w:type="spellEnd"/>
      <w:r w:rsidRPr="00FD260A">
        <w:rPr>
          <w:rFonts w:ascii="Arial" w:eastAsia="Times New Roman" w:hAnsi="Arial" w:cs="Arial"/>
          <w:color w:val="222222"/>
        </w:rPr>
        <w:t xml:space="preserve"> can’t be explained away by non-human sources, or flooding, or vectors.   </w:t>
      </w:r>
    </w:p>
    <w:p w14:paraId="3C1386EC" w14:textId="77777777" w:rsidR="005E726D" w:rsidRPr="00FD260A" w:rsidRDefault="005E726D" w:rsidP="005E726D">
      <w:pPr>
        <w:pStyle w:val="ListParagraph"/>
        <w:spacing w:after="0" w:line="240" w:lineRule="auto"/>
        <w:textAlignment w:val="center"/>
        <w:rPr>
          <w:rFonts w:ascii="Verdana" w:eastAsia="Times New Roman" w:hAnsi="Verdana" w:cs="Calibri"/>
          <w:color w:val="222222"/>
        </w:rPr>
      </w:pPr>
    </w:p>
    <w:p w14:paraId="74DE242B" w14:textId="07AA9108" w:rsidR="00F801E2" w:rsidRPr="00FD260A" w:rsidRDefault="00F801E2" w:rsidP="005E726D">
      <w:pPr>
        <w:pStyle w:val="ListParagraph"/>
        <w:spacing w:after="0" w:line="240" w:lineRule="auto"/>
        <w:textAlignment w:val="center"/>
        <w:rPr>
          <w:rFonts w:ascii="Calibri" w:eastAsia="Times New Roman" w:hAnsi="Calibri" w:cs="Calibri"/>
          <w:color w:val="222222"/>
        </w:rPr>
      </w:pPr>
      <w:r w:rsidRPr="00FD260A">
        <w:rPr>
          <w:rFonts w:ascii="Verdana" w:eastAsia="Times New Roman" w:hAnsi="Verdana" w:cs="Calibri"/>
          <w:color w:val="5B9BD5" w:themeColor="accent5"/>
        </w:rPr>
        <w:t xml:space="preserve">Great </w:t>
      </w:r>
      <w:proofErr w:type="gramStart"/>
      <w:r w:rsidRPr="00FD260A">
        <w:rPr>
          <w:rFonts w:ascii="Verdana" w:eastAsia="Times New Roman" w:hAnsi="Verdana" w:cs="Calibri"/>
          <w:color w:val="5B9BD5" w:themeColor="accent5"/>
        </w:rPr>
        <w:t>point;</w:t>
      </w:r>
      <w:proofErr w:type="gramEnd"/>
      <w:r w:rsidRPr="00FD260A">
        <w:rPr>
          <w:rFonts w:ascii="Verdana" w:eastAsia="Times New Roman" w:hAnsi="Verdana" w:cs="Calibri"/>
          <w:color w:val="5B9BD5" w:themeColor="accent5"/>
        </w:rPr>
        <w:t xml:space="preserve"> we had a short section in the results on high intervention uptake that focused on the physical infrastructure</w:t>
      </w:r>
      <w:r w:rsidR="008D295D" w:rsidRPr="00FD260A">
        <w:rPr>
          <w:rFonts w:ascii="Verdana" w:eastAsia="Times New Roman" w:hAnsi="Verdana" w:cs="Calibri"/>
          <w:color w:val="5B9BD5" w:themeColor="accent5"/>
        </w:rPr>
        <w:t xml:space="preserve">. We added to the final paragraph of the discussion </w:t>
      </w:r>
      <w:r w:rsidR="000857F3" w:rsidRPr="00FD260A">
        <w:rPr>
          <w:rFonts w:ascii="Verdana" w:eastAsia="Times New Roman" w:hAnsi="Verdana" w:cs="Calibri"/>
          <w:color w:val="5B9BD5" w:themeColor="accent5"/>
        </w:rPr>
        <w:t>a discussion of the compliance from WASH Benefits structured observations and how that may limit the impact of the interventions, and how methods of social change/education may be needed for interventions to be successful.</w:t>
      </w:r>
    </w:p>
    <w:p w14:paraId="70F80AE7" w14:textId="77777777" w:rsidR="0099249E" w:rsidRPr="00FD260A" w:rsidRDefault="0099249E" w:rsidP="0099249E"/>
    <w:p w14:paraId="5F537B29" w14:textId="77777777" w:rsidR="005E726D" w:rsidRPr="00FD260A" w:rsidRDefault="005E726D" w:rsidP="005E726D">
      <w:pPr>
        <w:spacing w:after="0" w:line="240" w:lineRule="auto"/>
        <w:rPr>
          <w:rFonts w:ascii="Verdana" w:eastAsia="Times New Roman" w:hAnsi="Verdana" w:cs="Calibri"/>
          <w:color w:val="222222"/>
        </w:rPr>
      </w:pPr>
    </w:p>
    <w:p w14:paraId="7E9E3F5D" w14:textId="6735E0C6" w:rsidR="003231A1" w:rsidRPr="00FD260A" w:rsidRDefault="003231A1" w:rsidP="003449A2">
      <w:pPr>
        <w:spacing w:after="0" w:line="240" w:lineRule="auto"/>
        <w:rPr>
          <w:rFonts w:ascii="Verdana" w:eastAsia="Times New Roman" w:hAnsi="Verdana" w:cs="Calibri"/>
          <w:color w:val="222222"/>
        </w:rPr>
      </w:pPr>
    </w:p>
    <w:p w14:paraId="321E5255" w14:textId="5049551A" w:rsidR="003231A1" w:rsidRPr="00FD260A" w:rsidRDefault="003231A1" w:rsidP="003449A2">
      <w:pPr>
        <w:spacing w:after="0" w:line="240" w:lineRule="auto"/>
        <w:rPr>
          <w:rFonts w:ascii="Verdana" w:eastAsia="Times New Roman" w:hAnsi="Verdana" w:cs="Calibri"/>
          <w:color w:val="222222"/>
        </w:rPr>
      </w:pPr>
    </w:p>
    <w:p w14:paraId="37F55C03" w14:textId="77FBEEA4" w:rsidR="008E527D" w:rsidRPr="00FD260A" w:rsidRDefault="008E527D" w:rsidP="003449A2">
      <w:pPr>
        <w:spacing w:after="0" w:line="240" w:lineRule="auto"/>
        <w:rPr>
          <w:rFonts w:ascii="Verdana" w:eastAsia="Times New Roman" w:hAnsi="Verdana" w:cs="Calibri"/>
          <w:color w:val="222222"/>
        </w:rPr>
      </w:pPr>
    </w:p>
    <w:p w14:paraId="3862216B" w14:textId="6574ECB2" w:rsidR="007E3B7B" w:rsidRPr="00FD260A" w:rsidRDefault="007E3B7B" w:rsidP="007E3B7B">
      <w:pPr>
        <w:pStyle w:val="Heading1"/>
      </w:pPr>
      <w:r w:rsidRPr="00FD260A">
        <w:t>Ali Boehm</w:t>
      </w:r>
    </w:p>
    <w:p w14:paraId="70564356" w14:textId="77777777" w:rsidR="007E3B7B" w:rsidRPr="00FD260A" w:rsidRDefault="007E3B7B" w:rsidP="003449A2">
      <w:pPr>
        <w:spacing w:after="0" w:line="240" w:lineRule="auto"/>
        <w:rPr>
          <w:rFonts w:ascii="Verdana" w:eastAsia="Times New Roman" w:hAnsi="Verdana" w:cs="Calibri"/>
          <w:color w:val="222222"/>
        </w:rPr>
      </w:pPr>
    </w:p>
    <w:p w14:paraId="74148B95" w14:textId="5CD64DF2" w:rsidR="003449A2" w:rsidRPr="00FD260A" w:rsidRDefault="003449A2" w:rsidP="003449A2">
      <w:pPr>
        <w:spacing w:after="0" w:line="240" w:lineRule="auto"/>
        <w:rPr>
          <w:rFonts w:ascii="Verdana" w:eastAsia="Times New Roman" w:hAnsi="Verdana" w:cs="Calibri"/>
          <w:color w:val="222222"/>
        </w:rPr>
      </w:pPr>
      <w:r w:rsidRPr="00FD260A">
        <w:rPr>
          <w:rFonts w:ascii="Verdana" w:eastAsia="Times New Roman" w:hAnsi="Verdana" w:cs="Calibri"/>
          <w:color w:val="222222"/>
        </w:rPr>
        <w:t xml:space="preserve">Hi Ayse and Andrew - thank you for sending this and </w:t>
      </w:r>
      <w:r w:rsidR="007E3B7B" w:rsidRPr="00FD260A">
        <w:rPr>
          <w:rFonts w:ascii="Verdana" w:eastAsia="Times New Roman" w:hAnsi="Verdana" w:cs="Calibri"/>
          <w:color w:val="222222"/>
        </w:rPr>
        <w:t>I’ve</w:t>
      </w:r>
      <w:r w:rsidRPr="00FD260A">
        <w:rPr>
          <w:rFonts w:ascii="Verdana" w:eastAsia="Times New Roman" w:hAnsi="Verdana" w:cs="Calibri"/>
          <w:color w:val="222222"/>
        </w:rPr>
        <w:t xml:space="preserve"> put some comments in here. </w:t>
      </w:r>
    </w:p>
    <w:p w14:paraId="533BD6B4" w14:textId="32EB92EE" w:rsidR="003449A2" w:rsidRPr="00FD260A" w:rsidRDefault="003449A2" w:rsidP="003449A2">
      <w:pPr>
        <w:spacing w:after="0" w:line="240" w:lineRule="auto"/>
        <w:rPr>
          <w:rFonts w:ascii="Verdana" w:eastAsia="Times New Roman" w:hAnsi="Verdana" w:cs="Calibri"/>
          <w:color w:val="222222"/>
        </w:rPr>
      </w:pPr>
      <w:r w:rsidRPr="00FD260A">
        <w:rPr>
          <w:rFonts w:ascii="Verdana" w:eastAsia="Times New Roman" w:hAnsi="Verdana" w:cs="Calibri"/>
          <w:color w:val="222222"/>
        </w:rPr>
        <w:t xml:space="preserve">- I </w:t>
      </w:r>
      <w:proofErr w:type="spellStart"/>
      <w:r w:rsidRPr="00FD260A">
        <w:rPr>
          <w:rFonts w:ascii="Verdana" w:eastAsia="Times New Roman" w:hAnsi="Verdana" w:cs="Calibri"/>
          <w:color w:val="222222"/>
        </w:rPr>
        <w:t>dont</w:t>
      </w:r>
      <w:proofErr w:type="spellEnd"/>
      <w:r w:rsidRPr="00FD260A">
        <w:rPr>
          <w:rFonts w:ascii="Verdana" w:eastAsia="Times New Roman" w:hAnsi="Verdana" w:cs="Calibri"/>
          <w:color w:val="222222"/>
        </w:rPr>
        <w:t xml:space="preserve"> think you should include </w:t>
      </w:r>
      <w:proofErr w:type="spellStart"/>
      <w:r w:rsidRPr="00FD260A">
        <w:rPr>
          <w:rFonts w:ascii="Verdana" w:eastAsia="Times New Roman" w:hAnsi="Verdana" w:cs="Calibri"/>
          <w:color w:val="222222"/>
        </w:rPr>
        <w:t>genbac</w:t>
      </w:r>
      <w:proofErr w:type="spellEnd"/>
      <w:r w:rsidRPr="00FD260A">
        <w:rPr>
          <w:rFonts w:ascii="Verdana" w:eastAsia="Times New Roman" w:hAnsi="Verdana" w:cs="Calibri"/>
          <w:color w:val="222222"/>
        </w:rPr>
        <w:t xml:space="preserve"> in your study. </w:t>
      </w:r>
      <w:proofErr w:type="spellStart"/>
      <w:r w:rsidRPr="00FD260A">
        <w:rPr>
          <w:rFonts w:ascii="Verdana" w:eastAsia="Times New Roman" w:hAnsi="Verdana" w:cs="Calibri"/>
          <w:color w:val="222222"/>
        </w:rPr>
        <w:t>its</w:t>
      </w:r>
      <w:proofErr w:type="spellEnd"/>
      <w:r w:rsidRPr="00FD260A">
        <w:rPr>
          <w:rFonts w:ascii="Verdana" w:eastAsia="Times New Roman" w:hAnsi="Verdana" w:cs="Calibri"/>
          <w:color w:val="222222"/>
        </w:rPr>
        <w:t xml:space="preserve"> not an MST marker and is more like E. coli. </w:t>
      </w:r>
      <w:proofErr w:type="spellStart"/>
      <w:r w:rsidRPr="00FD260A">
        <w:rPr>
          <w:rFonts w:ascii="Verdana" w:eastAsia="Times New Roman" w:hAnsi="Verdana" w:cs="Calibri"/>
          <w:color w:val="222222"/>
        </w:rPr>
        <w:t>i</w:t>
      </w:r>
      <w:proofErr w:type="spellEnd"/>
      <w:r w:rsidRPr="00FD260A">
        <w:rPr>
          <w:rFonts w:ascii="Verdana" w:eastAsia="Times New Roman" w:hAnsi="Verdana" w:cs="Calibri"/>
          <w:color w:val="222222"/>
        </w:rPr>
        <w:t xml:space="preserve"> </w:t>
      </w:r>
      <w:proofErr w:type="spellStart"/>
      <w:r w:rsidRPr="00FD260A">
        <w:rPr>
          <w:rFonts w:ascii="Verdana" w:eastAsia="Times New Roman" w:hAnsi="Verdana" w:cs="Calibri"/>
          <w:color w:val="222222"/>
        </w:rPr>
        <w:t>dont</w:t>
      </w:r>
      <w:proofErr w:type="spellEnd"/>
      <w:r w:rsidRPr="00FD260A">
        <w:rPr>
          <w:rFonts w:ascii="Verdana" w:eastAsia="Times New Roman" w:hAnsi="Verdana" w:cs="Calibri"/>
          <w:color w:val="222222"/>
        </w:rPr>
        <w:t xml:space="preserve"> think </w:t>
      </w:r>
      <w:proofErr w:type="spellStart"/>
      <w:r w:rsidRPr="00FD260A">
        <w:rPr>
          <w:rFonts w:ascii="Verdana" w:eastAsia="Times New Roman" w:hAnsi="Verdana" w:cs="Calibri"/>
          <w:color w:val="222222"/>
        </w:rPr>
        <w:t>genbac</w:t>
      </w:r>
      <w:proofErr w:type="spellEnd"/>
      <w:r w:rsidRPr="00FD260A">
        <w:rPr>
          <w:rFonts w:ascii="Verdana" w:eastAsia="Times New Roman" w:hAnsi="Verdana" w:cs="Calibri"/>
          <w:color w:val="222222"/>
        </w:rPr>
        <w:t xml:space="preserve"> is going anywhere... </w:t>
      </w:r>
    </w:p>
    <w:p w14:paraId="127073DA" w14:textId="77777777" w:rsidR="007E3B7B" w:rsidRPr="00FD260A" w:rsidRDefault="007E3B7B" w:rsidP="003449A2">
      <w:pPr>
        <w:spacing w:after="0" w:line="240" w:lineRule="auto"/>
        <w:rPr>
          <w:rFonts w:ascii="Verdana" w:eastAsia="Times New Roman" w:hAnsi="Verdana" w:cs="Calibri"/>
          <w:color w:val="222222"/>
        </w:rPr>
      </w:pPr>
    </w:p>
    <w:p w14:paraId="3C9391BD" w14:textId="3C2D5A3C" w:rsidR="007E3B7B" w:rsidRPr="00FD260A" w:rsidRDefault="007E3B7B" w:rsidP="003449A2">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We have removed </w:t>
      </w:r>
      <w:proofErr w:type="spellStart"/>
      <w:r w:rsidRPr="00FD260A">
        <w:rPr>
          <w:rFonts w:ascii="Verdana" w:eastAsia="Times New Roman" w:hAnsi="Verdana" w:cs="Calibri"/>
          <w:color w:val="5B9BD5" w:themeColor="accent5"/>
        </w:rPr>
        <w:t>GenBac</w:t>
      </w:r>
      <w:proofErr w:type="spellEnd"/>
      <w:r w:rsidRPr="00FD260A">
        <w:rPr>
          <w:rFonts w:ascii="Verdana" w:eastAsia="Times New Roman" w:hAnsi="Verdana" w:cs="Calibri"/>
          <w:color w:val="5B9BD5" w:themeColor="accent5"/>
        </w:rPr>
        <w:t xml:space="preserve"> as well as the other general MST marker (</w:t>
      </w:r>
      <w:proofErr w:type="spellStart"/>
      <w:r w:rsidRPr="00FD260A">
        <w:rPr>
          <w:rFonts w:ascii="Verdana" w:eastAsia="Times New Roman" w:hAnsi="Verdana" w:cs="Calibri"/>
          <w:color w:val="5B9BD5" w:themeColor="accent5"/>
        </w:rPr>
        <w:t>BacUni</w:t>
      </w:r>
      <w:proofErr w:type="spellEnd"/>
      <w:r w:rsidRPr="00FD260A">
        <w:rPr>
          <w:rFonts w:ascii="Verdana" w:eastAsia="Times New Roman" w:hAnsi="Verdana" w:cs="Calibri"/>
          <w:color w:val="5B9BD5" w:themeColor="accent5"/>
        </w:rPr>
        <w:t xml:space="preserve">) from the analysis. </w:t>
      </w:r>
    </w:p>
    <w:p w14:paraId="551A13E5" w14:textId="77777777" w:rsidR="007E3B7B" w:rsidRPr="00FD260A" w:rsidRDefault="007E3B7B" w:rsidP="003449A2">
      <w:pPr>
        <w:spacing w:after="0" w:line="240" w:lineRule="auto"/>
        <w:rPr>
          <w:rFonts w:ascii="Verdana" w:eastAsia="Times New Roman" w:hAnsi="Verdana" w:cs="Calibri"/>
          <w:color w:val="222222"/>
        </w:rPr>
      </w:pPr>
    </w:p>
    <w:p w14:paraId="39A88FBB" w14:textId="77777777" w:rsidR="003449A2" w:rsidRPr="00FD260A" w:rsidRDefault="003449A2" w:rsidP="003449A2">
      <w:pPr>
        <w:spacing w:after="0" w:line="240" w:lineRule="auto"/>
        <w:rPr>
          <w:rFonts w:ascii="Verdana" w:eastAsia="Times New Roman" w:hAnsi="Verdana" w:cs="Calibri"/>
          <w:color w:val="222222"/>
        </w:rPr>
      </w:pPr>
      <w:r w:rsidRPr="00FD260A">
        <w:rPr>
          <w:rFonts w:ascii="Verdana" w:eastAsia="Times New Roman" w:hAnsi="Verdana" w:cs="Calibri"/>
          <w:color w:val="222222"/>
        </w:rPr>
        <w:t>- There is an issue with comparing QPCR data between studies. Some of these issues are spelled out in a recent paper I co-authored:</w:t>
      </w:r>
    </w:p>
    <w:p w14:paraId="129ED8B2" w14:textId="77777777" w:rsidR="003449A2" w:rsidRPr="00FD260A" w:rsidRDefault="0079323D" w:rsidP="003449A2">
      <w:pPr>
        <w:spacing w:after="0" w:line="240" w:lineRule="auto"/>
        <w:rPr>
          <w:rFonts w:ascii="Verdana" w:eastAsia="Times New Roman" w:hAnsi="Verdana" w:cs="Calibri"/>
        </w:rPr>
      </w:pPr>
      <w:hyperlink r:id="rId7" w:history="1">
        <w:r w:rsidR="003449A2" w:rsidRPr="00FD260A">
          <w:rPr>
            <w:rFonts w:ascii="Verdana" w:eastAsia="Times New Roman" w:hAnsi="Verdana" w:cs="Calibri"/>
            <w:color w:val="0000FF"/>
            <w:u w:val="single"/>
          </w:rPr>
          <w:t>https://pubs.acs.org/doi/abs/10.1021/acs.est.1c01767</w:t>
        </w:r>
      </w:hyperlink>
    </w:p>
    <w:p w14:paraId="72EBDD62" w14:textId="77777777" w:rsidR="003449A2" w:rsidRPr="00FD260A" w:rsidRDefault="003449A2" w:rsidP="003449A2">
      <w:pPr>
        <w:spacing w:after="0" w:line="240" w:lineRule="auto"/>
        <w:rPr>
          <w:rFonts w:ascii="Verdana" w:eastAsia="Times New Roman" w:hAnsi="Verdana" w:cs="Calibri"/>
          <w:color w:val="222222"/>
        </w:rPr>
      </w:pPr>
      <w:r w:rsidRPr="00FD260A">
        <w:rPr>
          <w:rFonts w:ascii="Verdana" w:eastAsia="Times New Roman" w:hAnsi="Verdana" w:cs="Calibri"/>
          <w:color w:val="222222"/>
        </w:rPr>
        <w:t xml:space="preserve">I </w:t>
      </w:r>
      <w:proofErr w:type="spellStart"/>
      <w:r w:rsidRPr="00FD260A">
        <w:rPr>
          <w:rFonts w:ascii="Verdana" w:eastAsia="Times New Roman" w:hAnsi="Verdana" w:cs="Calibri"/>
          <w:color w:val="222222"/>
        </w:rPr>
        <w:t>dont</w:t>
      </w:r>
      <w:proofErr w:type="spellEnd"/>
      <w:r w:rsidRPr="00FD260A">
        <w:rPr>
          <w:rFonts w:ascii="Verdana" w:eastAsia="Times New Roman" w:hAnsi="Verdana" w:cs="Calibri"/>
          <w:color w:val="222222"/>
        </w:rPr>
        <w:t xml:space="preserve"> think you </w:t>
      </w:r>
      <w:proofErr w:type="gramStart"/>
      <w:r w:rsidRPr="00FD260A">
        <w:rPr>
          <w:rFonts w:ascii="Verdana" w:eastAsia="Times New Roman" w:hAnsi="Verdana" w:cs="Calibri"/>
          <w:color w:val="222222"/>
        </w:rPr>
        <w:t>actually combined</w:t>
      </w:r>
      <w:proofErr w:type="gramEnd"/>
      <w:r w:rsidRPr="00FD260A">
        <w:rPr>
          <w:rFonts w:ascii="Verdana" w:eastAsia="Times New Roman" w:hAnsi="Verdana" w:cs="Calibri"/>
          <w:color w:val="222222"/>
        </w:rPr>
        <w:t xml:space="preserve"> data from across studies, right? But you might want to mention some of the technical issues associated with combining data across sites. we also touched on that issue in the Boehm et al paper  </w:t>
      </w:r>
    </w:p>
    <w:p w14:paraId="5D98E5B2" w14:textId="277066AA" w:rsidR="003449A2" w:rsidRPr="00FD260A" w:rsidRDefault="003449A2" w:rsidP="003449A2">
      <w:pPr>
        <w:numPr>
          <w:ilvl w:val="0"/>
          <w:numId w:val="1"/>
        </w:numPr>
        <w:spacing w:before="140" w:after="140" w:line="240" w:lineRule="auto"/>
        <w:textAlignment w:val="center"/>
        <w:rPr>
          <w:rFonts w:ascii="Calibri" w:eastAsia="Times New Roman" w:hAnsi="Calibri" w:cs="Calibri"/>
          <w:color w:val="000000"/>
        </w:rPr>
      </w:pPr>
      <w:r w:rsidRPr="00FD260A">
        <w:rPr>
          <w:rFonts w:ascii="Calibri" w:eastAsia="Times New Roman" w:hAnsi="Calibri" w:cs="Calibri"/>
          <w:b/>
          <w:bCs/>
          <w:color w:val="000000"/>
        </w:rPr>
        <w:t>A. B. Boehm</w:t>
      </w:r>
      <w:r w:rsidRPr="00FD260A">
        <w:rPr>
          <w:rFonts w:ascii="Calibri" w:eastAsia="Times New Roman" w:hAnsi="Calibri" w:cs="Calibri"/>
          <w:color w:val="000000"/>
        </w:rPr>
        <w:t xml:space="preserve">, L. C. Van De </w:t>
      </w:r>
      <w:proofErr w:type="spellStart"/>
      <w:r w:rsidRPr="00FD260A">
        <w:rPr>
          <w:rFonts w:ascii="Calibri" w:eastAsia="Times New Roman" w:hAnsi="Calibri" w:cs="Calibri"/>
          <w:color w:val="000000"/>
        </w:rPr>
        <w:t>Werfhorst</w:t>
      </w:r>
      <w:proofErr w:type="spellEnd"/>
      <w:r w:rsidRPr="00FD260A">
        <w:rPr>
          <w:rFonts w:ascii="Calibri" w:eastAsia="Times New Roman" w:hAnsi="Calibri" w:cs="Calibri"/>
          <w:color w:val="000000"/>
        </w:rPr>
        <w:t>, J. F. Griffith, P. A. Holden, J. A. Jay, O. C. Shanks, D. Wang, S. B. Weisberg. 2013. Performance of forty-one microbial source tracking methods: A twenty-seven lab evaluation study. </w:t>
      </w:r>
      <w:r w:rsidRPr="00FD260A">
        <w:rPr>
          <w:rFonts w:ascii="Calibri" w:eastAsia="Times New Roman" w:hAnsi="Calibri" w:cs="Calibri"/>
          <w:i/>
          <w:iCs/>
          <w:color w:val="000000"/>
        </w:rPr>
        <w:t>Water Research</w:t>
      </w:r>
      <w:r w:rsidRPr="00FD260A">
        <w:rPr>
          <w:rFonts w:ascii="Calibri" w:eastAsia="Times New Roman" w:hAnsi="Calibri" w:cs="Calibri"/>
          <w:color w:val="000000"/>
        </w:rPr>
        <w:t>, 47, 6812-6828.</w:t>
      </w:r>
    </w:p>
    <w:p w14:paraId="1E1F5337" w14:textId="32C81516" w:rsidR="007E3B7B" w:rsidRPr="00FD260A" w:rsidRDefault="007E3B7B" w:rsidP="007E3B7B">
      <w:pPr>
        <w:spacing w:before="140" w:after="140" w:line="240" w:lineRule="auto"/>
        <w:textAlignment w:val="center"/>
        <w:rPr>
          <w:rFonts w:ascii="Calibri" w:eastAsia="Times New Roman" w:hAnsi="Calibri" w:cs="Calibri"/>
          <w:color w:val="000000"/>
        </w:rPr>
      </w:pPr>
    </w:p>
    <w:p w14:paraId="14E884A9" w14:textId="11BE9896" w:rsidR="007E3B7B" w:rsidRPr="00FD260A" w:rsidRDefault="007E3B7B" w:rsidP="007E3B7B">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Correct, we didn’t combine any of the abundance data, </w:t>
      </w:r>
      <w:r w:rsidR="00EB0C85" w:rsidRPr="00FD260A">
        <w:rPr>
          <w:rFonts w:ascii="Verdana" w:eastAsia="Times New Roman" w:hAnsi="Verdana" w:cs="Calibri"/>
          <w:color w:val="5B9BD5" w:themeColor="accent5"/>
        </w:rPr>
        <w:t>both because of issues in standardization but also because we estimate intervention effects separately within each study, and then there were too few target-specific abundance estimates to pool with meta-analysis models. W</w:t>
      </w:r>
      <w:r w:rsidRPr="00FD260A">
        <w:rPr>
          <w:rFonts w:ascii="Verdana" w:eastAsia="Times New Roman" w:hAnsi="Verdana" w:cs="Calibri"/>
          <w:color w:val="5B9BD5" w:themeColor="accent5"/>
        </w:rPr>
        <w:t xml:space="preserve">e </w:t>
      </w:r>
      <w:r w:rsidR="00EB0C85" w:rsidRPr="00FD260A">
        <w:rPr>
          <w:rFonts w:ascii="Verdana" w:eastAsia="Times New Roman" w:hAnsi="Verdana" w:cs="Calibri"/>
          <w:color w:val="5B9BD5" w:themeColor="accent5"/>
        </w:rPr>
        <w:t>added citations to</w:t>
      </w:r>
      <w:r w:rsidRPr="00FD260A">
        <w:rPr>
          <w:rFonts w:ascii="Verdana" w:eastAsia="Times New Roman" w:hAnsi="Verdana" w:cs="Calibri"/>
          <w:color w:val="5B9BD5" w:themeColor="accent5"/>
        </w:rPr>
        <w:t xml:space="preserve"> these references</w:t>
      </w:r>
      <w:r w:rsidR="00EB0C85" w:rsidRPr="00FD260A">
        <w:rPr>
          <w:rFonts w:ascii="Verdana" w:eastAsia="Times New Roman" w:hAnsi="Verdana" w:cs="Calibri"/>
          <w:color w:val="5B9BD5" w:themeColor="accent5"/>
        </w:rPr>
        <w:t xml:space="preserve"> to the methods section</w:t>
      </w:r>
      <w:r w:rsidRPr="00FD260A">
        <w:rPr>
          <w:rFonts w:ascii="Verdana" w:eastAsia="Times New Roman" w:hAnsi="Verdana" w:cs="Calibri"/>
          <w:color w:val="5B9BD5" w:themeColor="accent5"/>
        </w:rPr>
        <w:t xml:space="preserve"> as additional motivation to keep the abundance data separate.</w:t>
      </w:r>
    </w:p>
    <w:p w14:paraId="40DDB7FF" w14:textId="77777777" w:rsidR="007E3B7B" w:rsidRPr="00FD260A" w:rsidRDefault="007E3B7B" w:rsidP="007E3B7B">
      <w:pPr>
        <w:spacing w:before="140" w:after="140" w:line="240" w:lineRule="auto"/>
        <w:textAlignment w:val="center"/>
        <w:rPr>
          <w:rFonts w:ascii="Calibri" w:eastAsia="Times New Roman" w:hAnsi="Calibri" w:cs="Calibri"/>
          <w:color w:val="000000"/>
        </w:rPr>
      </w:pPr>
    </w:p>
    <w:p w14:paraId="4DB0C97C" w14:textId="18E7C941" w:rsidR="003449A2" w:rsidRPr="00FD260A" w:rsidRDefault="003449A2" w:rsidP="003449A2">
      <w:pPr>
        <w:spacing w:after="0" w:line="240" w:lineRule="auto"/>
        <w:rPr>
          <w:rFonts w:ascii="Calibri" w:eastAsia="Times New Roman" w:hAnsi="Calibri" w:cs="Calibri"/>
          <w:color w:val="000000"/>
          <w:sz w:val="24"/>
          <w:szCs w:val="24"/>
        </w:rPr>
      </w:pPr>
      <w:r w:rsidRPr="00FD260A">
        <w:rPr>
          <w:rFonts w:ascii="Calibri" w:eastAsia="Times New Roman" w:hAnsi="Calibri" w:cs="Calibri"/>
          <w:color w:val="000000"/>
          <w:sz w:val="24"/>
          <w:szCs w:val="24"/>
        </w:rPr>
        <w:t>- in your recommendation of things to be standardized, a standardized way of reporting data and results will also be helpful to mention. </w:t>
      </w:r>
    </w:p>
    <w:p w14:paraId="0F208E4B" w14:textId="0B522475" w:rsidR="00EB0C85" w:rsidRPr="00FD260A" w:rsidRDefault="00EB0C85" w:rsidP="003449A2">
      <w:pPr>
        <w:spacing w:after="0" w:line="240" w:lineRule="auto"/>
        <w:rPr>
          <w:rFonts w:ascii="Calibri" w:eastAsia="Times New Roman" w:hAnsi="Calibri" w:cs="Calibri"/>
          <w:color w:val="000000"/>
          <w:sz w:val="24"/>
          <w:szCs w:val="24"/>
        </w:rPr>
      </w:pPr>
    </w:p>
    <w:p w14:paraId="58A88355" w14:textId="241C9E85" w:rsidR="00EB0C85" w:rsidRPr="00FD260A" w:rsidRDefault="00EB0C85" w:rsidP="00EB0C85">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Good suggestion, we added that recommendation to the discussion.</w:t>
      </w:r>
    </w:p>
    <w:p w14:paraId="694D61A9" w14:textId="77777777" w:rsidR="00EB0C85" w:rsidRPr="00FD260A" w:rsidRDefault="00EB0C85" w:rsidP="003449A2">
      <w:pPr>
        <w:spacing w:after="0" w:line="240" w:lineRule="auto"/>
        <w:rPr>
          <w:rFonts w:ascii="Calibri" w:eastAsia="Times New Roman" w:hAnsi="Calibri" w:cs="Calibri"/>
          <w:color w:val="000000"/>
          <w:sz w:val="24"/>
          <w:szCs w:val="24"/>
        </w:rPr>
      </w:pPr>
    </w:p>
    <w:p w14:paraId="5E80DA9D" w14:textId="77777777" w:rsidR="00EB0C85" w:rsidRPr="00FD260A" w:rsidRDefault="00EB0C85" w:rsidP="003449A2">
      <w:pPr>
        <w:spacing w:after="0" w:line="240" w:lineRule="auto"/>
        <w:rPr>
          <w:rFonts w:ascii="Calibri" w:eastAsia="Times New Roman" w:hAnsi="Calibri" w:cs="Calibri"/>
          <w:color w:val="000000"/>
          <w:sz w:val="24"/>
          <w:szCs w:val="24"/>
        </w:rPr>
      </w:pPr>
    </w:p>
    <w:p w14:paraId="0A42279C"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02E48FE4"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1570DAE6"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258A5E75"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36F3BA59" w14:textId="00042814" w:rsidR="00B6239E" w:rsidRPr="00FD260A" w:rsidRDefault="00B6239E" w:rsidP="00B6239E">
      <w:pPr>
        <w:pStyle w:val="Heading1"/>
      </w:pPr>
      <w:r w:rsidRPr="00FD260A">
        <w:t xml:space="preserve">Tom Classen </w:t>
      </w:r>
    </w:p>
    <w:p w14:paraId="492CA47D" w14:textId="77777777" w:rsidR="003449A2" w:rsidRPr="00FD260A" w:rsidRDefault="003449A2" w:rsidP="003449A2">
      <w:pPr>
        <w:spacing w:after="0" w:line="240" w:lineRule="auto"/>
        <w:rPr>
          <w:rFonts w:ascii="Arial" w:eastAsia="Times New Roman" w:hAnsi="Arial" w:cs="Arial"/>
          <w:color w:val="222222"/>
        </w:rPr>
      </w:pPr>
      <w:r w:rsidRPr="00FD260A">
        <w:rPr>
          <w:rFonts w:ascii="Arial" w:eastAsia="Times New Roman" w:hAnsi="Arial" w:cs="Arial"/>
          <w:color w:val="222222"/>
          <w:shd w:val="clear" w:color="auto" w:fill="FFFFFF"/>
        </w:rPr>
        <w:t> </w:t>
      </w:r>
    </w:p>
    <w:p w14:paraId="50AF32EA" w14:textId="5953E901" w:rsidR="003449A2" w:rsidRPr="00FD260A" w:rsidRDefault="003449A2" w:rsidP="003449A2">
      <w:pPr>
        <w:spacing w:after="0" w:line="240" w:lineRule="auto"/>
        <w:rPr>
          <w:rFonts w:ascii="Arial" w:eastAsia="Times New Roman" w:hAnsi="Arial" w:cs="Arial"/>
          <w:color w:val="222222"/>
          <w:shd w:val="clear" w:color="auto" w:fill="FFFFFF"/>
        </w:rPr>
      </w:pPr>
      <w:r w:rsidRPr="00FD260A">
        <w:rPr>
          <w:rFonts w:ascii="Arial" w:eastAsia="Times New Roman" w:hAnsi="Arial" w:cs="Arial"/>
          <w:color w:val="222222"/>
          <w:shd w:val="clear" w:color="auto" w:fill="FFFFFF"/>
        </w:rPr>
        <w:lastRenderedPageBreak/>
        <w:t xml:space="preserve">1.  Did many of your eligible papers also analyze samples for FIB or other proxies?  Your advocacy for assessing pathogens rather than proxies might be stronger if you could show the results are </w:t>
      </w:r>
      <w:proofErr w:type="gramStart"/>
      <w:r w:rsidRPr="00FD260A">
        <w:rPr>
          <w:rFonts w:ascii="Arial" w:eastAsia="Times New Roman" w:hAnsi="Arial" w:cs="Arial"/>
          <w:color w:val="222222"/>
          <w:shd w:val="clear" w:color="auto" w:fill="FFFFFF"/>
        </w:rPr>
        <w:t>actually different</w:t>
      </w:r>
      <w:proofErr w:type="gramEnd"/>
      <w:r w:rsidRPr="00FD260A">
        <w:rPr>
          <w:rFonts w:ascii="Arial" w:eastAsia="Times New Roman" w:hAnsi="Arial" w:cs="Arial"/>
          <w:color w:val="222222"/>
          <w:shd w:val="clear" w:color="auto" w:fill="FFFFFF"/>
        </w:rPr>
        <w:t xml:space="preserve"> when assessing the former rather than simply the latter.  I understand that is not your focus here, but your dataset might be uniquely well designed to make this comparison. </w:t>
      </w:r>
    </w:p>
    <w:p w14:paraId="031EA43B" w14:textId="1755DCB1" w:rsidR="00C708B7" w:rsidRPr="00FD260A" w:rsidRDefault="00C708B7" w:rsidP="003449A2">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Most of the included intervention studies also analyzed FIB but not necessarily in the same studies measuring pathogens or MST markers, and the FIB was not shared with us. We agree that the results would be strengthened by comparing the results with FIB as an outcome, but unfortunately that is beyond the scope of the current analysis. That is a good idea as a follow-on paper if we can get the FIB data from all data contributors.</w:t>
      </w:r>
    </w:p>
    <w:p w14:paraId="5AA9E9F6" w14:textId="77777777" w:rsidR="00C708B7" w:rsidRPr="00FD260A" w:rsidRDefault="00C708B7" w:rsidP="003449A2">
      <w:pPr>
        <w:spacing w:after="0" w:line="240" w:lineRule="auto"/>
        <w:rPr>
          <w:rFonts w:ascii="Arial" w:eastAsia="Times New Roman" w:hAnsi="Arial" w:cs="Arial"/>
          <w:color w:val="222222"/>
        </w:rPr>
      </w:pPr>
    </w:p>
    <w:p w14:paraId="6C411D3D" w14:textId="4B2EBA1D" w:rsidR="003449A2" w:rsidRPr="00FD260A" w:rsidRDefault="003449A2" w:rsidP="003449A2">
      <w:pPr>
        <w:spacing w:after="0" w:line="240" w:lineRule="auto"/>
        <w:rPr>
          <w:rFonts w:ascii="Arial" w:eastAsia="Times New Roman" w:hAnsi="Arial" w:cs="Arial"/>
          <w:color w:val="222222"/>
          <w:shd w:val="clear" w:color="auto" w:fill="FFFFFF"/>
        </w:rPr>
      </w:pPr>
      <w:r w:rsidRPr="00FD260A">
        <w:rPr>
          <w:rFonts w:ascii="Arial" w:eastAsia="Times New Roman" w:hAnsi="Arial" w:cs="Arial"/>
          <w:color w:val="222222"/>
          <w:shd w:val="clear" w:color="auto" w:fill="FFFFFF"/>
        </w:rPr>
        <w:t>2. I don’t think the advantages of IPDs over conventional SRs is well understood, and the paper only addresses that briefly in Methods (line 4 under Data Collection and Analysis) and in the Discussion.  I’d suggest touching on that in the Introduction to build the rationale for this approach.</w:t>
      </w:r>
    </w:p>
    <w:p w14:paraId="2822CD86" w14:textId="378179C3" w:rsidR="00C708B7" w:rsidRPr="00FD260A" w:rsidRDefault="00C708B7" w:rsidP="003449A2">
      <w:pPr>
        <w:spacing w:after="0" w:line="240" w:lineRule="auto"/>
        <w:rPr>
          <w:rFonts w:ascii="Verdana" w:eastAsia="Times New Roman" w:hAnsi="Verdana" w:cs="Calibri"/>
          <w:color w:val="5B9BD5" w:themeColor="accent5"/>
        </w:rPr>
      </w:pPr>
    </w:p>
    <w:p w14:paraId="7D28F6E4" w14:textId="6F4C3D37" w:rsidR="00C708B7" w:rsidRPr="00FD260A" w:rsidRDefault="00C708B7" w:rsidP="003449A2">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We have expanded on the advantages of IPD meta-analyses within the methods and added a sentence in the introduction </w:t>
      </w:r>
      <w:r w:rsidR="003D16D3" w:rsidRPr="00FD260A">
        <w:rPr>
          <w:rFonts w:ascii="Verdana" w:eastAsia="Times New Roman" w:hAnsi="Verdana" w:cs="Calibri"/>
          <w:color w:val="5B9BD5" w:themeColor="accent5"/>
        </w:rPr>
        <w:t>to give the advantages and rationale for the approach.</w:t>
      </w:r>
    </w:p>
    <w:p w14:paraId="7B81A41A" w14:textId="77777777" w:rsidR="00C708B7" w:rsidRPr="00FD260A" w:rsidRDefault="00C708B7" w:rsidP="003449A2">
      <w:pPr>
        <w:spacing w:after="0" w:line="240" w:lineRule="auto"/>
        <w:rPr>
          <w:rFonts w:ascii="Arial" w:eastAsia="Times New Roman" w:hAnsi="Arial" w:cs="Arial"/>
          <w:color w:val="222222"/>
        </w:rPr>
      </w:pPr>
    </w:p>
    <w:p w14:paraId="190B8C06" w14:textId="4A0888C1" w:rsidR="003449A2" w:rsidRPr="00FD260A" w:rsidRDefault="003449A2" w:rsidP="003449A2">
      <w:pPr>
        <w:spacing w:after="0" w:line="240" w:lineRule="auto"/>
        <w:rPr>
          <w:rFonts w:ascii="Arial" w:eastAsia="Times New Roman" w:hAnsi="Arial" w:cs="Arial"/>
          <w:color w:val="222222"/>
          <w:shd w:val="clear" w:color="auto" w:fill="FFFFFF"/>
        </w:rPr>
      </w:pPr>
      <w:r w:rsidRPr="00FD260A">
        <w:rPr>
          <w:rFonts w:ascii="Arial" w:eastAsia="Times New Roman" w:hAnsi="Arial" w:cs="Arial"/>
          <w:color w:val="222222"/>
          <w:shd w:val="clear" w:color="auto" w:fill="FFFFFF"/>
        </w:rPr>
        <w:t xml:space="preserve">3. Either in the Introduction or in the Discussion, I would mention Fred’s scoping paper (Environ. Sci. Technol. 2020) on the challenges of assessing </w:t>
      </w:r>
      <w:proofErr w:type="spellStart"/>
      <w:r w:rsidRPr="00FD260A">
        <w:rPr>
          <w:rFonts w:ascii="Arial" w:eastAsia="Times New Roman" w:hAnsi="Arial" w:cs="Arial"/>
          <w:color w:val="222222"/>
          <w:shd w:val="clear" w:color="auto" w:fill="FFFFFF"/>
        </w:rPr>
        <w:t>faecal</w:t>
      </w:r>
      <w:proofErr w:type="spellEnd"/>
      <w:r w:rsidRPr="00FD260A">
        <w:rPr>
          <w:rFonts w:ascii="Arial" w:eastAsia="Times New Roman" w:hAnsi="Arial" w:cs="Arial"/>
          <w:color w:val="222222"/>
          <w:shd w:val="clear" w:color="auto" w:fill="FFFFFF"/>
        </w:rPr>
        <w:t xml:space="preserve"> contamination in the environment.  I think we should acknowledge here the raises important shortcomings about the sampling approaches and the assumptions about dose that many of our evaluations included in this paper make about how to assess intervention effects.</w:t>
      </w:r>
    </w:p>
    <w:p w14:paraId="4473238A" w14:textId="419B07B4" w:rsidR="00C708B7" w:rsidRPr="00FD260A" w:rsidRDefault="00C708B7" w:rsidP="003449A2">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 xml:space="preserve">Great </w:t>
      </w:r>
      <w:r w:rsidR="008C1DCF" w:rsidRPr="00FD260A">
        <w:rPr>
          <w:rFonts w:ascii="Verdana" w:eastAsia="Times New Roman" w:hAnsi="Verdana" w:cs="Calibri"/>
          <w:color w:val="5B9BD5" w:themeColor="accent5"/>
        </w:rPr>
        <w:t>suggestion, we have added that source and a sentence to the discussion on how single time point samples in the environment may be poor proxies for the actual ingestion of pathogens.</w:t>
      </w:r>
    </w:p>
    <w:p w14:paraId="21476B25" w14:textId="4BE626FC" w:rsidR="003D16D3" w:rsidRPr="00FD260A" w:rsidRDefault="003D16D3" w:rsidP="003449A2">
      <w:pPr>
        <w:spacing w:after="0" w:line="240" w:lineRule="auto"/>
        <w:rPr>
          <w:rFonts w:ascii="Verdana" w:eastAsia="Times New Roman" w:hAnsi="Verdana" w:cs="Calibri"/>
          <w:color w:val="5B9BD5" w:themeColor="accent5"/>
        </w:rPr>
      </w:pPr>
    </w:p>
    <w:p w14:paraId="54CE51B9" w14:textId="77777777" w:rsidR="003D16D3" w:rsidRPr="00FD260A" w:rsidRDefault="003D16D3" w:rsidP="003449A2">
      <w:pPr>
        <w:spacing w:after="0" w:line="240" w:lineRule="auto"/>
        <w:rPr>
          <w:rFonts w:ascii="Arial" w:eastAsia="Times New Roman" w:hAnsi="Arial" w:cs="Arial"/>
          <w:color w:val="222222"/>
        </w:rPr>
      </w:pPr>
    </w:p>
    <w:p w14:paraId="6B077428" w14:textId="4A0146A6" w:rsidR="003449A2" w:rsidRPr="00FD260A" w:rsidRDefault="003449A2" w:rsidP="003449A2">
      <w:pPr>
        <w:spacing w:after="0" w:line="240" w:lineRule="auto"/>
        <w:rPr>
          <w:rFonts w:ascii="Arial" w:eastAsia="Times New Roman" w:hAnsi="Arial" w:cs="Arial"/>
          <w:color w:val="222222"/>
          <w:shd w:val="clear" w:color="auto" w:fill="FFFFFF"/>
        </w:rPr>
      </w:pPr>
      <w:r w:rsidRPr="00FD260A">
        <w:rPr>
          <w:rFonts w:ascii="Arial" w:eastAsia="Times New Roman" w:hAnsi="Arial" w:cs="Arial"/>
          <w:color w:val="222222"/>
          <w:shd w:val="clear" w:color="auto" w:fill="FFFFFF"/>
        </w:rPr>
        <w:t xml:space="preserve">4.  Someplace in the limitations, we should also emphasize that none of these studies was </w:t>
      </w:r>
      <w:proofErr w:type="gramStart"/>
      <w:r w:rsidRPr="00FD260A">
        <w:rPr>
          <w:rFonts w:ascii="Arial" w:eastAsia="Times New Roman" w:hAnsi="Arial" w:cs="Arial"/>
          <w:color w:val="222222"/>
          <w:shd w:val="clear" w:color="auto" w:fill="FFFFFF"/>
        </w:rPr>
        <w:t>actually designed</w:t>
      </w:r>
      <w:proofErr w:type="gramEnd"/>
      <w:r w:rsidRPr="00FD260A">
        <w:rPr>
          <w:rFonts w:ascii="Arial" w:eastAsia="Times New Roman" w:hAnsi="Arial" w:cs="Arial"/>
          <w:color w:val="222222"/>
          <w:shd w:val="clear" w:color="auto" w:fill="FFFFFF"/>
        </w:rPr>
        <w:t xml:space="preserve"> primarily to assess intervention effects on pathogens in the environment.</w:t>
      </w:r>
    </w:p>
    <w:p w14:paraId="2E00352F" w14:textId="65467F9B" w:rsidR="00C708B7" w:rsidRPr="00FD260A" w:rsidRDefault="00C708B7" w:rsidP="003449A2">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Great po</w:t>
      </w:r>
      <w:r w:rsidR="009A1448" w:rsidRPr="00FD260A">
        <w:rPr>
          <w:rFonts w:ascii="Verdana" w:eastAsia="Times New Roman" w:hAnsi="Verdana" w:cs="Calibri"/>
          <w:color w:val="5B9BD5" w:themeColor="accent5"/>
        </w:rPr>
        <w:t>int</w:t>
      </w:r>
      <w:r w:rsidR="00B6239E" w:rsidRPr="00FD260A">
        <w:rPr>
          <w:rFonts w:ascii="Verdana" w:eastAsia="Times New Roman" w:hAnsi="Verdana" w:cs="Calibri"/>
          <w:color w:val="5B9BD5" w:themeColor="accent5"/>
        </w:rPr>
        <w:t>, we have added that to the limitations.</w:t>
      </w:r>
    </w:p>
    <w:p w14:paraId="05F0C5D5" w14:textId="77777777" w:rsidR="009A1448" w:rsidRPr="00FD260A" w:rsidRDefault="009A1448" w:rsidP="003449A2">
      <w:pPr>
        <w:spacing w:after="0" w:line="240" w:lineRule="auto"/>
        <w:rPr>
          <w:rFonts w:ascii="Arial" w:eastAsia="Times New Roman" w:hAnsi="Arial" w:cs="Arial"/>
          <w:color w:val="222222"/>
        </w:rPr>
      </w:pPr>
    </w:p>
    <w:p w14:paraId="1800024B" w14:textId="77777777" w:rsidR="003449A2" w:rsidRPr="00FD260A" w:rsidRDefault="003449A2" w:rsidP="003449A2">
      <w:pPr>
        <w:spacing w:after="0" w:line="240" w:lineRule="auto"/>
        <w:rPr>
          <w:rFonts w:ascii="Arial" w:eastAsia="Times New Roman" w:hAnsi="Arial" w:cs="Arial"/>
          <w:color w:val="222222"/>
        </w:rPr>
      </w:pPr>
      <w:r w:rsidRPr="00FD260A">
        <w:rPr>
          <w:rFonts w:ascii="Arial" w:eastAsia="Times New Roman" w:hAnsi="Arial" w:cs="Arial"/>
          <w:color w:val="222222"/>
          <w:shd w:val="clear" w:color="auto" w:fill="FFFFFF"/>
        </w:rPr>
        <w:t xml:space="preserve">5. I understand the shortcomings of </w:t>
      </w:r>
      <w:proofErr w:type="gramStart"/>
      <w:r w:rsidRPr="00FD260A">
        <w:rPr>
          <w:rFonts w:ascii="Arial" w:eastAsia="Times New Roman" w:hAnsi="Arial" w:cs="Arial"/>
          <w:color w:val="222222"/>
          <w:shd w:val="clear" w:color="auto" w:fill="FFFFFF"/>
        </w:rPr>
        <w:t>proxies</w:t>
      </w:r>
      <w:proofErr w:type="gramEnd"/>
      <w:r w:rsidRPr="00FD260A">
        <w:rPr>
          <w:rFonts w:ascii="Arial" w:eastAsia="Times New Roman" w:hAnsi="Arial" w:cs="Arial"/>
          <w:color w:val="222222"/>
          <w:shd w:val="clear" w:color="auto" w:fill="FFFFFF"/>
        </w:rPr>
        <w:t xml:space="preserve"> vs pathogens, but I’m not quite so willing to dismiss the usefulness of assessing proxies.  In separate IPDs with many more observations than presented here, Goddard (Lancet PH 2020) and Hodge (EHP 2016) both showed a </w:t>
      </w:r>
      <w:proofErr w:type="gramStart"/>
      <w:r w:rsidRPr="00FD260A">
        <w:rPr>
          <w:rFonts w:ascii="Arial" w:eastAsia="Times New Roman" w:hAnsi="Arial" w:cs="Arial"/>
          <w:color w:val="222222"/>
          <w:shd w:val="clear" w:color="auto" w:fill="FFFFFF"/>
        </w:rPr>
        <w:t>pretty strong</w:t>
      </w:r>
      <w:proofErr w:type="gramEnd"/>
      <w:r w:rsidRPr="00FD260A">
        <w:rPr>
          <w:rFonts w:ascii="Arial" w:eastAsia="Times New Roman" w:hAnsi="Arial" w:cs="Arial"/>
          <w:color w:val="222222"/>
          <w:shd w:val="clear" w:color="auto" w:fill="FFFFFF"/>
        </w:rPr>
        <w:t xml:space="preserve"> association between proxies and health outcomes (DD and HAZ).  It’s also a much cheaper, </w:t>
      </w:r>
      <w:proofErr w:type="gramStart"/>
      <w:r w:rsidRPr="00FD260A">
        <w:rPr>
          <w:rFonts w:ascii="Arial" w:eastAsia="Times New Roman" w:hAnsi="Arial" w:cs="Arial"/>
          <w:color w:val="222222"/>
          <w:shd w:val="clear" w:color="auto" w:fill="FFFFFF"/>
        </w:rPr>
        <w:t>accessible</w:t>
      </w:r>
      <w:proofErr w:type="gramEnd"/>
      <w:r w:rsidRPr="00FD260A">
        <w:rPr>
          <w:rFonts w:ascii="Arial" w:eastAsia="Times New Roman" w:hAnsi="Arial" w:cs="Arial"/>
          <w:color w:val="222222"/>
          <w:shd w:val="clear" w:color="auto" w:fill="FFFFFF"/>
        </w:rPr>
        <w:t xml:space="preserve"> and field-ready method.   We need to acknowledge this in the Discussion, and perhaps not be too quick to announce the death of proxies just yet.  As you know, they still are prominent in water quality testing worldwide, as recommended by the GDWQ.</w:t>
      </w:r>
    </w:p>
    <w:p w14:paraId="2F56D0BE" w14:textId="77777777" w:rsidR="00B6239E" w:rsidRPr="00FD260A" w:rsidRDefault="00B6239E" w:rsidP="003449A2">
      <w:pPr>
        <w:spacing w:after="0" w:line="240" w:lineRule="auto"/>
        <w:rPr>
          <w:rFonts w:ascii="Calibri" w:eastAsia="Times New Roman" w:hAnsi="Calibri" w:cs="Calibri"/>
        </w:rPr>
      </w:pPr>
    </w:p>
    <w:p w14:paraId="75767CA2" w14:textId="4C749CD9" w:rsidR="00B6239E" w:rsidRPr="00FD260A" w:rsidRDefault="00F45E74" w:rsidP="00B6239E">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Based on this and other suggestions, w</w:t>
      </w:r>
      <w:r w:rsidR="00B6239E" w:rsidRPr="00FD260A">
        <w:rPr>
          <w:rFonts w:ascii="Verdana" w:eastAsia="Times New Roman" w:hAnsi="Verdana" w:cs="Calibri"/>
          <w:color w:val="5B9BD5" w:themeColor="accent5"/>
        </w:rPr>
        <w:t>e have rewritten the discussion to better discuss the comparisons and use-cased for FIB vs. pathogens</w:t>
      </w:r>
      <w:r w:rsidRPr="00FD260A">
        <w:rPr>
          <w:rFonts w:ascii="Verdana" w:eastAsia="Times New Roman" w:hAnsi="Verdana" w:cs="Calibri"/>
          <w:color w:val="5B9BD5" w:themeColor="accent5"/>
        </w:rPr>
        <w:t xml:space="preserve">, and now advocate for using both in different circumstances due to the low cost of FIB, especially </w:t>
      </w:r>
      <w:proofErr w:type="gramStart"/>
      <w:r w:rsidRPr="00FD260A">
        <w:rPr>
          <w:rFonts w:ascii="Verdana" w:eastAsia="Times New Roman" w:hAnsi="Verdana" w:cs="Calibri"/>
          <w:color w:val="5B9BD5" w:themeColor="accent5"/>
        </w:rPr>
        <w:t>in light of</w:t>
      </w:r>
      <w:proofErr w:type="gramEnd"/>
      <w:r w:rsidRPr="00FD260A">
        <w:rPr>
          <w:rFonts w:ascii="Verdana" w:eastAsia="Times New Roman" w:hAnsi="Verdana" w:cs="Calibri"/>
          <w:color w:val="5B9BD5" w:themeColor="accent5"/>
        </w:rPr>
        <w:t xml:space="preserve"> the limited association between pathogens and diarrheal disease in our second paper on this dataset.</w:t>
      </w:r>
    </w:p>
    <w:p w14:paraId="0E1609F6" w14:textId="77777777" w:rsidR="00B6239E" w:rsidRPr="00FD260A" w:rsidRDefault="00B6239E" w:rsidP="003449A2">
      <w:pPr>
        <w:spacing w:after="0" w:line="240" w:lineRule="auto"/>
        <w:rPr>
          <w:rFonts w:ascii="Calibri" w:eastAsia="Times New Roman" w:hAnsi="Calibri" w:cs="Calibri"/>
        </w:rPr>
      </w:pPr>
    </w:p>
    <w:p w14:paraId="7E88D564" w14:textId="30C3E910" w:rsidR="00B6239E" w:rsidRPr="00FD260A" w:rsidRDefault="00B6239E" w:rsidP="00B6239E">
      <w:pPr>
        <w:pStyle w:val="Heading1"/>
      </w:pPr>
      <w:r w:rsidRPr="00FD260A">
        <w:lastRenderedPageBreak/>
        <w:t xml:space="preserve">Ben Arnold </w:t>
      </w:r>
    </w:p>
    <w:p w14:paraId="22BDF542" w14:textId="3092E2DD"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6C76A7CF" w14:textId="77777777" w:rsidR="003449A2" w:rsidRPr="00FD260A" w:rsidRDefault="003449A2" w:rsidP="003449A2">
      <w:pPr>
        <w:spacing w:after="0" w:line="240" w:lineRule="auto"/>
        <w:rPr>
          <w:rFonts w:ascii="Arial" w:eastAsia="Times New Roman" w:hAnsi="Arial" w:cs="Arial"/>
          <w:color w:val="000000"/>
        </w:rPr>
      </w:pPr>
      <w:r w:rsidRPr="00FD260A">
        <w:rPr>
          <w:rFonts w:ascii="Arial" w:eastAsia="Times New Roman" w:hAnsi="Arial" w:cs="Arial"/>
          <w:color w:val="000000"/>
        </w:rPr>
        <w:t>Hi Ayse and Andrew</w:t>
      </w:r>
    </w:p>
    <w:p w14:paraId="1F10B14E" w14:textId="77777777" w:rsidR="003449A2" w:rsidRPr="00FD260A" w:rsidRDefault="003449A2" w:rsidP="003449A2">
      <w:pPr>
        <w:spacing w:after="0" w:line="240" w:lineRule="auto"/>
        <w:rPr>
          <w:rFonts w:ascii="Arial" w:eastAsia="Times New Roman" w:hAnsi="Arial" w:cs="Arial"/>
          <w:color w:val="000000"/>
        </w:rPr>
      </w:pPr>
      <w:r w:rsidRPr="00FD260A">
        <w:rPr>
          <w:rFonts w:ascii="Arial" w:eastAsia="Times New Roman" w:hAnsi="Arial" w:cs="Arial"/>
          <w:color w:val="000000"/>
        </w:rPr>
        <w:t>Really great synthesis and clear paper!  I also agree with Tom and Steve's points. I have added a few additional small comments for your consideration.</w:t>
      </w:r>
    </w:p>
    <w:p w14:paraId="5E6EAF9C" w14:textId="77777777" w:rsidR="003449A2" w:rsidRPr="00FD260A" w:rsidRDefault="003449A2" w:rsidP="003449A2">
      <w:pPr>
        <w:spacing w:after="0" w:line="240" w:lineRule="auto"/>
        <w:rPr>
          <w:rFonts w:ascii="Arial" w:eastAsia="Times New Roman" w:hAnsi="Arial" w:cs="Arial"/>
          <w:color w:val="000000"/>
        </w:rPr>
      </w:pPr>
      <w:r w:rsidRPr="00FD260A">
        <w:rPr>
          <w:rFonts w:ascii="Arial" w:eastAsia="Times New Roman" w:hAnsi="Arial" w:cs="Arial"/>
          <w:color w:val="000000"/>
        </w:rPr>
        <w:t xml:space="preserve">Echoing Tom's remarks around FIB but channeling our work in a different field around </w:t>
      </w:r>
      <w:proofErr w:type="spellStart"/>
      <w:r w:rsidRPr="00FD260A">
        <w:rPr>
          <w:rFonts w:ascii="Arial" w:eastAsia="Times New Roman" w:hAnsi="Arial" w:cs="Arial"/>
          <w:color w:val="000000"/>
        </w:rPr>
        <w:t>seroepidemiology</w:t>
      </w:r>
      <w:proofErr w:type="spellEnd"/>
      <w:r w:rsidRPr="00FD260A">
        <w:rPr>
          <w:rFonts w:ascii="Arial" w:eastAsia="Times New Roman" w:hAnsi="Arial" w:cs="Arial"/>
          <w:color w:val="000000"/>
        </w:rPr>
        <w:t xml:space="preserve"> (e.g., with Njenga): I have found when proposing new biomarkers for surveillance or endpoints in trials, that the scientific community typically wants to see the head-to-head comparison of the new markers with the current standard measures. I suspect that is beyond the scope of this work, but it is something you can anticipate people being </w:t>
      </w:r>
      <w:proofErr w:type="gramStart"/>
      <w:r w:rsidRPr="00FD260A">
        <w:rPr>
          <w:rFonts w:ascii="Arial" w:eastAsia="Times New Roman" w:hAnsi="Arial" w:cs="Arial"/>
          <w:color w:val="000000"/>
        </w:rPr>
        <w:t>pretty curious</w:t>
      </w:r>
      <w:proofErr w:type="gramEnd"/>
      <w:r w:rsidRPr="00FD260A">
        <w:rPr>
          <w:rFonts w:ascii="Arial" w:eastAsia="Times New Roman" w:hAnsi="Arial" w:cs="Arial"/>
          <w:color w:val="000000"/>
        </w:rPr>
        <w:t xml:space="preserve"> about.</w:t>
      </w:r>
    </w:p>
    <w:p w14:paraId="5753EF4D"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59C8E29B" w14:textId="0AE7464B"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r w:rsidR="00F45E74" w:rsidRPr="00FD260A">
        <w:rPr>
          <w:rFonts w:ascii="Verdana" w:eastAsia="Times New Roman" w:hAnsi="Verdana" w:cs="Calibri"/>
          <w:color w:val="5B9BD5" w:themeColor="accent5"/>
        </w:rPr>
        <w:t>Thanks Ben, including FIB bacteria as another outcome is beyond the scope of this work and isn’t currently included in all studies in the data shared with us, but is a good idea for a potential follow-on paper.</w:t>
      </w:r>
    </w:p>
    <w:p w14:paraId="3F1229F5" w14:textId="625205A8"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7FAFD924" w14:textId="77777777" w:rsidR="0099249E" w:rsidRPr="00FD260A" w:rsidRDefault="0099249E" w:rsidP="003449A2">
      <w:pPr>
        <w:spacing w:after="0" w:line="240" w:lineRule="auto"/>
        <w:rPr>
          <w:rFonts w:ascii="Calibri" w:eastAsia="Times New Roman" w:hAnsi="Calibri" w:cs="Calibri"/>
        </w:rPr>
      </w:pPr>
    </w:p>
    <w:p w14:paraId="1602E3C9" w14:textId="77777777" w:rsidR="008C6E63" w:rsidRPr="002B5183" w:rsidRDefault="003449A2" w:rsidP="008C6E63">
      <w:pPr>
        <w:pStyle w:val="CommentText"/>
        <w:rPr>
          <w:rFonts w:ascii="Arial" w:hAnsi="Arial" w:cs="Arial"/>
          <w:sz w:val="22"/>
          <w:szCs w:val="22"/>
        </w:rPr>
      </w:pPr>
      <w:r w:rsidRPr="002B5183">
        <w:rPr>
          <w:rFonts w:ascii="Arial" w:eastAsia="Times New Roman" w:hAnsi="Arial" w:cs="Arial"/>
          <w:sz w:val="22"/>
          <w:szCs w:val="22"/>
        </w:rPr>
        <w:t> </w:t>
      </w:r>
      <w:r w:rsidR="008C6E63" w:rsidRPr="002B5183">
        <w:rPr>
          <w:rFonts w:ascii="Arial" w:hAnsi="Arial" w:cs="Arial"/>
          <w:sz w:val="22"/>
          <w:szCs w:val="22"/>
        </w:rPr>
        <w:t xml:space="preserve">I know space is </w:t>
      </w:r>
      <w:proofErr w:type="gramStart"/>
      <w:r w:rsidR="008C6E63" w:rsidRPr="002B5183">
        <w:rPr>
          <w:rFonts w:ascii="Arial" w:hAnsi="Arial" w:cs="Arial"/>
          <w:sz w:val="22"/>
          <w:szCs w:val="22"/>
        </w:rPr>
        <w:t>limited, but</w:t>
      </w:r>
      <w:proofErr w:type="gramEnd"/>
      <w:r w:rsidR="008C6E63" w:rsidRPr="002B5183">
        <w:rPr>
          <w:rFonts w:ascii="Arial" w:hAnsi="Arial" w:cs="Arial"/>
          <w:sz w:val="22"/>
          <w:szCs w:val="22"/>
        </w:rPr>
        <w:t xml:space="preserve"> might be helpful to understand the rationale for this composite outcome and how it could/should be interpreted.  I can imagine upsides and downsides, but I’m sure you all have discussed and thought very carefully about it!</w:t>
      </w:r>
    </w:p>
    <w:p w14:paraId="3D4F33A4" w14:textId="78C777A9" w:rsidR="002B5183" w:rsidRPr="002B5183" w:rsidRDefault="002B5183" w:rsidP="002B5183">
      <w:pPr>
        <w:pStyle w:val="CommentText"/>
        <w:rPr>
          <w:rFonts w:ascii="Verdana" w:eastAsia="Times New Roman" w:hAnsi="Verdana" w:cs="Calibri"/>
          <w:color w:val="5B9BD5" w:themeColor="accent5"/>
        </w:rPr>
      </w:pPr>
      <w:r w:rsidRPr="002B5183">
        <w:rPr>
          <w:rFonts w:ascii="Verdana" w:eastAsia="Times New Roman" w:hAnsi="Verdana" w:cs="Calibri"/>
          <w:color w:val="5B9BD5" w:themeColor="accent5"/>
        </w:rPr>
        <w:t>We have clarified here that the composite markers and assessed separately.</w:t>
      </w:r>
    </w:p>
    <w:p w14:paraId="227CF3AC" w14:textId="77777777" w:rsidR="002B5183" w:rsidRPr="002B5183" w:rsidRDefault="002B5183" w:rsidP="002B5183">
      <w:pPr>
        <w:pStyle w:val="CommentText"/>
        <w:rPr>
          <w:rFonts w:ascii="Verdana" w:eastAsia="Times New Roman" w:hAnsi="Verdana" w:cs="Calibri"/>
          <w:color w:val="5B9BD5" w:themeColor="accent5"/>
        </w:rPr>
      </w:pPr>
      <w:r w:rsidRPr="002B5183">
        <w:rPr>
          <w:rFonts w:ascii="Verdana" w:eastAsia="Times New Roman" w:hAnsi="Verdana" w:cs="Calibri"/>
          <w:color w:val="5B9BD5" w:themeColor="accent5"/>
        </w:rPr>
        <w:t>While we are also cautious about the composite indicator because of the greater uncertainty in what an effect on a composite indicator should be interpreted as, we chose to focus on them as primary outcomes because on the mostly different set of individual targets measured in studies as well as the sparsity of some individual outcomes. To be able to pool across studies and better leverage the IPD nature of the analysis, composite measures were needed, but we hope we also sufficiently highlighted intervention effects (or lack thereof) on individual outcomes.</w:t>
      </w:r>
    </w:p>
    <w:p w14:paraId="07127D16" w14:textId="292EDE3F" w:rsidR="008C6E63" w:rsidRPr="00FD260A" w:rsidRDefault="002B5183" w:rsidP="002B5183">
      <w:pPr>
        <w:pStyle w:val="CommentText"/>
      </w:pPr>
      <w:r w:rsidRPr="002B5183">
        <w:rPr>
          <w:rFonts w:ascii="Verdana" w:eastAsia="Times New Roman" w:hAnsi="Verdana" w:cs="Calibri"/>
          <w:color w:val="5B9BD5" w:themeColor="accent5"/>
        </w:rPr>
        <w:t>We’ve added a longer discussion of the limitation of interpreting effects on composite outcomes to the Discussion (and cited the paper</w:t>
      </w:r>
      <w:r>
        <w:rPr>
          <w:rFonts w:ascii="Verdana" w:eastAsia="Times New Roman" w:hAnsi="Verdana" w:cs="Calibri"/>
          <w:color w:val="5B9BD5" w:themeColor="accent5"/>
        </w:rPr>
        <w:t xml:space="preserve"> you shared</w:t>
      </w:r>
      <w:r w:rsidRPr="002B5183">
        <w:rPr>
          <w:rFonts w:ascii="Verdana" w:eastAsia="Times New Roman" w:hAnsi="Verdana" w:cs="Calibri"/>
          <w:color w:val="5B9BD5" w:themeColor="accent5"/>
        </w:rPr>
        <w:t>).</w:t>
      </w:r>
      <w:r w:rsidRPr="00FD260A">
        <w:rPr>
          <w:rFonts w:ascii="Verdana" w:eastAsia="Times New Roman" w:hAnsi="Verdana" w:cs="Calibri"/>
          <w:color w:val="5B9BD5" w:themeColor="accent5"/>
        </w:rPr>
        <w:t xml:space="preserve"> </w:t>
      </w:r>
    </w:p>
    <w:p w14:paraId="36E07997" w14:textId="6B557162" w:rsidR="003449A2" w:rsidRPr="00FD260A" w:rsidRDefault="003449A2" w:rsidP="003449A2">
      <w:pPr>
        <w:spacing w:after="0" w:line="240" w:lineRule="auto"/>
        <w:rPr>
          <w:rFonts w:ascii="Calibri" w:eastAsia="Times New Roman" w:hAnsi="Calibri" w:cs="Calibri"/>
        </w:rPr>
      </w:pPr>
    </w:p>
    <w:p w14:paraId="5CA56AAC"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76D70ABC" w14:textId="77777777"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1B7A05F9" w14:textId="0A31EDBD" w:rsidR="003449A2" w:rsidRPr="00FD260A" w:rsidRDefault="003449A2" w:rsidP="003449A2">
      <w:pPr>
        <w:spacing w:after="0" w:line="240" w:lineRule="auto"/>
        <w:rPr>
          <w:rFonts w:ascii="Calibri" w:eastAsia="Times New Roman" w:hAnsi="Calibri" w:cs="Calibri"/>
        </w:rPr>
      </w:pPr>
      <w:r w:rsidRPr="00FD260A">
        <w:rPr>
          <w:rFonts w:ascii="Calibri" w:eastAsia="Times New Roman" w:hAnsi="Calibri" w:cs="Calibri"/>
        </w:rPr>
        <w:t> </w:t>
      </w:r>
    </w:p>
    <w:p w14:paraId="54485A37" w14:textId="31D981F9" w:rsidR="0099249E" w:rsidRPr="00FD260A" w:rsidRDefault="0099249E" w:rsidP="0099249E">
      <w:pPr>
        <w:pStyle w:val="Heading1"/>
      </w:pPr>
      <w:r w:rsidRPr="00FD260A">
        <w:t>Laura Kwong</w:t>
      </w:r>
    </w:p>
    <w:p w14:paraId="387A1D43" w14:textId="3FC1769F" w:rsidR="0099249E" w:rsidRPr="00FD260A" w:rsidRDefault="0099249E" w:rsidP="003449A2">
      <w:pPr>
        <w:spacing w:after="0" w:line="240" w:lineRule="auto"/>
        <w:rPr>
          <w:rFonts w:ascii="Calibri" w:eastAsia="Times New Roman" w:hAnsi="Calibri" w:cs="Calibri"/>
        </w:rPr>
      </w:pPr>
    </w:p>
    <w:p w14:paraId="7BF07F16" w14:textId="77777777" w:rsidR="0099249E" w:rsidRPr="00FD260A" w:rsidRDefault="0099249E" w:rsidP="003449A2">
      <w:pPr>
        <w:spacing w:after="0" w:line="240" w:lineRule="auto"/>
        <w:rPr>
          <w:rFonts w:ascii="Calibri" w:eastAsia="Times New Roman" w:hAnsi="Calibri" w:cs="Calibri"/>
        </w:rPr>
      </w:pPr>
    </w:p>
    <w:p w14:paraId="4E4F2F59" w14:textId="77777777" w:rsidR="003449A2" w:rsidRPr="00FD260A" w:rsidRDefault="003449A2" w:rsidP="003449A2">
      <w:pPr>
        <w:spacing w:after="0" w:line="240" w:lineRule="auto"/>
        <w:rPr>
          <w:rFonts w:ascii="Arial" w:eastAsia="Times New Roman" w:hAnsi="Arial" w:cs="Arial"/>
          <w:color w:val="222222"/>
        </w:rPr>
      </w:pPr>
      <w:r w:rsidRPr="00FD260A">
        <w:rPr>
          <w:rFonts w:ascii="Arial" w:eastAsia="Times New Roman" w:hAnsi="Arial" w:cs="Arial"/>
          <w:color w:val="222222"/>
        </w:rPr>
        <w:t>Excellent write-up and clear graphics. I don't have anything to add to the helpful comments that have already been made, except that you could mention the limitation of environmental sampling - we are only able to sample relatively small quantities from single locations at single points in time, which does not reflect a child's exposure; it is possible that we could see reductions in pathogen concentrations if we were able to sample larger quantities of (composite) environmental samples. </w:t>
      </w:r>
    </w:p>
    <w:p w14:paraId="4ED839F4" w14:textId="77777777" w:rsidR="003449A2" w:rsidRPr="00FD260A" w:rsidRDefault="003449A2" w:rsidP="003449A2">
      <w:pPr>
        <w:spacing w:after="0" w:line="240" w:lineRule="auto"/>
        <w:rPr>
          <w:rFonts w:ascii="Arial" w:eastAsia="Times New Roman" w:hAnsi="Arial" w:cs="Arial"/>
          <w:color w:val="222222"/>
        </w:rPr>
      </w:pPr>
      <w:r w:rsidRPr="00FD260A">
        <w:rPr>
          <w:rFonts w:ascii="Arial" w:eastAsia="Times New Roman" w:hAnsi="Arial" w:cs="Arial"/>
          <w:color w:val="222222"/>
        </w:rPr>
        <w:t>Thanks,</w:t>
      </w:r>
    </w:p>
    <w:p w14:paraId="58343090" w14:textId="77777777" w:rsidR="003449A2" w:rsidRPr="00FD260A" w:rsidRDefault="003449A2" w:rsidP="003449A2">
      <w:pPr>
        <w:spacing w:after="0" w:line="240" w:lineRule="auto"/>
        <w:rPr>
          <w:rFonts w:ascii="Arial" w:eastAsia="Times New Roman" w:hAnsi="Arial" w:cs="Arial"/>
          <w:color w:val="222222"/>
        </w:rPr>
      </w:pPr>
      <w:r w:rsidRPr="00FD260A">
        <w:rPr>
          <w:rFonts w:ascii="Arial" w:eastAsia="Times New Roman" w:hAnsi="Arial" w:cs="Arial"/>
          <w:color w:val="222222"/>
        </w:rPr>
        <w:t>Laura</w:t>
      </w:r>
    </w:p>
    <w:p w14:paraId="1CAFCE37" w14:textId="12536E07" w:rsidR="003449A2" w:rsidRPr="00FD260A" w:rsidRDefault="003449A2" w:rsidP="0099249E">
      <w:pPr>
        <w:spacing w:after="0" w:line="240" w:lineRule="auto"/>
        <w:rPr>
          <w:rFonts w:ascii="Calibri" w:eastAsia="Times New Roman" w:hAnsi="Calibri" w:cs="Calibri"/>
        </w:rPr>
      </w:pPr>
      <w:r w:rsidRPr="00FD260A">
        <w:rPr>
          <w:rFonts w:ascii="Calibri" w:eastAsia="Times New Roman" w:hAnsi="Calibri" w:cs="Calibri"/>
        </w:rPr>
        <w:lastRenderedPageBreak/>
        <w:t> </w:t>
      </w:r>
    </w:p>
    <w:p w14:paraId="7D1975FA" w14:textId="61659D61" w:rsidR="0099249E" w:rsidRPr="007E3B7B" w:rsidRDefault="0099249E" w:rsidP="0099249E">
      <w:pPr>
        <w:spacing w:after="0" w:line="240" w:lineRule="auto"/>
        <w:rPr>
          <w:rFonts w:ascii="Verdana" w:eastAsia="Times New Roman" w:hAnsi="Verdana" w:cs="Calibri"/>
          <w:color w:val="5B9BD5" w:themeColor="accent5"/>
        </w:rPr>
      </w:pPr>
      <w:r w:rsidRPr="00FD260A">
        <w:rPr>
          <w:rFonts w:ascii="Verdana" w:eastAsia="Times New Roman" w:hAnsi="Verdana" w:cs="Calibri"/>
          <w:color w:val="5B9BD5" w:themeColor="accent5"/>
        </w:rPr>
        <w:t>Good suggestion, we added that limitation to the discussion.</w:t>
      </w:r>
    </w:p>
    <w:p w14:paraId="709772BB" w14:textId="77777777" w:rsidR="0099249E" w:rsidRDefault="0099249E"/>
    <w:sectPr w:rsidR="0099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30B"/>
    <w:multiLevelType w:val="hybridMultilevel"/>
    <w:tmpl w:val="2526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772A9"/>
    <w:multiLevelType w:val="multilevel"/>
    <w:tmpl w:val="308A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716D0"/>
    <w:multiLevelType w:val="multilevel"/>
    <w:tmpl w:val="B3A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A2"/>
    <w:rsid w:val="00020686"/>
    <w:rsid w:val="000857F3"/>
    <w:rsid w:val="000D20E1"/>
    <w:rsid w:val="001A5CFA"/>
    <w:rsid w:val="00210885"/>
    <w:rsid w:val="0028585C"/>
    <w:rsid w:val="002B5183"/>
    <w:rsid w:val="002E1E93"/>
    <w:rsid w:val="002E67D2"/>
    <w:rsid w:val="003231A1"/>
    <w:rsid w:val="003449A2"/>
    <w:rsid w:val="00353932"/>
    <w:rsid w:val="003D16D3"/>
    <w:rsid w:val="00467FD4"/>
    <w:rsid w:val="0047035B"/>
    <w:rsid w:val="00537577"/>
    <w:rsid w:val="00551A18"/>
    <w:rsid w:val="0058268B"/>
    <w:rsid w:val="00591E60"/>
    <w:rsid w:val="005B6553"/>
    <w:rsid w:val="005E726D"/>
    <w:rsid w:val="00622A22"/>
    <w:rsid w:val="006B0154"/>
    <w:rsid w:val="006B4C6B"/>
    <w:rsid w:val="00745062"/>
    <w:rsid w:val="00766BF2"/>
    <w:rsid w:val="0079323D"/>
    <w:rsid w:val="007D2B4D"/>
    <w:rsid w:val="007E3B7B"/>
    <w:rsid w:val="007F2F1E"/>
    <w:rsid w:val="00821917"/>
    <w:rsid w:val="008A1489"/>
    <w:rsid w:val="008C1DCF"/>
    <w:rsid w:val="008C6E63"/>
    <w:rsid w:val="008D295D"/>
    <w:rsid w:val="008E527D"/>
    <w:rsid w:val="0099249E"/>
    <w:rsid w:val="009A1448"/>
    <w:rsid w:val="009B31F8"/>
    <w:rsid w:val="009B670A"/>
    <w:rsid w:val="00A8165A"/>
    <w:rsid w:val="00AC4960"/>
    <w:rsid w:val="00AD506F"/>
    <w:rsid w:val="00AF2BBC"/>
    <w:rsid w:val="00B23A67"/>
    <w:rsid w:val="00B51B68"/>
    <w:rsid w:val="00B52B43"/>
    <w:rsid w:val="00B6239E"/>
    <w:rsid w:val="00BE51C0"/>
    <w:rsid w:val="00C53DC8"/>
    <w:rsid w:val="00C55237"/>
    <w:rsid w:val="00C708B7"/>
    <w:rsid w:val="00CE596A"/>
    <w:rsid w:val="00CF3889"/>
    <w:rsid w:val="00D11A27"/>
    <w:rsid w:val="00D81BFA"/>
    <w:rsid w:val="00D90448"/>
    <w:rsid w:val="00EB0C85"/>
    <w:rsid w:val="00F1501A"/>
    <w:rsid w:val="00F25A55"/>
    <w:rsid w:val="00F411AC"/>
    <w:rsid w:val="00F45E74"/>
    <w:rsid w:val="00F57549"/>
    <w:rsid w:val="00F801E2"/>
    <w:rsid w:val="00FD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C878"/>
  <w15:docId w15:val="{3F78514E-D78C-409D-ABB0-B09088C7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49A2"/>
    <w:rPr>
      <w:color w:val="0000FF"/>
      <w:u w:val="single"/>
    </w:rPr>
  </w:style>
  <w:style w:type="character" w:styleId="HTMLCite">
    <w:name w:val="HTML Cite"/>
    <w:basedOn w:val="DefaultParagraphFont"/>
    <w:uiPriority w:val="99"/>
    <w:semiHidden/>
    <w:unhideWhenUsed/>
    <w:rsid w:val="003449A2"/>
    <w:rPr>
      <w:i/>
      <w:iCs/>
    </w:rPr>
  </w:style>
  <w:style w:type="character" w:styleId="CommentReference">
    <w:name w:val="annotation reference"/>
    <w:basedOn w:val="DefaultParagraphFont"/>
    <w:semiHidden/>
    <w:unhideWhenUsed/>
    <w:rsid w:val="0058268B"/>
    <w:rPr>
      <w:sz w:val="16"/>
      <w:szCs w:val="16"/>
    </w:rPr>
  </w:style>
  <w:style w:type="paragraph" w:styleId="CommentText">
    <w:name w:val="annotation text"/>
    <w:basedOn w:val="Normal"/>
    <w:link w:val="CommentTextChar"/>
    <w:unhideWhenUsed/>
    <w:rsid w:val="0058268B"/>
    <w:pPr>
      <w:spacing w:line="240" w:lineRule="auto"/>
    </w:pPr>
    <w:rPr>
      <w:sz w:val="20"/>
      <w:szCs w:val="20"/>
    </w:rPr>
  </w:style>
  <w:style w:type="character" w:customStyle="1" w:styleId="CommentTextChar">
    <w:name w:val="Comment Text Char"/>
    <w:basedOn w:val="DefaultParagraphFont"/>
    <w:link w:val="CommentText"/>
    <w:rsid w:val="0058268B"/>
    <w:rPr>
      <w:sz w:val="20"/>
      <w:szCs w:val="20"/>
    </w:rPr>
  </w:style>
  <w:style w:type="paragraph" w:styleId="CommentSubject">
    <w:name w:val="annotation subject"/>
    <w:basedOn w:val="CommentText"/>
    <w:next w:val="CommentText"/>
    <w:link w:val="CommentSubjectChar"/>
    <w:uiPriority w:val="99"/>
    <w:semiHidden/>
    <w:unhideWhenUsed/>
    <w:rsid w:val="0058268B"/>
    <w:rPr>
      <w:b/>
      <w:bCs/>
    </w:rPr>
  </w:style>
  <w:style w:type="character" w:customStyle="1" w:styleId="CommentSubjectChar">
    <w:name w:val="Comment Subject Char"/>
    <w:basedOn w:val="CommentTextChar"/>
    <w:link w:val="CommentSubject"/>
    <w:uiPriority w:val="99"/>
    <w:semiHidden/>
    <w:rsid w:val="0058268B"/>
    <w:rPr>
      <w:b/>
      <w:bCs/>
      <w:sz w:val="20"/>
      <w:szCs w:val="20"/>
    </w:rPr>
  </w:style>
  <w:style w:type="paragraph" w:styleId="ListParagraph">
    <w:name w:val="List Paragraph"/>
    <w:basedOn w:val="Normal"/>
    <w:uiPriority w:val="34"/>
    <w:qFormat/>
    <w:rsid w:val="008E527D"/>
    <w:pPr>
      <w:ind w:left="720"/>
      <w:contextualSpacing/>
    </w:pPr>
  </w:style>
  <w:style w:type="paragraph" w:customStyle="1" w:styleId="articlebodyabstracttext">
    <w:name w:val="articlebody_abstracttext"/>
    <w:basedOn w:val="Normal"/>
    <w:rsid w:val="0047035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E3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3B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E3B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C6E63"/>
    <w:pPr>
      <w:numPr>
        <w:ilvl w:val="1"/>
      </w:numPr>
      <w:spacing w:after="240" w:line="252" w:lineRule="auto"/>
      <w:ind w:firstLine="72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6E63"/>
    <w:rPr>
      <w:rFonts w:asciiTheme="majorHAnsi" w:eastAsiaTheme="majorEastAsia" w:hAnsiTheme="majorHAnsi" w:cstheme="majorBidi"/>
      <w:sz w:val="24"/>
      <w:szCs w:val="24"/>
    </w:rPr>
  </w:style>
  <w:style w:type="character" w:styleId="Strong">
    <w:name w:val="Strong"/>
    <w:basedOn w:val="DefaultParagraphFont"/>
    <w:uiPriority w:val="22"/>
    <w:qFormat/>
    <w:rsid w:val="00FD2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55021">
      <w:bodyDiv w:val="1"/>
      <w:marLeft w:val="0"/>
      <w:marRight w:val="0"/>
      <w:marTop w:val="0"/>
      <w:marBottom w:val="0"/>
      <w:divBdr>
        <w:top w:val="none" w:sz="0" w:space="0" w:color="auto"/>
        <w:left w:val="none" w:sz="0" w:space="0" w:color="auto"/>
        <w:bottom w:val="none" w:sz="0" w:space="0" w:color="auto"/>
        <w:right w:val="none" w:sz="0" w:space="0" w:color="auto"/>
      </w:divBdr>
    </w:div>
    <w:div w:id="1751654371">
      <w:bodyDiv w:val="1"/>
      <w:marLeft w:val="0"/>
      <w:marRight w:val="0"/>
      <w:marTop w:val="0"/>
      <w:marBottom w:val="0"/>
      <w:divBdr>
        <w:top w:val="none" w:sz="0" w:space="0" w:color="auto"/>
        <w:left w:val="none" w:sz="0" w:space="0" w:color="auto"/>
        <w:bottom w:val="none" w:sz="0" w:space="0" w:color="auto"/>
        <w:right w:val="none" w:sz="0" w:space="0" w:color="auto"/>
      </w:divBdr>
    </w:div>
    <w:div w:id="1855531914">
      <w:bodyDiv w:val="1"/>
      <w:marLeft w:val="0"/>
      <w:marRight w:val="0"/>
      <w:marTop w:val="0"/>
      <w:marBottom w:val="0"/>
      <w:divBdr>
        <w:top w:val="none" w:sz="0" w:space="0" w:color="auto"/>
        <w:left w:val="none" w:sz="0" w:space="0" w:color="auto"/>
        <w:bottom w:val="none" w:sz="0" w:space="0" w:color="auto"/>
        <w:right w:val="none" w:sz="0" w:space="0" w:color="auto"/>
      </w:divBdr>
      <w:divsChild>
        <w:div w:id="492382349">
          <w:marLeft w:val="0"/>
          <w:marRight w:val="0"/>
          <w:marTop w:val="0"/>
          <w:marBottom w:val="0"/>
          <w:divBdr>
            <w:top w:val="none" w:sz="0" w:space="0" w:color="auto"/>
            <w:left w:val="single" w:sz="48" w:space="0" w:color="FDC82F"/>
            <w:bottom w:val="none" w:sz="0" w:space="0" w:color="auto"/>
            <w:right w:val="none" w:sz="0" w:space="0" w:color="auto"/>
          </w:divBdr>
          <w:divsChild>
            <w:div w:id="848326044">
              <w:marLeft w:val="0"/>
              <w:marRight w:val="0"/>
              <w:marTop w:val="0"/>
              <w:marBottom w:val="0"/>
              <w:divBdr>
                <w:top w:val="none" w:sz="0" w:space="0" w:color="auto"/>
                <w:left w:val="none" w:sz="0" w:space="0" w:color="auto"/>
                <w:bottom w:val="none" w:sz="0" w:space="0" w:color="auto"/>
                <w:right w:val="none" w:sz="0" w:space="0" w:color="auto"/>
              </w:divBdr>
              <w:divsChild>
                <w:div w:id="694039350">
                  <w:marLeft w:val="-225"/>
                  <w:marRight w:val="-225"/>
                  <w:marTop w:val="0"/>
                  <w:marBottom w:val="0"/>
                  <w:divBdr>
                    <w:top w:val="none" w:sz="0" w:space="0" w:color="auto"/>
                    <w:left w:val="none" w:sz="0" w:space="0" w:color="auto"/>
                    <w:bottom w:val="none" w:sz="0" w:space="0" w:color="auto"/>
                    <w:right w:val="none" w:sz="0" w:space="0" w:color="auto"/>
                  </w:divBdr>
                  <w:divsChild>
                    <w:div w:id="7409496">
                      <w:marLeft w:val="0"/>
                      <w:marRight w:val="0"/>
                      <w:marTop w:val="0"/>
                      <w:marBottom w:val="0"/>
                      <w:divBdr>
                        <w:top w:val="none" w:sz="0" w:space="0" w:color="auto"/>
                        <w:left w:val="none" w:sz="0" w:space="0" w:color="auto"/>
                        <w:bottom w:val="none" w:sz="0" w:space="0" w:color="auto"/>
                        <w:right w:val="none" w:sz="0" w:space="0" w:color="auto"/>
                      </w:divBdr>
                      <w:divsChild>
                        <w:div w:id="1857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07354">
      <w:bodyDiv w:val="1"/>
      <w:marLeft w:val="0"/>
      <w:marRight w:val="0"/>
      <w:marTop w:val="0"/>
      <w:marBottom w:val="0"/>
      <w:divBdr>
        <w:top w:val="none" w:sz="0" w:space="0" w:color="auto"/>
        <w:left w:val="none" w:sz="0" w:space="0" w:color="auto"/>
        <w:bottom w:val="none" w:sz="0" w:space="0" w:color="auto"/>
        <w:right w:val="none" w:sz="0" w:space="0" w:color="auto"/>
      </w:divBdr>
      <w:divsChild>
        <w:div w:id="722295330">
          <w:marLeft w:val="0"/>
          <w:marRight w:val="0"/>
          <w:marTop w:val="0"/>
          <w:marBottom w:val="0"/>
          <w:divBdr>
            <w:top w:val="none" w:sz="0" w:space="0" w:color="auto"/>
            <w:left w:val="none" w:sz="0" w:space="0" w:color="auto"/>
            <w:bottom w:val="none" w:sz="0" w:space="0" w:color="auto"/>
            <w:right w:val="none" w:sz="0" w:space="0" w:color="auto"/>
          </w:divBdr>
          <w:divsChild>
            <w:div w:id="221989334">
              <w:marLeft w:val="0"/>
              <w:marRight w:val="0"/>
              <w:marTop w:val="0"/>
              <w:marBottom w:val="0"/>
              <w:divBdr>
                <w:top w:val="none" w:sz="0" w:space="0" w:color="auto"/>
                <w:left w:val="none" w:sz="0" w:space="0" w:color="auto"/>
                <w:bottom w:val="none" w:sz="0" w:space="0" w:color="auto"/>
                <w:right w:val="none" w:sz="0" w:space="0" w:color="auto"/>
              </w:divBdr>
              <w:divsChild>
                <w:div w:id="16640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s.acs.org/doi/abs/10.1021/acs.est.1c017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5497F-5CCC-45CE-8AAA-6EFF8E7B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8</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Mertens</dc:creator>
  <cp:keywords/>
  <dc:description/>
  <cp:lastModifiedBy>Andrew Mertens</cp:lastModifiedBy>
  <cp:revision>3</cp:revision>
  <dcterms:created xsi:type="dcterms:W3CDTF">2022-02-23T13:06:00Z</dcterms:created>
  <dcterms:modified xsi:type="dcterms:W3CDTF">2022-03-16T20:16:00Z</dcterms:modified>
</cp:coreProperties>
</file>