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enteropathogen</w:t>
      </w:r>
      <w:r>
        <w:t xml:space="preserve"> </w:t>
      </w:r>
      <w:r>
        <w:t xml:space="preserve">detection</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Drew</w:t>
      </w:r>
      <w:r>
        <w:t xml:space="preserve"> </w:t>
      </w:r>
      <w:r>
        <w:t xml:space="preserve">Capone,</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Ruwan</w:t>
      </w:r>
      <w:r>
        <w:t xml:space="preserve"> </w:t>
      </w:r>
      <w:r>
        <w:t xml:space="preserve">Thilakaratne,</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p>
      <w:pPr>
        <w:pStyle w:val="FirstParagraph"/>
      </w:pPr>
      <w:commentRangeStart w:id="0"/>
      <w:r>
        <w:t xml:space="preserve">X</w:t>
      </w:r>
      <w:commentRangeEnd w:id="0"/>
      <w:r>
        <w:rPr>
          <w:rStyle w:val="CommentReference"/>
        </w:rPr>
        <w:commentReference w:id="0"/>
      </w:r>
    </w:p>
    <w:bookmarkStart w:id="20" w:name="abstracupdate-word-count-244-limit-250.t"/>
    <w:p>
      <w:pPr>
        <w:pStyle w:val="Heading2"/>
      </w:pPr>
      <w:r>
        <w:t xml:space="preserve">Abstrac</w:t>
      </w:r>
      <w:commentRangeStart w:id="1"/>
      <w:r>
        <w:t xml:space="preserve">t</w:t>
      </w:r>
      <w:commentRangeEnd w:id="1"/>
      <w:r>
        <w:rPr>
          <w:rStyle w:val="CommentReference"/>
        </w:rPr>
        <w:commentReference w:id="1"/>
      </w:r>
    </w:p>
    <w:p>
      <w:pPr>
        <w:pStyle w:val="FirstParagraph"/>
      </w:pPr>
      <w:r>
        <w:rPr>
          <w:bCs/>
          <w:b/>
        </w:rPr>
        <w:t xml:space="preserve">Background:</w:t>
      </w:r>
      <w:r>
        <w:t xml:space="preserve"> </w:t>
      </w:r>
      <w:r>
        <w:t xml:space="preserve">Drinking water , sanitation, and hygiene (WASH) improvements are considered cornerstones to reduce diarrheal disease in low-income countries. However, recent trials have found no or mixed effects of household- and community-level WASH interventions on child health. Measuring pathogens in the environment can help investigate if limited health effects occur because WASH interventions do not sufficiently reduce environment contamination.</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We identified and received data from five randomized or quasi-experimental studies. Environmental sampling was primarily focused on sanitation interventions. Most individual studies found no effects on pathogens or MST markers in environmental samples, including drinking water, hands, soil and flies. We found a small but significant reduction in the prevalence of any pathogen in any sample type, with a pooled prevalence ratio of 0.95 (95% CI: 0.90, 0.99), 0.97 (95% CI: 0.91, 1.03). There was no overall effect on MST markers, and no consistent differences in intervention effects by season, animal presence, urbanicity, study design, or intervention uptake.</w:t>
      </w:r>
    </w:p>
    <w:p>
      <w:pPr>
        <w:pStyle w:val="BodyText"/>
      </w:pPr>
      <w:r>
        <w:rPr>
          <w:bCs/>
          <w:b/>
        </w:rPr>
        <w:t xml:space="preserve">Interpretation:</w:t>
      </w:r>
      <w:r>
        <w:t xml:space="preserve"> </w:t>
      </w:r>
      <w:r>
        <w:t xml:space="preserve">Few trials have measured pathogens or host-specific fecal markers in the environment. The small effect of sanitation interventions on pathogens in the environment in this study is consistent with the lack of health impact in sanitation trials.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 of WASH improvements on enteric pathogens in environmental samples may help elucidate if interventions successfully interrupt the causal pathway between poor WASH, environmental exposure to fecal pathogens, and child health. Most previous studies and meta-analyses on the effect of WASH interventions on fecal contamination in the environment have focused on fecal indicator bacteria (FIB). Studies have shown FIB reductions in water and on hands due to water treatment and handwashing, respectively, but no effects from sanitation. However, limitations of FIB as predictors of enteropathogens and disease risk limit the interpretation of these findings. We conducted a systematic review and individual participant data meta-analysis of WASH intervention studies that measured in the environment specific enteropathogens or microbial source tracking (MST ) markers, which indicate the human or animal host of fecal microorganisms. We tested if interventions reduced the prevalence and abundance of these targets in drinking water, hand rinse, soil, and fly samples.</w:t>
      </w:r>
    </w:p>
    <w:p>
      <w:pPr>
        <w:pStyle w:val="BodyText"/>
      </w:pPr>
      <w:r>
        <w:rPr>
          <w:bCs/>
          <w:b/>
        </w:rPr>
        <w:t xml:space="preserve">Added value of this study.</w:t>
      </w:r>
      <w:r>
        <w:t xml:space="preserve"> </w:t>
      </w:r>
      <w:r>
        <w:t xml:space="preserve">We successfully 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recently developed diagnostic methods to enumerate enteropathogens and host-specific fecal markers in a range of environmental samples, including understudied environmental reservoirs such as soil, to provide the first synthesis of evidence on the effect of WASH interventions on these specific targets in the domestic environment.</w:t>
      </w:r>
      <w:r>
        <w:t xml:space="preserve"> </w:t>
      </w:r>
      <w:r>
        <w:rPr>
          <w:bCs/>
          <w:b/>
        </w:rPr>
        <w:t xml:space="preserve">Implications of all the available science.</w:t>
      </w:r>
      <w:r>
        <w:t xml:space="preserve"> </w:t>
      </w:r>
      <w:r>
        <w:t xml:space="preserve">The environmental sampling in the studies in our review were mostly focused on sanitation interventions. The small reduction we observed in pathogen prevalence in the environment when pooled across all studies may explain the small effect the interventions had on child health. These findings also validate previous findings of no effect from sanitation interventions on fecal indicator bacteria in the environment, further demonstrating the insufficiency of basic sanitation solutions in reducing fecal contamination in the environment. Possibly, more intensive WASH interventions like safely managed water and sanitation are needed to reduce environmental contamination enough to improve child health. We note that only a small number of trials met our inclusion criteria and only a subset of households was sampled in each study. Pathogen targets and diagnostic methods varied by study. Future research would benefit from sampling a more diverse set of WASH interventions using a standardized set of laboratory methods to enumerate a common range of pathogen and MST targets.</w:t>
      </w:r>
    </w:p>
    <w:bookmarkEnd w:id="21"/>
    <w:bookmarkStart w:id="22" w:name="X94716a2aabe1529a8c3d94f2675fc7606edc238"/>
    <w:p>
      <w:pPr>
        <w:pStyle w:val="Heading2"/>
      </w:pPr>
      <w:r>
        <w:t xml:space="preserve">Introductio</w:t>
      </w:r>
      <w:commentRangeStart w:id="2"/>
      <w:r>
        <w:t xml:space="preserve">n</w:t>
      </w:r>
      <w:commentRangeEnd w:id="2"/>
      <w:r>
        <w:rPr>
          <w:rStyle w:val="CommentReference"/>
        </w:rPr>
        <w:commentReference w:id="2"/>
      </w:r>
    </w:p>
    <w:p>
      <w:pPr>
        <w:pStyle w:val="FirstParagraph"/>
      </w:pPr>
      <w:r>
        <w:t xml:space="preserve">Water, sanitation and hygiene (WASH) improvements are often assumed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reported in recent well-conducted trials of WASH interventions.</w:t>
      </w:r>
      <w:r>
        <w:rPr>
          <w:vertAlign w:val="superscript"/>
        </w:rPr>
        <w:t xml:space="preserve">1–3</w:t>
      </w:r>
    </w:p>
    <w:p>
      <w:pPr>
        <w:pStyle w:val="BodyText"/>
      </w:pPr>
      <w:r>
        <w:t xml:space="preserve">Pathogens are transmitted from the feces of infected individuals to new hosts through interconnected environmental pathways. Studies assessing the effect of WASH interventions on environmental contamination have to date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Household water treatment and handwashing have been associated with reduced fecal contamination of drinking water</w:t>
      </w:r>
      <w:r>
        <w:rPr>
          <w:vertAlign w:val="superscript"/>
        </w:rPr>
        <w:t xml:space="preserve">5</w:t>
      </w:r>
      <w:r>
        <w:t xml:space="preserve"> </w:t>
      </w:r>
      <w:r>
        <w:t xml:space="preserve">and hands,</w:t>
      </w:r>
      <w:r>
        <w:rPr>
          <w:vertAlign w:val="superscript"/>
        </w:rPr>
        <w:t xml:space="preserve">6,7</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4</w:t>
      </w:r>
    </w:p>
    <w:p>
      <w:pPr>
        <w:pStyle w:val="BodyText"/>
      </w:pPr>
      <w:r>
        <w:t xml:space="preserve">These studies have mostly relied on measuring indicator organisms such as</w:t>
      </w:r>
      <w:r>
        <w:t xml:space="preserve"> </w:t>
      </w:r>
      <w:r>
        <w:rPr>
          <w:iCs/>
          <w:i/>
        </w:rPr>
        <w:t xml:space="preserve">E. coli</w:t>
      </w:r>
      <w:r>
        <w:t xml:space="preserve"> </w:t>
      </w:r>
      <w:r>
        <w:t xml:space="preserve">in the environment as a proxy for pathogens; while</w:t>
      </w:r>
      <w:r>
        <w:t xml:space="preserve"> </w:t>
      </w:r>
      <w:r>
        <w:rPr>
          <w:iCs/>
          <w:i/>
        </w:rPr>
        <w:t xml:space="preserve">E. coli</w:t>
      </w:r>
      <w:r>
        <w:t xml:space="preserve"> </w:t>
      </w:r>
      <w:r>
        <w:t xml:space="preserve">has been shown to correlate with risk of diarrhea,</w:t>
      </w:r>
      <w:r>
        <w:rPr>
          <w:vertAlign w:val="superscript"/>
        </w:rPr>
        <w:t xml:space="preserve">8</w:t>
      </w:r>
      <w:r>
        <w:t xml:space="preserve"> </w:t>
      </w:r>
      <w:r>
        <w:t xml:space="preserve">fecal indicator bacteria can originate from non-fecal sources,</w:t>
      </w:r>
      <w:r>
        <w:rPr>
          <w:vertAlign w:val="superscript"/>
        </w:rPr>
        <w:t xml:space="preserve">9</w:t>
      </w:r>
      <w:r>
        <w:t xml:space="preserve"> </w:t>
      </w:r>
      <w:r>
        <w:t xml:space="preserve">cannot differentiate between human vs. animal fecal sources,</w:t>
      </w:r>
      <w:r>
        <w:rPr>
          <w:vertAlign w:val="superscript"/>
        </w:rPr>
        <w:t xml:space="preserve">8</w:t>
      </w:r>
      <w:r>
        <w:t xml:space="preserve"> </w:t>
      </w:r>
      <w:r>
        <w:t xml:space="preserve">and correlate poorly with pathogens.</w:t>
      </w:r>
      <w:r>
        <w:rPr>
          <w:vertAlign w:val="superscript"/>
        </w:rPr>
        <w:t xml:space="preserve">10</w:t>
      </w:r>
      <w:r>
        <w:t xml:space="preserve"> </w:t>
      </w:r>
      <w:r>
        <w:t xml:space="preserve">Recent advances in DNA-based diagnostics now allow detection of a range of enteropathogens in human biological specimens and environmental samples,</w:t>
      </w:r>
      <w:r>
        <w:rPr>
          <w:vertAlign w:val="superscript"/>
        </w:rPr>
        <w:t xml:space="preserve">11,12</w:t>
      </w:r>
      <w:r>
        <w:t xml:space="preserve"> </w:t>
      </w:r>
      <w:r>
        <w:t xml:space="preserve">as well as distinction between human vs. animal fecal sources through molecular source tracking (MST).</w:t>
      </w:r>
      <w:r>
        <w:rPr>
          <w:vertAlign w:val="superscript"/>
        </w:rPr>
        <w:t xml:space="preserve">13</w:t>
      </w:r>
      <w:r>
        <w:t xml:space="preserve"> </w:t>
      </w:r>
      <w:r>
        <w:t xml:space="preserve">We aimed to assess the effect of WASH interventions on detection of specific enteropathogens and human- vs. animal-specific MST markers in the domestic environment with a systematic review and an individual participant data (IPD) meta-analysis.</w:t>
      </w:r>
    </w:p>
    <w:bookmarkEnd w:id="22"/>
    <w:bookmarkStart w:id="28"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(2) 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[Mertens et al. 2021 in prep].</w:t>
      </w:r>
    </w:p>
    <w:p>
      <w:pPr>
        <w:pStyle w:val="BodyText"/>
      </w:pPr>
      <w:r>
        <w:t xml:space="preserve">We searched the PubMed, Embase, CAB Direct Global Health, Agricultural &amp; Environmental Science Database, Web Of Science, and Scopus databases. Search terms are listed in Supplementary Table S1 and our PubMed search string is listed in Supplementary Table S2. We only included studies published after 2000 to capture more recently developed advanced pathogen detection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 ,</w:t>
      </w:r>
      <w:r>
        <w:rPr>
          <w:vertAlign w:val="superscript"/>
        </w:rPr>
        <w:t xml:space="preserve">14,15</w:t>
      </w:r>
      <w:r>
        <w:t xml:space="preserve"> </w:t>
      </w:r>
      <w:r>
        <w:t xml:space="preserve">2) measured pathogens and/or MST markers in environmental samples, and 3) measured child anthropometry, diarrheal disease, or pathogen-specific infections for use in a companion manuscript [Mertens et al. 2021 in prep]. We excluded studies that only measured fecal indicator bacteria such as coliforms or</w:t>
      </w:r>
      <w:r>
        <w:t xml:space="preserve"> </w:t>
      </w:r>
      <w:r>
        <w:rPr>
          <w:iCs/>
          <w:i/>
        </w:rPr>
        <w:t xml:space="preserve">E. coli</w:t>
      </w:r>
      <w:r>
        <w:t xml:space="preserve">. One reviewer (AM) screened the abstracts of studies according to our inclusion/exclusion criteria, and two independent reviewers (AM, RT) examined the full texts of short-listed articles.</w:t>
      </w:r>
    </w:p>
    <w:bookmarkEnd w:id="23"/>
    <w:bookmarkStart w:id="27" w:name="data-collection-and-analysis"/>
    <w:p>
      <w:pPr>
        <w:pStyle w:val="Heading3"/>
      </w:pPr>
      <w:r>
        <w:t xml:space="preserve">Data Collection and Analysis</w:t>
      </w:r>
    </w:p>
    <w:p>
      <w:pPr>
        <w:pStyle w:val="FirstParagraph"/>
      </w:pPr>
      <w:r>
        <w:t xml:space="preserve">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The IPD approach using individual environmental and covariate data offers advantages over a traditional meta-analysis by allowing harmonized statistical analysis across different studies. All personal identifiers were removed from the data, including GPS locations, and sampling dates were coarsened to a monthly resolution. If the corresponding author was unwilling to share individual data, that study was excluded from our analysis.</w:t>
      </w:r>
    </w:p>
    <w:p>
      <w:pPr>
        <w:pStyle w:val="BodyText"/>
      </w:pPr>
      <w:r>
        <w:t xml:space="preserve">Our primary outcomes were the detection of any enteropathogen and any MST markers in any type of environmental sample. We analyzed prevalences separately for each sample type (e.g., water, hands, soil, flies) and also as a composite measure indicating detection of a given target in any sample type collected from the same compound during the same sampling round. Secondary outcomes included the prevalence of specific pathogen types (any viruses, any bacteria, any protozoa, any helminths), the prevalence of MST markers from specific host types (general, human, animal), and the prevalence and abundance of individual enteropathogens and MST markers.</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16</w:t>
      </w:r>
      <w:r>
        <w:t xml:space="preserve"> </w:t>
      </w:r>
      <w:r>
        <w:t xml:space="preserve">For abundance outcomes, we used linear regressions to estimate differences in log-transformed gene copies and negative binomial regressions to estimate count differences in soil-transmitted helminth (STH) egg counts. Because of repeated sampling or clustered designs in some studies, we used the Huber Sandwich Estimator to calculate robust standard errors.</w:t>
      </w:r>
      <w:r>
        <w:rPr>
          <w:vertAlign w:val="superscript"/>
        </w:rPr>
        <w:t xml:space="preserve">17</w:t>
      </w:r>
      <w:r>
        <w:t xml:space="preserve"> </w:t>
      </w:r>
      <w:r>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pPr>
        <w:pStyle w:val="BodyText"/>
      </w:pPr>
      <w:r>
        <w:t xml:space="preserve">All analyses were adjusted for potential confounders. While estimated intervention effects from randomized controlled trials should be unconfounded, covariate adjustment may increase statistical efficiency, and improve exchangeability with matched cohorts and non-randomized trials.</w:t>
      </w:r>
      <w:r>
        <w:rPr>
          <w:vertAlign w:val="superscript"/>
        </w:rPr>
        <w:t xml:space="preserve">18</w:t>
      </w:r>
      <w:r>
        <w:t xml:space="preserve"> </w:t>
      </w:r>
      <w:r>
        <w:t xml:space="preserve">Covariates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construction materials (walls, floor, roof), access to electricity, land ownership and if anyone in the household works in agriculture. For rare binary outcomes,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w:t>
      </w:r>
      <w:r>
        <w:t xml:space="preserve"> </w:t>
      </w:r>
      <w:r>
        <w:t xml:space="preserve">“</w:t>
      </w:r>
      <w:r>
        <w:t xml:space="preserve">any pathogen</w:t>
      </w:r>
      <w:r>
        <w:t xml:space="preserve">”</w:t>
      </w:r>
      <w:r>
        <w:t xml:space="preserve"> </w:t>
      </w:r>
      <w:r>
        <w:t xml:space="preserve">and</w:t>
      </w:r>
      <w:r>
        <w:t xml:space="preserve"> </w:t>
      </w:r>
      <w:r>
        <w:t xml:space="preserve">“</w:t>
      </w:r>
      <w:r>
        <w:t xml:space="preserve">any MST marker</w:t>
      </w:r>
      <w:r>
        <w:t xml:space="preserve">”</w:t>
      </w:r>
      <w:r>
        <w:t xml:space="preserve"> </w:t>
      </w:r>
      <w:r>
        <w:t xml:space="preserve">variables to avoid generating sparse cells; targets with &lt;10 positives were included in the composite variables.</w:t>
      </w:r>
    </w:p>
    <w:p>
      <w:pPr>
        <w:pStyle w:val="BodyText"/>
      </w:pPr>
      <w:r>
        <w:t xml:space="preserve">Given the heterogeneity in study settings (e.g., local WASH conditions, climate, urbanization, population density, region-specific infectious disease patterns, intervention designs), we reported individual study-specific estimates for all analyses. For targets where data were available from four or more studies, we tested for heterogeneity in estimates using Cochran’s Q-test.</w:t>
      </w:r>
      <w:r>
        <w:rPr>
          <w:vertAlign w:val="superscript"/>
        </w:rPr>
        <w:t xml:space="preserve">19</w:t>
      </w:r>
      <w:r>
        <w:t xml:space="preserve"> </w:t>
      </w:r>
      <w:r>
        <w:t xml:space="preserve">If there was no significant heterogeneity (p-value&gt;0.2), we pooled estimates using fixed-effects models. If there was evidence for heterogeneity but there was qualitative support for combining studies, we pooled estimates using random-effects models.</w:t>
      </w:r>
    </w:p>
    <w:p>
      <w:pPr>
        <w:pStyle w:val="BodyText"/>
      </w:pPr>
      <w:r>
        <w:t xml:space="preserve">We conducted subgroup analyses by season (dry vs. wet), animal ownership (at least one vs. no animal owned) and pathogens with zoonotic vs. no zoonotic transmission. The wet season for each study was defined as the 6 months of highest average rainfall, obtained from</w:t>
      </w:r>
      <w:r>
        <w:t xml:space="preserve"> </w:t>
      </w:r>
      <w:hyperlink r:id="rId24">
        <w:r>
          <w:rPr>
            <w:rStyle w:val="Hyperlink"/>
          </w:rPr>
          <w:t xml:space="preserve">https://www.weather-atlas.com/</w:t>
        </w:r>
      </w:hyperlink>
      <w:r>
        <w:t xml:space="preserve">.</w:t>
      </w:r>
      <w:r>
        <w:rPr>
          <w:vertAlign w:val="superscript"/>
        </w:rPr>
        <w:t xml:space="preserve">20</w:t>
      </w:r>
      <w:r>
        <w:t xml:space="preserve"> </w:t>
      </w:r>
      <w:r>
        <w:t xml:space="preserve">The pathogens we considered zoonotic were</w:t>
      </w:r>
      <w:r>
        <w:t xml:space="preserve"> </w:t>
      </w:r>
      <w:r>
        <w:rPr>
          <w:iCs/>
          <w:i/>
        </w:rPr>
        <w:t xml:space="preserve">Campylobacter, Salmonella, Yersinia enterocolitica, C. difficile, Cryptosporidium, Giardia</w:t>
      </w:r>
      <w:r>
        <w:t xml:space="preserve"> </w:t>
      </w:r>
      <w:r>
        <w:t xml:space="preserve">and</w:t>
      </w:r>
      <w:r>
        <w:t xml:space="preserve"> </w:t>
      </w:r>
      <w:r>
        <w:rPr>
          <w:iCs/>
          <w:i/>
        </w:rPr>
        <w:t xml:space="preserve">Ascaris</w:t>
      </w:r>
      <w:r>
        <w:t xml:space="preserve">.</w:t>
      </w:r>
      <w:r>
        <w:rPr>
          <w:vertAlign w:val="superscript"/>
        </w:rPr>
        <w:t xml:space="preserve">21</w:t>
      </w:r>
      <w:r>
        <w:t xml:space="preserve"> </w:t>
      </w:r>
      <w:r>
        <w:t xml:space="preserve">Studies included detected virulence genes associated with specific</w:t>
      </w:r>
      <w:r>
        <w:t xml:space="preserve"> </w:t>
      </w:r>
      <w:r>
        <w:rPr>
          <w:iCs/>
          <w:i/>
        </w:rPr>
        <w:t xml:space="preserve">E. coli</w:t>
      </w:r>
      <w:r>
        <w:t xml:space="preserve"> </w:t>
      </w:r>
      <w:r>
        <w:t xml:space="preserve">pathotypes (EAEC, EPEC/EHEC, STEC, EIEC, ETEC). Among these, we classified STEC and EPEC (due to atypical EPEC) as zoonotic.</w:t>
      </w:r>
      <w:r>
        <w:rPr>
          <w:vertAlign w:val="superscript"/>
        </w:rPr>
        <w:t xml:space="preserve">21</w:t>
      </w:r>
      <w:r>
        <w:t xml:space="preserve">.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pPr>
        <w:pStyle w:val="BodyText"/>
      </w:pPr>
      <w:r>
        <w:t xml:space="preserve">All analyses were conducted in R 4.0, and analysis scripts are publicly available (</w:t>
      </w:r>
      <w:hyperlink r:id="rId25">
        <w:r>
          <w:rPr>
            <w:rStyle w:val="Hyperlink"/>
          </w:rPr>
          <w:t xml:space="preserve">https://github.com/amertens/wash-ipd</w:t>
        </w:r>
      </w:hyperlink>
      <w:r>
        <w:t xml:space="preserve">). The systematic review search strategies and the analysis plan were pre-registered on Open Science Framework (</w:t>
      </w:r>
      <w:hyperlink r:id="rId26">
        <w:r>
          <w:rPr>
            <w:rStyle w:val="Hyperlink"/>
          </w:rPr>
          <w:t xml:space="preserve">https://osf.io/8sgzn/</w:t>
        </w:r>
      </w:hyperlink>
      <w:r>
        <w:t xml:space="preserve">). Our PRISMA checklist can be found in Supplementary Table S3.</w:t>
      </w:r>
    </w:p>
    <w:bookmarkEnd w:id="27"/>
    <w:bookmarkEnd w:id="28"/>
    <w:bookmarkStart w:id="37" w:name="results"/>
    <w:p>
      <w:pPr>
        <w:pStyle w:val="Heading2"/>
      </w:pPr>
      <w:r>
        <w:t xml:space="preserve">Results</w:t>
      </w:r>
    </w:p>
    <w:bookmarkStart w:id="29" w:name="search-results-and-data-acquisition"/>
    <w:p>
      <w:pPr>
        <w:pStyle w:val="Heading3"/>
      </w:pPr>
      <w:r>
        <w:t xml:space="preserve">Search results and data acquisition</w:t>
      </w:r>
    </w:p>
    <w:p>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WASH Benefits Bangladesh and Kenya trials,</w:t>
      </w:r>
      <w:r>
        <w:rPr>
          <w:vertAlign w:val="superscript"/>
        </w:rPr>
        <w:t xml:space="preserve">22</w:t>
      </w:r>
      <w:r>
        <w:t xml:space="preserve"> </w:t>
      </w:r>
      <w:r>
        <w:t xml:space="preserve">the Maputo Sanitation (MapSan) study in Mozambique,</w:t>
      </w:r>
      <w:r>
        <w:rPr>
          <w:vertAlign w:val="superscript"/>
        </w:rPr>
        <w:t xml:space="preserve">23</w:t>
      </w:r>
      <w:r>
        <w:t xml:space="preserve"> </w:t>
      </w:r>
      <w:r>
        <w:t xml:space="preserve">the Gram Vikas study in India,</w:t>
      </w:r>
      <w:r>
        <w:rPr>
          <w:vertAlign w:val="superscript"/>
        </w:rPr>
        <w:t xml:space="preserve">24</w:t>
      </w:r>
      <w:r>
        <w:t xml:space="preserve"> </w:t>
      </w:r>
      <w:r>
        <w:t xml:space="preserve">the Odisha Total Sanitation Campaign trial in India,</w:t>
      </w:r>
      <w:r>
        <w:rPr>
          <w:vertAlign w:val="superscript"/>
        </w:rPr>
        <w:t xml:space="preserve">25</w:t>
      </w:r>
      <w:r>
        <w:t xml:space="preserve"> </w:t>
      </w:r>
      <w:r>
        <w:t xml:space="preserve">and the CHoBI7 trial in Bangladesh25 (Table 1). Data were obtained from all studies except the CHoBI7 trial where the investigators declined to share data.</w:t>
      </w:r>
    </w:p>
    <w:p>
      <w:pPr>
        <w:pStyle w:val="BodyText"/>
      </w:pPr>
      <w:r>
        <w:t xml:space="preserve">Seven unique studies on pathogens or MST markers in the environment were nested within the five intervention studies with available data. Three separate publications reported environmental results from the WASH Benefits Bangladesh study .</w:t>
      </w:r>
      <w:r>
        <w:rPr>
          <w:vertAlign w:val="superscript"/>
        </w:rPr>
        <w:t xml:space="preserve">26–28</w:t>
      </w:r>
      <w:r>
        <w:t xml:space="preserve"> </w:t>
      </w:r>
      <w:r>
        <w:t xml:space="preserve">These publications focused on samples collected from different subsets of trial participants at different times; therefore, we report results from these three studies separately. We also received additional unpublished data from the MapSan study, which we include along with the published results from this study.</w:t>
      </w:r>
      <w:r>
        <w:rPr>
          <w:vertAlign w:val="superscript"/>
        </w:rPr>
        <w:t xml:space="preserve">29</w:t>
      </w:r>
      <w:r>
        <w:t xml:space="preserve"> </w:t>
      </w:r>
      <w:r>
        <w:t xml:space="preserve">For the Odisha Total Sanitation Campaign trial, only village-level source water quality data were shared.</w:t>
      </w:r>
    </w:p>
    <w:bookmarkEnd w:id="29"/>
    <w:bookmarkStart w:id="30" w:name="characteristics-of-included-studies"/>
    <w:p>
      <w:pPr>
        <w:pStyle w:val="Heading3"/>
      </w:pPr>
      <w:r>
        <w:t xml:space="preserve">Characteristics of included studies</w:t>
      </w:r>
    </w:p>
    <w:p>
      <w:pPr>
        <w:pStyle w:val="FirstParagraph"/>
      </w:pPr>
      <w:r>
        <w:t xml:space="preserve">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entailed the construction of flush toilets that drain to septic tanks, shared by a minimum of 15 people. The intervention delivery was not randomized, but control sites were matched to intervention sites on compound size and time of enrollment.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 Intervention uptake was high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MapSan had clean latrines compared to 45% of controls. Odisha had the lowest uptake, with 38% percent of intervention compounds having functional latrines at endline compared to 10% of controls.</w:t>
      </w:r>
    </w:p>
    <w:bookmarkEnd w:id="30"/>
    <w:bookmarkStart w:id="31" w:name="X24ac6fc12107827e0affd52eb62f30345dc964a"/>
    <w:p>
      <w:pPr>
        <w:pStyle w:val="Heading3"/>
      </w:pPr>
      <w:r>
        <w:t xml:space="preserve">Sample types and targets in included studies</w:t>
      </w:r>
    </w:p>
    <w:p>
      <w:pPr>
        <w:pStyle w:val="FirstParagraph"/>
      </w:pPr>
      <w:r>
        <w:t xml:space="preserve">Samples were collected from 4 months</w:t>
      </w:r>
      <w:r>
        <w:rPr>
          <w:vertAlign w:val="superscript"/>
        </w:rPr>
        <w:t xml:space="preserve">26</w:t>
      </w:r>
      <w:r>
        <w:t xml:space="preserve"> </w:t>
      </w:r>
      <w:r>
        <w:t xml:space="preserve">to 6-10 years</w:t>
      </w:r>
      <w:r>
        <w:rPr>
          <w:vertAlign w:val="superscript"/>
        </w:rPr>
        <w:t xml:space="preserve">24</w:t>
      </w:r>
      <w:r>
        <w:t xml:space="preserve"> </w:t>
      </w:r>
      <w:r>
        <w:t xml:space="preserve">after intervention delivery, with most studies collecting samples at 1-2 years (Table 1). Types of samples collected included source and stored drinking water, child and mother hands, soil from the courtyard, household and latrine areas, food, and flies caught in the compound’s latrine and kitchen areas. The number of environmental samples in individual studies varied from 60</w:t>
      </w:r>
      <w:r>
        <w:rPr>
          <w:vertAlign w:val="superscript"/>
        </w:rPr>
        <w:t xml:space="preserve">30</w:t>
      </w:r>
      <w:r>
        <w:t xml:space="preserve"> </w:t>
      </w:r>
      <w:r>
        <w:t xml:space="preserve">to 2107</w:t>
      </w:r>
      <w:r>
        <w:rPr>
          <w:vertAlign w:val="superscript"/>
        </w:rPr>
        <w:t xml:space="preserve">31</w:t>
      </w:r>
      <w:r>
        <w:t xml:space="preserve">. The pooled dataset across all studies included 12,184 samples, with a total of 40,150 observations for pathogen/MST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Salmonella, Yersinia, C. difficile</w:t>
      </w:r>
      <w:r>
        <w:t xml:space="preserve">, rotavirus, norovirus, sapovirus, adenovirus, astrovirus, pan-enterovirus,</w:t>
      </w:r>
      <w:r>
        <w:t xml:space="preserve"> </w:t>
      </w:r>
      <w:r>
        <w:rPr>
          <w:iCs/>
          <w:i/>
        </w:rPr>
        <w:t xml:space="preserve">Cryptosporidium, Giardia, Entamoeba histolytica, Ascaris lumbricoides and Trichuris trichiura</w:t>
      </w:r>
      <w:r>
        <w:t xml:space="preserve"> </w:t>
      </w:r>
      <w:r>
        <w:t xml:space="preserve">(Tables S4-S7). The MST markers included general (GenBac3, BacUni), human (HumM2, HF183, BacHum,</w:t>
      </w:r>
      <w:r>
        <w:t xml:space="preserve"> </w:t>
      </w:r>
      <w:r>
        <w:rPr>
          <w:iCs/>
          <w:i/>
        </w:rPr>
        <w:t xml:space="preserve">M. smithii</w:t>
      </w:r>
      <w:r>
        <w:t xml:space="preserve">), animal (BacCan, BacCow), ruminant (BacR) and avian (GFD) fecal markers (Tables S4-S7). Most studies used 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31</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(DFA) microscopy.</w:t>
      </w:r>
      <w:r>
        <w:rPr>
          <w:vertAlign w:val="superscript"/>
        </w:rPr>
        <w:t xml:space="preserve">30</w:t>
      </w:r>
      <w:r>
        <w:t xml:space="preserve"> </w:t>
      </w:r>
      <w:r>
        <w:t xml:space="preserve">Two studies used microscopy to enumerate STH eggs.</w:t>
      </w:r>
    </w:p>
    <w:p>
      <w:pPr>
        <w:pStyle w:val="BodyText"/>
      </w:pPr>
      <w:r>
        <w:t xml:space="preserve">Many targets had low or no variation, with 18/261 target-sample combinations having no variation in prevalence (all samples negative), and 45/261 of combinations having too little variation to estimate a prevalence ratio (&lt;10 positive or negative samples). Among these sparse combinations, most (97.8%) had too few positive samples, and 2.2% had too few negative samples. Specifically, the BacCow animal fecal marker in Odagiri et al. 2016, the GenBac3 general fecal marker in Boehm et al. 2016, and the human Bacteroides marker in Holcomb et al. 2020 had close to 100% prevalence. We excluded these three targets from the aggregated</w:t>
      </w:r>
      <w:r>
        <w:t xml:space="preserve"> </w:t>
      </w:r>
      <w:r>
        <w:t xml:space="preserve">“</w:t>
      </w:r>
      <w:r>
        <w:t xml:space="preserve">any MST marker</w:t>
      </w:r>
      <w:r>
        <w:t xml:space="preserve">”</w:t>
      </w:r>
      <w:r>
        <w:t xml:space="preserve"> </w:t>
      </w:r>
      <w:r>
        <w:t xml:space="preserve">variable to allow estimation of prevalence ratios. Overall, 198/261 sample-target combinations had sufficient variability to be individually included in our meta-analysis. Among these, the prevalence of pathogens ranged from 1.4% for</w:t>
      </w:r>
      <w:r>
        <w:t xml:space="preserve"> </w:t>
      </w:r>
      <w:r>
        <w:rPr>
          <w:iCs/>
          <w:i/>
        </w:rPr>
        <w:t xml:space="preserve">Giardia</w:t>
      </w:r>
      <w:r>
        <w:t xml:space="preserve"> </w:t>
      </w:r>
      <w:r>
        <w:t xml:space="preserve">on mothers’ hands</w:t>
      </w:r>
      <w:r>
        <w:rPr>
          <w:vertAlign w:val="superscript"/>
        </w:rPr>
        <w:t xml:space="preserve">27</w:t>
      </w:r>
      <w:r>
        <w:t xml:space="preserve"> </w:t>
      </w:r>
      <w:r>
        <w:t xml:space="preserve">to 61.7% for</w:t>
      </w:r>
      <w:r>
        <w:t xml:space="preserve"> </w:t>
      </w:r>
      <w:r>
        <w:rPr>
          <w:iCs/>
          <w:i/>
        </w:rPr>
        <w:t xml:space="preserve">Ascaris</w:t>
      </w:r>
      <w:r>
        <w:t xml:space="preserve"> </w:t>
      </w:r>
      <w:r>
        <w:t xml:space="preserve">in soil</w:t>
      </w:r>
      <w:r>
        <w:rPr>
          <w:vertAlign w:val="superscript"/>
        </w:rPr>
        <w:t xml:space="preserve">32</w:t>
      </w:r>
      <w:r>
        <w:t xml:space="preserve">. The prevalence of MST markers ranged from 2.4% for HumM2 on child hands</w:t>
      </w:r>
      <w:r>
        <w:rPr>
          <w:vertAlign w:val="superscript"/>
        </w:rPr>
        <w:t xml:space="preserve">26</w:t>
      </w:r>
      <w:r>
        <w:t xml:space="preserve"> </w:t>
      </w:r>
      <w:r>
        <w:t xml:space="preserve">to 96.7% for BacCow on mothers’ hands.</w:t>
      </w:r>
      <w:r>
        <w:rPr>
          <w:vertAlign w:val="superscript"/>
        </w:rPr>
        <w:t xml:space="preserve">27</w:t>
      </w:r>
    </w:p>
    <w:bookmarkEnd w:id="31"/>
    <w:bookmarkStart w:id="32" w:name="X7e516bde8f3848ae5e49bcb6e55b28374fe0364"/>
    <w:p>
      <w:pPr>
        <w:pStyle w:val="Heading3"/>
      </w:pPr>
      <w:r>
        <w:t xml:space="preserve">Intervention effects on the prevalence of any enteropathogen and any MST marker</w:t>
      </w:r>
    </w:p>
    <w:p>
      <w:pPr>
        <w:pStyle w:val="FirstParagraph"/>
      </w:pPr>
      <w:r>
        <w:t xml:space="preserve">The interventions generally decreased the prevalence of pathogens and MST markers but the confidence intervals for prevalence ratios often crossed the null, with 67.2% (133/198) of study-specific intervention effects being protective but non-significant and 5.1% (10/198) being protective and significant. Interventions decreased the prevalence of any pathogen in any sample type in all specific studies except for Boehm et al. 2016 but the decrease was only significant in Fuhrmeister et al. 2020 with an adjusted PR of 0.94 (95% CI: 0.87, 1.02).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0.95 (95% CI: 0.90, 0.99), 0.97 (95% CI: 0.91, 1.03) (Figure 1). Interventions had no effect on the prevalence of any MST marker in any sample type (adjusted pooled PR= 1.00 (95% CI: 0.97, 1.02), 0.92 (95% CI: 0.75, 1.14)) or within specific sample types.</w:t>
      </w:r>
    </w:p>
    <w:bookmarkEnd w:id="32"/>
    <w:bookmarkStart w:id="33" w:name="Xbfeaf10e9c06c9a6819b537b469a09523868ba8"/>
    <w:p>
      <w:pPr>
        <w:pStyle w:val="Heading3"/>
      </w:pPr>
      <w:r>
        <w:t xml:space="preserve">Intervention effects on the prevalence of pathogen types and individual pathogens</w:t>
      </w:r>
    </w:p>
    <w:p>
      <w:pPr>
        <w:pStyle w:val="FirstParagraph"/>
      </w:pPr>
      <w:r>
        <w:t xml:space="preserve">Interventions reduced the prevalence of any bacterial pathogens in any sample type, with 11 out of 14 study- and sample-specific prevalence ratios indicating a protective effect (Figure 2), though the effect was only significant in any sample type in Fuhrmeister et al. 2020, with an adjusted PR of 0.94 (95% CI: 0.86, 1.03). Pooled across all studies, interventions reduced the prevalence of any bacteria in any sample type, with an adjusted pooled PR of 0.92 (95% CI: 0.85, 0.99). Interventions only reduced STH in soil (adjusted PR: (95% CI: , )) and in any sample type (adjusted PR: (95% CI: , ), Figure 2) in Holcomb et al. 2020. Interventions did not significantly reduce the presence of viruses or protozoa in any sample type or within specific sample types, though point estimates from individual studies were protective except for viruses on child and mother’s hands (Figure 2). Among specific pathogens, interventions reduced the prevalence of pathogenic</w:t>
      </w:r>
      <w:r>
        <w:t xml:space="preserve"> </w:t>
      </w:r>
      <w:r>
        <w:rPr>
          <w:iCs/>
          <w:i/>
        </w:rPr>
        <w:t xml:space="preserve">E. coli</w:t>
      </w:r>
      <w:r>
        <w:t xml:space="preserve"> </w:t>
      </w:r>
      <w:r>
        <w:t xml:space="preserve">in any sample type in Fuhrmeister et al. 2020 (adjusted PR: 0.94 (95% CI: 0.86, 1.03)) and of adenovirus (adjusted PR: (95% CI: , )) and</w:t>
      </w:r>
      <w:r>
        <w:t xml:space="preserve"> </w:t>
      </w:r>
      <w:r>
        <w:rPr>
          <w:iCs/>
          <w:i/>
        </w:rPr>
        <w:t xml:space="preserve">Shigella</w:t>
      </w:r>
      <w:r>
        <w:t xml:space="preserve"> </w:t>
      </w:r>
      <w:r>
        <w:t xml:space="preserve">(adjusted PR: (95% CI: , )) in Holcomb et al. 2020 (Figure S1). These reductions were driven by non-significant reductions in all sample types in Fuhrmeister et al. 2020 and by significant reductions in soil samples in Holcomb et al. 2020.</w:t>
      </w:r>
    </w:p>
    <w:bookmarkEnd w:id="33"/>
    <w:bookmarkStart w:id="34"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(general, human, animal), effects of interventions were inconsistent and largely null, with 25 out of 49 study-specific prevalence ratios indicating a protective effect (Figure 3). The only significant estimates were observed for any animal MST marker in stored water in Boehm et al. 2016 (adjusted PR=0.67 (95% CI: 0.49, 0.93)), driven primarily by a significant effect of the sanitation intervention on the ruminant (BacR) marker (adjusted PR: 0.60 (95% CI: 0.41, 0.88), Figure S2). There were no other intervention effects on individual MST markers (Figure S2).</w:t>
      </w:r>
    </w:p>
    <w:bookmarkEnd w:id="34"/>
    <w:bookmarkStart w:id="35" w:name="X66c54c07a4e836e13f683dbc0bcd935fafb5e7e"/>
    <w:p>
      <w:pPr>
        <w:pStyle w:val="Heading3"/>
      </w:pPr>
      <w:r>
        <w:t xml:space="preserve">Intervention effects on the abundance of individual pathogens and MST markers</w:t>
      </w:r>
    </w:p>
    <w:p>
      <w:pPr>
        <w:pStyle w:val="FirstParagraph"/>
      </w:pPr>
      <w:r>
        <w:t xml:space="preserve">Of all samples, 21.1% had abundances quantified, including STH egg counts in Steinbaum et al. 2019 and Kwong et al. 2021 and gene copies of enteropathogens and MST targets in Boehm et al. 2016, Fuhrmeister et al. 2020, and Holcomb et al. 2020. Of these, 17.8% were below the limit of detection, 23.6% were below the limit of quantification, and 58.6% were in the range of quantification. Of targets enumerated within specific sample types, only 17.8% had &gt;50% of samples within the range of quantification and were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 The abundance of the general</w:t>
      </w:r>
      <w:r>
        <w:t xml:space="preserve"> </w:t>
      </w:r>
      <w:r>
        <w:rPr>
          <w:iCs/>
          <w:i/>
        </w:rPr>
        <w:t xml:space="preserve">Bacteroidales</w:t>
      </w:r>
      <w:r>
        <w:t xml:space="preserve"> </w:t>
      </w:r>
      <w:r>
        <w:t xml:space="preserve">fecal marker (GenBac3) in household soil samples in Boehm et al. 2016 was lower in the intervention arm, with an adjusted log10-transformed difference of (95% CI: , ). The abundance of the BacCow animal marker was lower on mothers’ hands in the intervention arm in Fuhrmeister et al. 2020, with an adjusted log10-transformed difference of (95% CI: , ). However, the sanitation intervention in Holcomb et al. 2020 significantly increased the abundance of human-specific</w:t>
      </w:r>
      <w:r>
        <w:t xml:space="preserve"> </w:t>
      </w:r>
      <w:r>
        <w:rPr>
          <w:iCs/>
          <w:i/>
        </w:rPr>
        <w:t xml:space="preserve">Bacteroides</w:t>
      </w:r>
      <w:r>
        <w:t xml:space="preserve"> </w:t>
      </w:r>
      <w:r>
        <w:t xml:space="preserve">in flies caught in latrines (adjusted log10-transformed difference: (95% CI: , ); Table 2). There were not sufficient studies with abundance data to pool estimates.</w:t>
      </w:r>
    </w:p>
    <w:bookmarkEnd w:id="35"/>
    <w:bookmarkStart w:id="36"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decreased the prevalence of any MST marker on child hands and in soil in Boehm et al. 2016, the prevalence of any MST marker in stored water in Furhmeister et al. 2020, and the prevalence of any pathogen in soil in Kwong et al. 2021 in soil, but only during the wet season. Conversely, interventions increased the prevalence of any pathogen in stored water in Reese et al. 2017 and in stored water (marginally significant) and courtyard soil in Fuhrmeister et al. 2020 in the wet season but had no effect during the dry season.</w:t>
      </w:r>
    </w:p>
    <w:p>
      <w:pPr>
        <w:pStyle w:val="BodyText"/>
      </w:pPr>
      <w:r>
        <w:t xml:space="preserve">There was no significant effect of any interventions on any pathogen or any MST marker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Samples from compounds with animals did not have a significantly higher prevalence of zoonotic pathogens (36%) than households without animals (28.5%). There were also no significant differences in pooled estimates between the one urban study (Holcomb et al. 2020) and the four rural studies (Wald-test p-value for any pathogen in any sample type: NA), between randomized trials and quasi-experimental studies (Wald-test p-value: 0.42), or between the four studies with higher intervention uptake compared to the Odisha Total Sanitation Campaign trial (Wald-test p-value: 0.59). Unadjusted estimates did not vary greatly from adjusted estimates (Figures S6-S8).</w:t>
      </w:r>
    </w:p>
    <w:bookmarkEnd w:id="36"/>
    <w:bookmarkEnd w:id="37"/>
    <w:bookmarkStart w:id="38" w:name="discussion"/>
    <w:p>
      <w:pPr>
        <w:pStyle w:val="Heading2"/>
      </w:pPr>
      <w:r>
        <w:t xml:space="preserve">Discussion</w:t>
      </w:r>
    </w:p>
    <w:p>
      <w:pPr>
        <w:pStyle w:val="FirstParagraph"/>
      </w:pPr>
      <w:r>
        <w:t xml:space="preserve">We obtained individual participant data from five different WASH intervention studies for an IPD analysis. Despite differences in study settings and intervention designs across five WASH intervention studies, results were relatively consistent, with no statistically significant heterogeneity in any of the pooled estimates. There were no studies examining the impact of hygiene or water interventions alone on enteropathogens or MST markers in the environment; Reese et al. 2017 evaluated the effect of a combined water and sanitation intervention on</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prevalence while the other four studies focused on sanitation interventions. Study-specific intervention effects on the prevalence of pathogens and MST markers were primarily null, though 67.2%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pathogens and MST markers but most samples fell outside the quantifiable range and were excluded from analysis. Quantifying the abundance of pathogens or MST markers was useful for assessing intervention effects when a given target was ubiquitously detected, leading to insufficient variation in the binary prevalence variable. For example, we could not estimate a prevalence ratio for the general GenBac3 fecal marker in Boehm et al. 2016 because close to 100% of all samples from both arms had detectable GenBac3, but the intervention decreased the abundance of GenBac3.</w:t>
      </w:r>
    </w:p>
    <w:p>
      <w:pPr>
        <w:pStyle w:val="BodyText"/>
      </w:pPr>
      <w:r>
        <w:t xml:space="preserve">The methods used to detect and quantify specific pathogens or MST markers are typically more expensive and complex than measuring fecal indicator bacteria, contributing to the small number of eligible studies to be included in our meta-analysis and a small number of samples analyzed in some of the studies. Across the included studies, the percent of study households that had environmental samples analyzed for pathogens or MST markers ranged from 9%</w:t>
      </w:r>
      <w:r>
        <w:rPr>
          <w:vertAlign w:val="superscript"/>
        </w:rPr>
        <w:t xml:space="preserve">26</w:t>
      </w:r>
      <w:r>
        <w:t xml:space="preserve"> </w:t>
      </w:r>
      <w:r>
        <w:t xml:space="preserve">to 35%</w:t>
      </w:r>
      <w:r>
        <w:rPr>
          <w:vertAlign w:val="superscript"/>
        </w:rPr>
        <w:t xml:space="preserve">31</w:t>
      </w:r>
      <w:r>
        <w:t xml:space="preserve">. DNA-based diagnostics allowing for the detection of specific enteropathogens overcome the limitations of relying on fecal indictor bacteria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DNA-based diagnostics, or increased funding for environmental testing of enteropathogens within WASH trials, may more precisely estimate the impact of WASH interventions on environmental contamination.</w:t>
      </w:r>
    </w:p>
    <w:p>
      <w:pPr>
        <w:pStyle w:val="BodyText"/>
      </w:pPr>
      <w:r>
        <w:t xml:space="preserve">Domestic animals can contribute to fecal contamination in the environment,</w:t>
      </w:r>
      <w:r>
        <w:rPr>
          <w:vertAlign w:val="superscript"/>
        </w:rPr>
        <w:t xml:space="preserve">33</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34</w:t>
      </w:r>
      <w:r>
        <w:t xml:space="preserve"> </w:t>
      </w:r>
      <w:r>
        <w:t xml:space="preserve">MST markers allow differentiating the effect of sanitation improvements on fecal markers from human vs. animal sources. 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p>
    <w:p>
      <w:pPr>
        <w:pStyle w:val="BodyText"/>
      </w:pPr>
      <w:r>
        <w:t xml:space="preserve">Unlike conventional meta-analyses that statistically pool reported summary estimates from different studies, IPD analysis pools raw data from individual studies and then estimates the effect of interest.</w:t>
      </w:r>
      <w:r>
        <w:rPr>
          <w:vertAlign w:val="superscript"/>
        </w:rPr>
        <w:t xml:space="preserve">35</w:t>
      </w:r>
      <w:r>
        <w:t xml:space="preserve"> </w:t>
      </w:r>
      <w:r>
        <w:t xml:space="preserve">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 One limitation of the IPD approach arises from the heterogeneity of study data. Studies in our review measured different targets using different methods, which limits the comparability. Future research would benefit from systematic and standardized assessment of a broad panel of important enteropathogens, using molecular methods sensitive enough to permit simultaneous detection in both environmental and clinical samples.</w:t>
      </w:r>
      <w:r>
        <w:rPr>
          <w:vertAlign w:val="superscript"/>
        </w:rPr>
        <w:t xml:space="preserve">11</w:t>
      </w:r>
      <w:r>
        <w:t xml:space="preserve"> </w:t>
      </w:r>
      <w:r>
        <w:t xml:space="preserve">Additionally, not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p>
    <w:p>
      <w:pPr>
        <w:pStyle w:val="BodyText"/>
      </w:pPr>
      <w:r>
        <w:t xml:space="preserve">We did not correct for multiple comparisons, and pooled estimates would no longer be significant after correction. While individual studies were likely underpowered, the consistency of the protective point estimates of intervention effects across studies, and 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null findings of the parent sanitation studies on child diarrhea, except for the WASH Benefits Bangladesh trial that found a significant reduction in diarrhea prevalence in the sanitation arm compared to controls. These findings are also consistent with previous studies that found no effect of sanitation interventions on fecal indicator bacteria in the environment,</w:t>
      </w:r>
      <w:r>
        <w:rPr>
          <w:vertAlign w:val="superscript"/>
        </w:rPr>
        <w:t xml:space="preserve">4</w:t>
      </w:r>
      <w:r>
        <w:t xml:space="preserve"> </w:t>
      </w:r>
      <w:r>
        <w:t xml:space="preserve">suggesting that null effects are not solely due to limitations of indicator bacteria but rather indicate the insufficiency of basic sanitation solutions in reducing fecal contamination in the environment. Future studies should investigate alternative sanitation modalities that can more effectively interrupt environmental pathogen transmission. Future WASH trials should also assess the effect of water treatment and hygiene interventions across a range of pathogens and MST markers in drinking water, on hands and in food.</w:t>
      </w:r>
    </w:p>
    <w:bookmarkEnd w:id="38"/>
    <w:bookmarkStart w:id="39" w:name="figures"/>
    <w:p>
      <w:pPr>
        <w:pStyle w:val="Heading2"/>
      </w:pPr>
      <w:r>
        <w:t xml:space="preserve">Figures</w:t>
      </w:r>
    </w:p>
    <w:p>
      <w:pPr>
        <w:jc w:val="left"/>
        <w:pStyle w:val="Figure"/>
      </w:pPr>
      <w:r>
        <w:rPr/>
        <w:drawing xmlns:r="http://schemas.openxmlformats.org/officeDocument/2006/relationships">
          <wp:inline distT="0" distB="0" distL="0" distR="0">
            <wp:extent cx="5943600" cy="4114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IthlkK\file2d60818ac6.png"/>
                    <a:srcRect/>
                    <a:stretch>
                      <a:fillRect/>
                    </a:stretch>
                  </pic:blipFill>
                  <pic:spPr bwMode="auto">
                    <a:xfrm>
                      <a:off x="0" y="0"/>
                      <a:ext cx="8255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the prevalence of any enteropathogen, and any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IthlkK\file2d60c0f78c0.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the prevalence of any virus, any bacteria,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r>
        <w:t xml:space="preserve"> </w:t>
      </w:r>
      <w:commentRangeStart w:id="3"/>
      <w:r>
        <w:t xml:space="preserve">.</w:t>
      </w:r>
      <w:commentRangeEnd w:id="3"/>
      <w:r>
        <w:rPr>
          <w:rStyle w:val="CommentReference"/>
        </w:rPr>
        <w:commentReference w:id="3"/>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IthlkK\file2d6066b66770.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3.</w:t>
      </w:r>
      <w:r>
        <w:t xml:space="preserve"> </w:t>
      </w:r>
      <w:r>
        <w:t xml:space="preserve">Forest plots of intervention effects on the prevalence of any general, human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bookmarkEnd w:id="39"/>
    <w:bookmarkStart w:id="42" w:name="tables"/>
    <w:p>
      <w:pPr>
        <w:pStyle w:val="Heading2"/>
      </w:pPr>
      <w:r>
        <w:t xml:space="preserve">Tables</w:t>
      </w:r>
    </w:p>
    <w:bookmarkStart w:id="40" w:name="Xb6bfc33349ed8a23e42bc11c6792c314251bc06"/>
    <w:p>
      <w:pPr>
        <w:pStyle w:val="Heading3"/>
      </w:pPr>
      <w:r>
        <w:t xml:space="preserve">Table 1. Characteristics of included publication</w:t>
      </w:r>
      <w:commentRangeStart w:id="4"/>
      <w:r>
        <w:t xml:space="preserve">s</w:t>
      </w:r>
      <w:commentRangeEnd w:id="4"/>
      <w:r>
        <w:rPr>
          <w:rStyle w:val="CommentReference"/>
        </w:rPr>
        <w:commentReference w:id="4"/>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88"/>
        <w:gridCol w:w="790"/>
        <w:gridCol w:w="1269"/>
        <w:gridCol w:w="1330"/>
        <w:gridCol w:w="518"/>
        <w:gridCol w:w="589"/>
        <w:gridCol w:w="1967"/>
        <w:gridCol w:w="1669"/>
        <w:gridCol w:w="716"/>
        <w:gridCol w:w="543"/>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 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17 enteropathogens, human and avian fecal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40"/>
    <w:bookmarkStart w:id="41" w:name="X5fcb7a3d454d6e01d97e33c32561e7c91766b85"/>
    <w:p>
      <w:pPr>
        <w:pStyle w:val="Heading3"/>
      </w:pPr>
      <w:r>
        <w:t xml:space="preserve">Table 2. Mean (SD) abundances by study arm arm and adjusted abundance differences between intervention and control arms. Means are log10 transformed concentrations for MST markers, and are mean egg counts for soil transmitted helminths (</w:t>
      </w:r>
      <w:r>
        <w:rPr>
          <w:iCs/>
          <w:i/>
        </w:rPr>
        <w:t xml:space="preserve">Ascaris</w:t>
      </w:r>
      <w:r>
        <w:t xml:space="preserve"> </w:t>
      </w:r>
      <w:r>
        <w:t xml:space="preserve">and</w:t>
      </w:r>
      <w:r>
        <w:t xml:space="preserve"> </w:t>
      </w:r>
      <w:r>
        <w:rPr>
          <w:iCs/>
          <w:i/>
        </w:rPr>
        <w:t xml:space="preserve">Trichuris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8"/>
        <w:gridCol w:w="951"/>
        <w:gridCol w:w="1112"/>
        <w:gridCol w:w="514"/>
        <w:gridCol w:w="610"/>
        <w:gridCol w:w="1151"/>
        <w:gridCol w:w="1399"/>
        <w:gridCol w:w="1078"/>
        <w:gridCol w:w="616"/>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ROQ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bl>
    <w:p>
      <w:pPr>
        <w:pStyle w:val="FirstParagraph"/>
      </w:pPr>
      <w:r>
        <w:t xml:space="preserve">ROQ: Range of quantification; SD: Standard deviation; CI: Confidence interval.</w:t>
      </w:r>
    </w:p>
    <w:p>
      <w:pPr>
        <w:pStyle w:val="BodyText"/>
      </w:pPr>
      <w:r>
        <w:rPr>
          <w:vertAlign w:val="superscript"/>
        </w:rPr>
        <w:t xml:space="preserve">a</w:t>
      </w:r>
      <w:r>
        <w:t xml:space="preserve"> </w:t>
      </w:r>
      <w:r>
        <w:t xml:space="preserve">Marks estimates from negative binomial models.</w:t>
      </w:r>
    </w:p>
    <w:bookmarkEnd w:id="41"/>
    <w:bookmarkEnd w:id="42"/>
    <w:bookmarkStart w:id="43" w:name="supplementary-figures"/>
    <w:p>
      <w:pPr>
        <w:pStyle w:val="Heading2"/>
      </w:pPr>
      <w:r>
        <w:t xml:space="preserve">Supplementary Figures</w:t>
      </w:r>
    </w:p>
    <w:p>
      <w:pPr>
        <w:jc w:val="center"/>
        <w:pStyle w:val="Figure"/>
      </w:pPr>
      <w:r>
        <w:rPr/>
        <w:drawing xmlns:r="http://schemas.openxmlformats.org/officeDocument/2006/relationships">
          <wp:inline distT="0" distB="0" distL="0" distR="0">
            <wp:extent cx="5943600" cy="82296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IthlkK\file2d60f8556b.png"/>
                    <a:srcRect/>
                    <a:stretch>
                      <a:fillRect/>
                    </a:stretch>
                  </pic:blipFill>
                  <pic:spPr bwMode="auto">
                    <a:xfrm>
                      <a:off x="0" y="0"/>
                      <a:ext cx="82550" cy="1143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xmlns:r="http://schemas.openxmlformats.org/officeDocument/2006/relationships">
          <wp:inline distT="0" distB="0" distL="0" distR="0">
            <wp:extent cx="5943600" cy="82296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IthlkK\file2d604474353f.png"/>
                    <a:srcRect/>
                    <a:stretch>
                      <a:fillRect/>
                    </a:stretch>
                  </pic:blipFill>
                  <pic:spPr bwMode="auto">
                    <a:xfrm>
                      <a:off x="0" y="0"/>
                      <a:ext cx="8255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IthlkK\file2d6059f258a.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IthlkK\file2d606423482d.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IthlkK\file2d601eeb179e.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p>
    <w:p>
      <w:pPr>
        <w:jc w:val="center"/>
        <w:pStyle w:val="Figure"/>
      </w:pPr>
      <w:r>
        <w:rPr/>
        <w:drawing xmlns:r="http://schemas.openxmlformats.org/officeDocument/2006/relationships">
          <wp:inline distT="0" distB="0" distL="0" distR="0">
            <wp:extent cx="5943600" cy="4114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IthlkK\file2d603b4349e0.png"/>
                    <a:srcRect/>
                    <a:stretch>
                      <a:fillRect/>
                    </a:stretch>
                  </pic:blipFill>
                  <pic:spPr bwMode="auto">
                    <a:xfrm>
                      <a:off x="0" y="0"/>
                      <a:ext cx="82550" cy="5715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and any MST markers in different types of environmental samples.</w:t>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IthlkK\file2d60273a5fb3.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virus, any bacteria, any protozoa and any STH in different types of environmental samples.</w:t>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IthlkK\file2d605b4b3408.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general, human and animal MST markers in different types of environmental samples.</w:t>
      </w:r>
    </w:p>
    <w:bookmarkEnd w:id="43"/>
    <w:bookmarkStart w:id="81" w:name="references"/>
    <w:p>
      <w:pPr>
        <w:pStyle w:val="Heading2"/>
      </w:pPr>
      <w:r>
        <w:t xml:space="preserve">References</w:t>
      </w:r>
    </w:p>
    <w:bookmarkStart w:id="80" w:name="refs"/>
    <w:bookmarkStart w:id="44"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44"/>
    <w:bookmarkStart w:id="45"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5"/>
    <w:bookmarkStart w:id="46"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6"/>
    <w:bookmarkStart w:id="47" w:name="ref-sclarAssessingImpactSanitation2016"/>
    <w:p>
      <w:pPr>
        <w:pStyle w:val="Bibliography"/>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7"/>
    <w:bookmarkStart w:id="48" w:name="ref-arnoldTreatingWaterChlorine2007"/>
    <w:p>
      <w:pPr>
        <w:pStyle w:val="Bibliography"/>
      </w:pPr>
      <w:r>
        <w:t xml:space="preserve">5.</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8"/>
    <w:bookmarkStart w:id="49" w:name="Xb1bf489923aabc4fc4c5fb28deab2f364562692"/>
    <w:p>
      <w:pPr>
        <w:pStyle w:val="Bibliography"/>
      </w:pPr>
      <w:r>
        <w:t xml:space="preserve">6.</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9"/>
    <w:bookmarkStart w:id="50" w:name="ref-pickeringEfficacyWaterlessHand2010"/>
    <w:p>
      <w:pPr>
        <w:pStyle w:val="Bibliography"/>
      </w:pPr>
      <w:r>
        <w:t xml:space="preserve">7.</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50"/>
    <w:bookmarkStart w:id="51" w:name="ref-gruberColiformBacteriaIndicators2014"/>
    <w:p>
      <w:pPr>
        <w:pStyle w:val="Bibliography"/>
      </w:pPr>
      <w:r>
        <w:t xml:space="preserve">8.</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51"/>
    <w:bookmarkStart w:id="52" w:name="ref-hardinaSoilEnvironmentalSource1991"/>
    <w:p>
      <w:pPr>
        <w:pStyle w:val="Bibliography"/>
      </w:pPr>
      <w:r>
        <w:t xml:space="preserve">9.</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52"/>
    <w:bookmarkStart w:id="53" w:name="ref-wuAreMicrobialIndicators2011"/>
    <w:p>
      <w:pPr>
        <w:pStyle w:val="Bibliography"/>
      </w:pPr>
      <w:r>
        <w:t xml:space="preserve">10.</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53"/>
    <w:bookmarkStart w:id="54" w:name="ref-lappanMonitoringDiverseEnteric2021"/>
    <w:p>
      <w:pPr>
        <w:pStyle w:val="Bibliography"/>
      </w:pPr>
      <w:r>
        <w:t xml:space="preserve">11.</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4"/>
    <w:bookmarkStart w:id="55" w:name="X0275b8f84ec54088067ef6bda5f5851aca32979"/>
    <w:p>
      <w:pPr>
        <w:pStyle w:val="Bibliography"/>
      </w:pPr>
      <w:r>
        <w:t xml:space="preserve">12.</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5"/>
    <w:bookmarkStart w:id="56" w:name="X204ddaaf3e51883be5ab5836eba761a690460fc"/>
    <w:p>
      <w:pPr>
        <w:pStyle w:val="Bibliography"/>
      </w:pPr>
      <w:r>
        <w:t xml:space="preserve">13.</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6"/>
    <w:bookmarkStart w:id="57" w:name="ref-wolfImpactDrinkingWater2018"/>
    <w:p>
      <w:pPr>
        <w:pStyle w:val="Bibliography"/>
      </w:pPr>
      <w:r>
        <w:t xml:space="preserve">14.</w:t>
      </w:r>
      <w:r>
        <w:t xml:space="preserve"> </w:t>
      </w:r>
      <w:r>
        <w:t xml:space="preserve">	</w:t>
      </w:r>
      <w:r>
        <w:t xml:space="preserve">Wolf, J.</w:t>
      </w:r>
      <w:r>
        <w:t xml:space="preserve"> </w:t>
      </w:r>
      <w:r>
        <w:rPr>
          <w:iCs/>
          <w:i/>
        </w:rPr>
        <w:t xml:space="preserve">et al.</w:t>
      </w:r>
      <w:r>
        <w:t xml:space="preserve"> Impact of drinking water, sanitation and handwashing with soap on childhood diarrhoeal disease: Updated meta-analysis and meta-regression.</w:t>
      </w:r>
      <w:r>
        <w:t xml:space="preserve"> </w:t>
      </w:r>
      <w:r>
        <w:rPr>
          <w:iCs/>
          <w:i/>
        </w:rPr>
        <w:t xml:space="preserve">Tropical Medicine &amp; International Health</w:t>
      </w:r>
      <w:r>
        <w:t xml:space="preserve"> </w:t>
      </w:r>
      <w:r>
        <w:rPr>
          <w:bCs/>
          <w:b/>
        </w:rPr>
        <w:t xml:space="preserve">23</w:t>
      </w:r>
      <w:r>
        <w:t xml:space="preserve">, 508–525 (2018).</w:t>
      </w:r>
    </w:p>
    <w:bookmarkEnd w:id="57"/>
    <w:bookmarkStart w:id="58" w:name="ref-wolfSystematicReviewAssessing2014"/>
    <w:p>
      <w:pPr>
        <w:pStyle w:val="Bibliography"/>
      </w:pPr>
      <w:r>
        <w:t xml:space="preserve">15.</w:t>
      </w:r>
      <w:r>
        <w:t xml:space="preserve"> </w:t>
      </w:r>
      <w:r>
        <w:t xml:space="preserve">	</w:t>
      </w:r>
      <w:r>
        <w:t xml:space="preserve">Wolf, J.</w:t>
      </w:r>
      <w:r>
        <w:t xml:space="preserve"> </w:t>
      </w:r>
      <w:r>
        <w:rPr>
          <w:iCs/>
          <w:i/>
        </w:rPr>
        <w:t xml:space="preserve">et al.</w:t>
      </w:r>
      <w:r>
        <w:t xml:space="preserve"> </w:t>
      </w:r>
      <w:r>
        <w:t xml:space="preserve">Systematic review: Assessing the impact of drinking water and sanitation on diarrhoeal disease in low- and middle-income settings: systematic review and meta-regression</w:t>
      </w:r>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58"/>
    <w:bookmarkStart w:id="59" w:name="ref-zouModifiedPoissonRegression2004"/>
    <w:p>
      <w:pPr>
        <w:pStyle w:val="Bibliography"/>
      </w:pPr>
      <w:r>
        <w:t xml:space="preserve">16.</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9"/>
    <w:bookmarkStart w:id="60" w:name="ref-freedmanSoCalledHuberSandwich2006"/>
    <w:p>
      <w:pPr>
        <w:pStyle w:val="Bibliography"/>
      </w:pPr>
      <w:r>
        <w:t xml:space="preserve">17.</w:t>
      </w:r>
      <w:r>
        <w:t xml:space="preserve"> </w:t>
      </w:r>
      <w:r>
        <w:t xml:space="preserve">	</w:t>
      </w:r>
      <w:r>
        <w:t xml:space="preserve">Freedman, D. A. On</w:t>
      </w:r>
      <w:r>
        <w:t xml:space="preserve"> </w:t>
      </w:r>
      <w:r>
        <w:t xml:space="preserve">The So-Called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60"/>
    <w:bookmarkStart w:id="61" w:name="Xe164a29abfa864b85eee56d714229aa35a5dd09"/>
    <w:p>
      <w:pPr>
        <w:pStyle w:val="Bibliography"/>
      </w:pPr>
      <w:r>
        <w:t xml:space="preserve">18.</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1"/>
    <w:bookmarkStart w:id="62" w:name="X0d8fe7285a459ef2a123c0bbff98fb4aa7c6fc5"/>
    <w:p>
      <w:pPr>
        <w:pStyle w:val="Bibliography"/>
      </w:pPr>
      <w:r>
        <w:t xml:space="preserve">19.</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2"/>
    <w:bookmarkStart w:id="63" w:name="ref-d.o.oWeatherAtlasWeather"/>
    <w:p>
      <w:pPr>
        <w:pStyle w:val="Bibliography"/>
      </w:pPr>
      <w:r>
        <w:t xml:space="preserve">20.</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63"/>
    <w:bookmarkStart w:id="64" w:name="Xd9771f8024de563fa64d63e513a6f830a201a25"/>
    <w:p>
      <w:pPr>
        <w:pStyle w:val="Bibliography"/>
      </w:pPr>
      <w:r>
        <w:t xml:space="preserve">21.</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4"/>
    <w:bookmarkStart w:id="65" w:name="X82fdba8d1f9013a63e22e8c41ebdd02b8a8bf02"/>
    <w:p>
      <w:pPr>
        <w:pStyle w:val="Bibliography"/>
      </w:pPr>
      <w:r>
        <w:t xml:space="preserve">22.</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5"/>
    <w:bookmarkStart w:id="66" w:name="X01e26d6591f5e2a5c3447ea027a7589e4b3787c"/>
    <w:p>
      <w:pPr>
        <w:pStyle w:val="Bibliography"/>
      </w:pPr>
      <w:r>
        <w:t xml:space="preserve">23.</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6"/>
    <w:bookmarkStart w:id="67" w:name="ref-reeseDesignRationaleMatched2017"/>
    <w:p>
      <w:pPr>
        <w:pStyle w:val="Bibliography"/>
      </w:pPr>
      <w:r>
        <w:t xml:space="preserve">24.</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67"/>
    <w:bookmarkStart w:id="68" w:name="Xd991f8dfcb33adf9c25dec389b3b0d8e33f406d"/>
    <w:p>
      <w:pPr>
        <w:pStyle w:val="Bibliography"/>
      </w:pPr>
      <w:r>
        <w:t xml:space="preserve">25.</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68"/>
    <w:bookmarkStart w:id="69" w:name="Xf2a03ad0ba8e597b78cac8eb44474a2515beb21"/>
    <w:p>
      <w:pPr>
        <w:pStyle w:val="Bibliography"/>
      </w:pPr>
      <w:r>
        <w:t xml:space="preserve">26.</w:t>
      </w:r>
      <w:r>
        <w:t xml:space="preserve"> </w:t>
      </w:r>
      <w:r>
        <w:t xml:space="preserve">	</w:t>
      </w:r>
      <w:r>
        <w:t xml:space="preserve">Boehm, A. B.</w:t>
      </w:r>
      <w:r>
        <w:t xml:space="preserve"> </w:t>
      </w:r>
      <w:r>
        <w:rPr>
          <w:iCs/>
          <w:i/>
        </w:rPr>
        <w:t xml:space="preserve">et al.</w:t>
      </w:r>
      <w:r>
        <w:t xml:space="preserve"> Occurrence of</w:t>
      </w:r>
      <w:r>
        <w:t xml:space="preserve"> </w:t>
      </w:r>
      <w:r>
        <w:t xml:space="preserve">Host-Associated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69"/>
    <w:bookmarkStart w:id="70" w:name="X9dcf9420471408d0f247188f0ab66b2bab98776"/>
    <w:p>
      <w:pPr>
        <w:pStyle w:val="Bibliography"/>
      </w:pPr>
      <w:r>
        <w:t xml:space="preserve">27.</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0"/>
    <w:bookmarkStart w:id="72" w:name="Xda33b900c79b319f16c7caa64a1c94f62a2b60d"/>
    <w:p>
      <w:pPr>
        <w:pStyle w:val="Bibliography"/>
      </w:pPr>
      <w:r>
        <w:t xml:space="preserve">28.</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71">
        <w:r>
          <w:rPr>
            <w:rStyle w:val="Hyperlink"/>
          </w:rPr>
          <w:t xml:space="preserve">10.1101/2020.09.29.318097</w:t>
        </w:r>
      </w:hyperlink>
      <w:r>
        <w:t xml:space="preserve">.</w:t>
      </w:r>
    </w:p>
    <w:bookmarkEnd w:id="72"/>
    <w:bookmarkStart w:id="73" w:name="ref-holcombHumanFecalContamination2020"/>
    <w:p>
      <w:pPr>
        <w:pStyle w:val="Bibliography"/>
      </w:pPr>
      <w:r>
        <w:t xml:space="preserve">29.</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3"/>
    <w:bookmarkStart w:id="74" w:name="ref-odagiriHumanFecalPathogen2016"/>
    <w:p>
      <w:pPr>
        <w:pStyle w:val="Bibliography"/>
      </w:pPr>
      <w:r>
        <w:t xml:space="preserve">30.</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4"/>
    <w:bookmarkStart w:id="75" w:name="X4d75251919f78b08ed84b8281d002c4332deee4"/>
    <w:p>
      <w:pPr>
        <w:pStyle w:val="Bibliography"/>
      </w:pPr>
      <w:r>
        <w:t xml:space="preserve">31.</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5"/>
    <w:bookmarkStart w:id="76" w:name="X97c43424af1f98a227fde11998363b94410cc27"/>
    <w:p>
      <w:pPr>
        <w:pStyle w:val="Bibliography"/>
      </w:pPr>
      <w:r>
        <w:t xml:space="preserve">32.</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PLOS Neglected Tropical Diseases</w:t>
      </w:r>
      <w:r>
        <w:t xml:space="preserve"> </w:t>
      </w:r>
      <w:r>
        <w:rPr>
          <w:bCs/>
          <w:b/>
        </w:rPr>
        <w:t xml:space="preserve">15</w:t>
      </w:r>
      <w:r>
        <w:t xml:space="preserve">, e0008815 (2021).</w:t>
      </w:r>
    </w:p>
    <w:bookmarkEnd w:id="76"/>
    <w:bookmarkStart w:id="77" w:name="ref-ercumenAnimalFecesContribute2017"/>
    <w:p>
      <w:pPr>
        <w:pStyle w:val="Bibliography"/>
      </w:pPr>
      <w:r>
        <w:t xml:space="preserve">33.</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77"/>
    <w:bookmarkStart w:id="78" w:name="ref-pickeringWASHBenefitsSHINE2019"/>
    <w:p>
      <w:pPr>
        <w:pStyle w:val="Bibliography"/>
      </w:pPr>
      <w:r>
        <w:t xml:space="preserve">34.</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78"/>
    <w:bookmarkStart w:id="79" w:name="X2e43a284ff134b8493f2fd5f9cfcdbbe267edc7"/>
    <w:p>
      <w:pPr>
        <w:pStyle w:val="Bibliography"/>
      </w:pPr>
      <w:r>
        <w:t xml:space="preserve">35.</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79"/>
    <w:bookmarkEnd w:id="80"/>
    <w:bookmarkEnd w:id="81"/>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Note I changed title from Individual-participant data to Individual data based on comment from Amy that we arent using health outcomes here so its not participant data.</w:t>
      </w:r>
    </w:p>
  </w:comment>
  <w:comment w:id="1" w:author="Andrew" w:date="Date">
    <w:p>
      <w:pPr>
        <w:pStyle w:val="CommentText"/>
      </w:pPr>
      <w:r>
        <w:rPr>
          <w:rStyle w:val="CommentReference"/>
          <w:annotationRef/>
        </w:rPr>
      </w:r>
      <w:r>
        <w:t xml:space="preserve">Update: Word count: 244, limit: 250.</w:t>
      </w:r>
    </w:p>
  </w:comment>
  <w:comment w:id="2" w:author="Ayse" w:date="Date">
    <w:p>
      <w:pPr>
        <w:pStyle w:val="CommentText"/>
      </w:pPr>
      <w:r>
        <w:rPr>
          <w:rStyle w:val="CommentReference"/>
          <w:annotationRef/>
        </w:rPr>
      </w:r>
      <w:r>
        <w:t xml:space="preserve">Word count: 4748, limit: 3500. Will trim once finalized and/or identify sections that can go in SI.</w:t>
      </w:r>
    </w:p>
  </w:comment>
  <w:comment w:id="3" w:author="Andrew" w:date="Date">
    <w:p>
      <w:pPr>
        <w:pStyle w:val="CommentText"/>
      </w:pPr>
      <w:r>
        <w:rPr>
          <w:rStyle w:val="CommentReference"/>
          <w:annotationRef/>
        </w:rPr>
      </w:r>
      <w:r>
        <w:t xml:space="preserve">Note to co-authors. We welcome any suggestion on the figure designs throughout. We intentially allow for some of the wider confidence intervals to be cut off by the plot margins so that the differences between smaller RR (but more precise estimates) are more visible, but many consider this a bad practice.</w:t>
      </w:r>
    </w:p>
  </w:comment>
  <w:comment w:id="4" w:author="Andrew" w:date="Date">
    <w:p>
      <w:pPr>
        <w:pStyle w:val="CommentText"/>
      </w:pPr>
      <w:r>
        <w:rPr>
          <w:rStyle w:val="CommentReference"/>
          <w:annotationRef/>
        </w:rPr>
      </w:r>
      <w:r>
        <w:t xml:space="preserve">We will format, switch to landscape, and add references to the specific studies within the table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doi.org/10.1101/2020.09.29.318097" TargetMode="External" /><Relationship Type="http://schemas.openxmlformats.org/officeDocument/2006/relationships/hyperlink" Id="rId25" Target="https://github.com/amertens/wash-ipd" TargetMode="External" /><Relationship Type="http://schemas.openxmlformats.org/officeDocument/2006/relationships/hyperlink" Id="rId26" Target="https://osf.io/8sgzn/" TargetMode="External" /><Relationship Type="http://schemas.openxmlformats.org/officeDocument/2006/relationships/hyperlink" Id="rId24" Target="https://www.weather-atlas.com/"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101/2020.09.29.318097" TargetMode="External" /><Relationship Type="http://schemas.openxmlformats.org/officeDocument/2006/relationships/hyperlink" Id="rId25" Target="https://github.com/amertens/wash-ipd" TargetMode="External" /><Relationship Type="http://schemas.openxmlformats.org/officeDocument/2006/relationships/hyperlink" Id="rId26" Target="https://osf.io/8sgzn/" TargetMode="External" /><Relationship Type="http://schemas.openxmlformats.org/officeDocument/2006/relationships/hyperlink" Id="rId24"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individual-data meta-analysis</dc:title>
  <dc:creator>Andrew Mertens,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dcterms:created xsi:type="dcterms:W3CDTF">2022-02-14T05:30:53Z</dcterms:created>
  <dcterms:modified xsi:type="dcterms:W3CDTF">2022-02-14T05:30:53Z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