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word-count-250-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Assessing whether these interventions reduce pathogens in the environment as an intermediate variable can illuminate whether limited health effects occur because the interventions do not lead to a cleaner environment.</w:t>
      </w:r>
      <w:r>
        <w:br/>
      </w: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r>
        <w:t xml:space="preserve"> </w:t>
      </w:r>
      <w:r>
        <w:rPr>
          <w:bCs/>
          <w:b/>
        </w:rPr>
        <w:t xml:space="preserve">Findings:</w:t>
      </w:r>
      <w:r>
        <w:t xml:space="preserve"> </w:t>
      </w:r>
      <w:r>
        <w:t xml:space="preserve">We identified and received data from five randomized or quasi-experimental studies. Environmental sampling was mostly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r>
        <w:t xml:space="preserve"> </w:t>
      </w:r>
      <w:r>
        <w:rPr>
          <w:bCs/>
          <w:b/>
        </w:rPr>
        <w:t xml:space="preserve">Interpretation:</w:t>
      </w:r>
      <w:r>
        <w:t xml:space="preserve"> </w:t>
      </w:r>
      <w:r>
        <w:t xml:space="preserve">Few trials have measured pathogens or host-specific fecal markers in the environment. The small effect of sanitation interventions on pathogens in the environment is consistent with the lack of health impact in sanitation trials.</w:t>
      </w:r>
      <w:r>
        <w:br/>
      </w: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WASH improvements have on reducing enteric pathogens in environmental samples may help elucidate if interventions successfully interrupt the causal path between poor WASH, environmental exposure to fecal pathogens, and child health. Most previous studies and meta-analyses to date on the effect of WASH interventions on fecal contamination in the environment have focused on fecal indicator bacteria, showing reductions in water and hand contamination from water treatment and handwashing, respectively, but no effects from sanitation. However, limitations of fecal indicator bacteria as predictors of enteropathogens and disease risk limit the interpretation of these findings. We conducted a systematic review and individual participant data meta-analysis of WASH intervention studies that measured enteropathogens or microbial source tracking (MST) markers in the environment to see if interventions reduced the prevalence and abundance of these targets in drinking water, hand rinse, soil and fly samples.</w:t>
      </w:r>
      <w:r>
        <w:t xml:space="preserve"> </w:t>
      </w:r>
      <w:r>
        <w:rPr>
          <w:bCs/>
          <w:b/>
        </w:rPr>
        <w:t xml:space="preserve">Added value of this study.</w:t>
      </w:r>
      <w:r>
        <w:t xml:space="preserve"> </w:t>
      </w:r>
      <w:r>
        <w:t xml:space="preserve">We successfully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developed diagnostic methods to enumerate enteropathogens and host-specific fecal markers in a range of environmental samples, including understudied environmental reservoirs such as soil, to provide the first synthesis of evidence on the effect of WASH interventions on these specific targets in the domestic environment.</w:t>
      </w:r>
      <w:r>
        <w:t xml:space="preserve"> </w:t>
      </w:r>
      <w:r>
        <w:rPr>
          <w:bCs/>
          <w:b/>
        </w:rPr>
        <w:t xml:space="preserve">Implications of all the available science.</w:t>
      </w:r>
      <w:r>
        <w:t xml:space="preserve"> </w:t>
      </w:r>
      <w:r>
        <w:t xml:space="preserve">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validate previous findings of no effect from sanitation interventions on fecal indicator bacteria in the environment, further demonstrating the insufficiency of basic sanitation solutions in reducing fecal contamination in the environment. Possibly, more intensive WASH interventions like safely managed water and sanitation are needed to reduce environmental contamination enough to improve child health. We note that only a small number of trials met our inclusion criteria and only a subset of households was sampled in each study. Pathogen targets and diagnostic methods varied by study. Future research would benefit from sampling a more diverse set of WASH interventions using a standardized set of laboratory methods to enumerate a common range of pathogen and MST targets.</w:t>
      </w:r>
    </w:p>
    <w:bookmarkEnd w:id="21"/>
    <w:bookmarkStart w:id="22" w:name="X94716a2aabe1529a8c3d94f2675fc7606edc238"/>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r>
        <w:rPr>
          <w:vertAlign w:val="superscript"/>
        </w:rPr>
        <w:t xml:space="preserve">1–3</w:t>
      </w:r>
    </w:p>
    <w:p>
      <w:pPr>
        <w:pStyle w:val="BodyText"/>
      </w:pPr>
      <w:r>
        <w:t xml:space="preserve">Pathogens are transmitted from the feces of infected individuals to new hosts through interconnected environmental pathways. Studies assessing the effect of WASH interventions on environmental contamination have to date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while</w:t>
      </w:r>
      <w:r>
        <w:t xml:space="preserve"> </w:t>
      </w:r>
      <w:r>
        <w:rPr>
          <w:iCs/>
          <w:i/>
        </w:rPr>
        <w:t xml:space="preserve">E. coli</w:t>
      </w:r>
      <w:r>
        <w:t xml:space="preserve"> </w:t>
      </w:r>
      <w:r>
        <w:t xml:space="preserve">has been shown to correlate with risk of diarrhea,</w:t>
      </w:r>
      <w:r>
        <w:rPr>
          <w:vertAlign w:val="superscript"/>
        </w:rPr>
        <w:t xml:space="preserve">8</w:t>
      </w:r>
      <w:r>
        <w:t xml:space="preserve"> </w:t>
      </w:r>
      <w:r>
        <w:t xml:space="preserve">fecal indicator bacteria can originate from non-fecal sources,</w:t>
      </w:r>
      <w:r>
        <w:rPr>
          <w:vertAlign w:val="superscript"/>
        </w:rPr>
        <w:t xml:space="preserve">9</w:t>
      </w:r>
      <w:r>
        <w:t xml:space="preserve"> </w:t>
      </w:r>
      <w:r>
        <w:t xml:space="preserve">cannot differentiate between human vs. animal fecal sources,</w:t>
      </w:r>
      <w:r>
        <w:rPr>
          <w:vertAlign w:val="superscript"/>
        </w:rPr>
        <w:t xml:space="preserve">8</w:t>
      </w:r>
      <w:r>
        <w:t xml:space="preserve"> </w:t>
      </w:r>
      <w:r>
        <w:t xml:space="preserve">and correlate poorly with pathogens.</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detection of specific enteropathogens and human- vs. animal-specific MST markers in the domestic environment with a systematic review and an individual participant data (IPD) meta-analysis.</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et al. 2021 in prep].</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 xml:space="preserve">14,15</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studies. All personal identifiers were removed from the data, including GPS locations, and sampling dates were coarsened to a monthly resolution. If the corresponding author was unwilling to share individual data, that study was excluded from our analysis.</w:t>
      </w:r>
    </w:p>
    <w:p>
      <w:pPr>
        <w:pStyle w:val="BodyText"/>
      </w:pPr>
      <w:r>
        <w:t xml:space="preserve">Our primary outcomes were the detection of any enteropathogen and any MST markers in any type of environmental sample. We analyzed prevalences separately for each sample type (e.g., water, hands, soil, flies) and also as a composite measure indicating detection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16</w:t>
      </w:r>
      <w:r>
        <w:t xml:space="preserve"> </w:t>
      </w:r>
      <w:r>
        <w:t xml:space="preserve">For abundance outcomes, we used linear regressions to estimate differences in log-transformed gene copies and negative binomial regressions to estimate count differences in soil-transmitted helminth (STH) egg counts. Because of repeated sampling or clustered designs in some studies, we used the Huber Sandwich Estimator to calculate robust standard errors.</w:t>
      </w:r>
      <w:r>
        <w:rPr>
          <w:vertAlign w:val="superscript"/>
        </w:rPr>
        <w:t xml:space="preserve">17</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18</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For rare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19</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 vs. wet), animal ownership (at least one vs. 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20</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21</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21</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22</w:t>
      </w:r>
      <w:r>
        <w:t xml:space="preserve"> </w:t>
      </w:r>
      <w:r>
        <w:t xml:space="preserve">the Maputo Sanitation (MapSan) study in Mozambique,</w:t>
      </w:r>
      <w:r>
        <w:rPr>
          <w:vertAlign w:val="superscript"/>
        </w:rPr>
        <w:t xml:space="preserve">23</w:t>
      </w:r>
      <w:r>
        <w:t xml:space="preserve"> </w:t>
      </w:r>
      <w:r>
        <w:t xml:space="preserve">the Gram Vikas study in India,</w:t>
      </w:r>
      <w:r>
        <w:rPr>
          <w:vertAlign w:val="superscript"/>
        </w:rPr>
        <w:t xml:space="preserve">24</w:t>
      </w:r>
      <w:r>
        <w:t xml:space="preserve"> </w:t>
      </w:r>
      <w:r>
        <w:t xml:space="preserve">the Odisha Total Sanitation Campaign trial in India,</w:t>
      </w:r>
      <w:r>
        <w:rPr>
          <w:vertAlign w:val="superscript"/>
        </w:rPr>
        <w:t xml:space="preserve">25</w:t>
      </w:r>
      <w:r>
        <w:t xml:space="preserve"> </w:t>
      </w:r>
      <w:r>
        <w:t xml:space="preserve">and the CHoBI7 trial in Bangladesh25 (Table 1). Data were obtained from all studies except the CHoBI7 trial where the investigators declined to share data.</w:t>
      </w:r>
    </w:p>
    <w:p>
      <w:pPr>
        <w:pStyle w:val="BodyText"/>
      </w:pPr>
      <w:r>
        <w:t xml:space="preserve">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 xml:space="preserve">26–28</w:t>
      </w:r>
      <w:r>
        <w:t xml:space="preserve"> </w:t>
      </w:r>
      <w:r>
        <w:t xml:space="preserve">These publications focused on samples collected from different subsets of trial participants at different times; therefore, we report results from these three studies separately. We also received additional unpublished data from the MapSan study, which we include along with the published results from this study.</w:t>
      </w:r>
      <w:r>
        <w:rPr>
          <w:vertAlign w:val="superscript"/>
        </w:rPr>
        <w:t xml:space="preserve">29</w:t>
      </w:r>
      <w:r>
        <w:t xml:space="preserve"> </w:t>
      </w:r>
      <w:r>
        <w:t xml:space="preserve">For the Odisha Total Sanitation Campaign trial, only village-level source water quality data were shared .</w:t>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on compound size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Intervention uptake 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26</w:t>
      </w:r>
      <w:r>
        <w:t xml:space="preserve"> </w:t>
      </w:r>
      <w:r>
        <w:t xml:space="preserve">to 6-10 years</w:t>
      </w:r>
      <w:r>
        <w:rPr>
          <w:vertAlign w:val="superscript"/>
        </w:rPr>
        <w:t xml:space="preserve">24</w:t>
      </w:r>
      <w:r>
        <w:t xml:space="preserve"> </w:t>
      </w:r>
      <w:r>
        <w:t xml:space="preserve">after intervention delivery, with most studies collecting samples at 1-2 years (Table 1). Types of samples collected included source and stored drinking water, child and mother hands, soil from the courtyard, household and latrine areas, food, and flies caught in the compound’s latrine and kitchen areas. The number of environmental samples in individual studies varied from 60</w:t>
      </w:r>
      <w:r>
        <w:rPr>
          <w:vertAlign w:val="superscript"/>
        </w:rPr>
        <w:t xml:space="preserve">30</w:t>
      </w:r>
      <w:r>
        <w:t xml:space="preserve"> </w:t>
      </w:r>
      <w:r>
        <w:t xml:space="preserve">to 2107</w:t>
      </w:r>
      <w:r>
        <w:rPr>
          <w:vertAlign w:val="superscript"/>
        </w:rPr>
        <w:t xml:space="preserve">31</w:t>
      </w:r>
      <w:r>
        <w:t xml:space="preserve">. The pooled dataset across all studies included 12,199 samples, with a total of 41,692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w:t>
      </w:r>
      <w:r>
        <w:t xml:space="preserve">(Tables S4-S7). The MST markers included general (GenBac3, BacUni), human (HumM2, HF183, BacHum,</w:t>
      </w:r>
      <w:r>
        <w:t xml:space="preserve"> </w:t>
      </w:r>
      <w:r>
        <w:rPr>
          <w:iCs/>
          <w:i/>
        </w:rPr>
        <w:t xml:space="preserve">M. smithii</w:t>
      </w:r>
      <w:r>
        <w:t xml:space="preserve">), animal (BacCan, BacCow), ruminant (BacR) and avian (GFD) fecal markers (Tables S4-S7). Most studies used 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31</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30</w:t>
      </w:r>
      <w:r>
        <w:t xml:space="preserve"> </w:t>
      </w:r>
      <w:r>
        <w:t xml:space="preserve">Two studies used microscopy to enumerate STH eggs.</w:t>
      </w:r>
    </w:p>
    <w:p>
      <w:pPr>
        <w:pStyle w:val="BodyText"/>
      </w:pPr>
      <w:r>
        <w:t xml:space="preserve">Many targets had low or no variation, with 20/271 target-sample combinations having no variation in prevalence (all samples negative), and 48/271 of combinations having too little variation to estimate a prevalence ratio (&lt;10 positive or negative samples). Among these sparse combinations, most (95.8%) had too few positive samples, and 4.2% had too few negative samples. Specifically, the BacCow animal fecal marker in Odagiri et al. 2016, the GenBac3 general fecal marker in Boehm et al. 2016, and the human Bacteroides marker in Holcomb et al. 2020 had close to 100% prevalence.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Overall, 203/271 sample-target combinations had sufficient variability to be individually included in our meta-analysis. Among these, the prevalence of pathogens ranged from 1.4% for</w:t>
      </w:r>
      <w:r>
        <w:t xml:space="preserve"> </w:t>
      </w:r>
      <w:r>
        <w:rPr>
          <w:iCs/>
          <w:i/>
        </w:rPr>
        <w:t xml:space="preserve">Giardia</w:t>
      </w:r>
      <w:r>
        <w:t xml:space="preserve"> </w:t>
      </w:r>
      <w:r>
        <w:t xml:space="preserve">on mothers’ hands</w:t>
      </w:r>
      <w:r>
        <w:rPr>
          <w:vertAlign w:val="superscript"/>
        </w:rPr>
        <w:t xml:space="preserve">27</w:t>
      </w:r>
      <w:r>
        <w:t xml:space="preserve"> </w:t>
      </w:r>
      <w:r>
        <w:t xml:space="preserve">to 61.7% for</w:t>
      </w:r>
      <w:r>
        <w:t xml:space="preserve"> </w:t>
      </w:r>
      <w:r>
        <w:rPr>
          <w:iCs/>
          <w:i/>
        </w:rPr>
        <w:t xml:space="preserve">Ascaris</w:t>
      </w:r>
      <w:r>
        <w:t xml:space="preserve"> </w:t>
      </w:r>
      <w:r>
        <w:t xml:space="preserve">in soil</w:t>
      </w:r>
      <w:r>
        <w:rPr>
          <w:vertAlign w:val="superscript"/>
        </w:rPr>
        <w:t xml:space="preserve">32</w:t>
      </w:r>
      <w:r>
        <w:t xml:space="preserve">. The prevalence of MST markers ranged from 2.4% for HumM2 on child hands</w:t>
      </w:r>
      <w:r>
        <w:rPr>
          <w:vertAlign w:val="superscript"/>
        </w:rPr>
        <w:t xml:space="preserve">26</w:t>
      </w:r>
      <w:r>
        <w:t xml:space="preserve"> </w:t>
      </w:r>
      <w:r>
        <w:t xml:space="preserve">to 96.7% for BacCow on mothers’ hands.</w:t>
      </w:r>
      <w:r>
        <w:rPr>
          <w:vertAlign w:val="superscript"/>
        </w:rPr>
        <w:t xml:space="preserve">27</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confidence intervals for prevalence ratios often crossed the null, with 67.5% (137/203) of study-specific intervention effects being protective but non-significant and 4.9% (10/203) being protective and significant. Interventions decreased the prevalence of any pathogen in any sample type in all specific studies except for Boehm et al. 2016 but the decrease was only significant in Fuhrmeister et al. 2020 with an adjusted PR of 0.94 (95% CI: 0.87, 1.02).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0.90, 0.99), 0.97 (95% CI: 0.91, 1.03) (Figure 1). Interventions had no effect on the prevalence of any MST marker in any sample type (adjusted pooled PR= 1.01 (95% CI: 0.99, 1.03), 0.99 (95% CI: 0.95, 1.04))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12 out of 14 study- and sample-specific prevalence ratios indicating a protective effect (Figure 2), though the effect was only significant in any sample type in Fuhrmeister et al. 2020, with an adjusted PR of 0.94 (95% CI: 0.86, 1.03). Pooled across all studies, interventions reduced the prevalence of any bacteria in any sample type, with an adjusted pooled PR of 0.92 (95% CI: 0.85, 0.99). Interventions only reduced STH in soil (adjusted PR: (95% CI: , )) and in any sample type (adjusted PR: (95% CI: , ), Figure 2) in Holcomb et al. 2020. Interventions did not significantly reduce the presence of viruses or protozoa in any sample type or within specific sample types, though point estimates from individual studies were protective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0.94 (95% CI: 0.86, 1.03)) and of adenovirus (adjusted PR: (95% CI: , )) and</w:t>
      </w:r>
      <w:r>
        <w:t xml:space="preserve"> </w:t>
      </w:r>
      <w:r>
        <w:rPr>
          <w:iCs/>
          <w:i/>
        </w:rPr>
        <w:t xml:space="preserve">Shigella</w:t>
      </w:r>
      <w:r>
        <w:t xml:space="preserve"> </w:t>
      </w:r>
      <w:r>
        <w:t xml:space="preserve">(adjusted PR: (95% CI: , )) in Holcomb et al. 2020 (Figure S1). These reductions were driven by non-significant reductions in all sample types in Fuhrmeister et al. 2020 and by significant reductions in soil samples in Holcomb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26 out of 53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samples, 21.7% had abundances quantified, including STH egg counts in Steinbaum et al. 2019 and Kwong et al. 2021 and gene copies of enteropathogens and MST targets in Boehm et al. 2016, Fuhrmeister et al. 2020, and Holcomb et al. 2020. Of these, 18.8% were below the limit of detection, 22.2% were below the limit of quantification, and 59% were in the range of quantification. Of targets enumerated within specific sample types, only 22.4%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-0.20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(95% CI: , ); Table 2).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(35.2%) than households without animals (29.1%). There were also no significant differences in pooled estimates between the one urban study (Holcomb et al. 2020) and the four rural studies (Wald-test p-value for any pathogen in any sample type: NA), between randomized trials and quasi-experimental studies (Wald-test p-value: 0.42),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67.5%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w:t>
      </w:r>
      <w:r>
        <w:rPr>
          <w:vertAlign w:val="superscript"/>
        </w:rPr>
        <w:t xml:space="preserve">26</w:t>
      </w:r>
      <w:r>
        <w:t xml:space="preserve"> </w:t>
      </w:r>
      <w:r>
        <w:t xml:space="preserve">to 35%</w:t>
      </w:r>
      <w:r>
        <w:rPr>
          <w:vertAlign w:val="superscript"/>
        </w:rPr>
        <w:t xml:space="preserve">31</w:t>
      </w:r>
      <w:r>
        <w:t xml:space="preserve">.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can contribute to fecal contamination in the environment,</w:t>
      </w:r>
      <w:r>
        <w:rPr>
          <w:vertAlign w:val="superscript"/>
        </w:rPr>
        <w:t xml:space="preserve">33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34</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Unlike conventional meta-analyses that statistically pool reported summary estimates from different studies, IPD analysis pools raw data from individual studies and then estimates the effect of interest.</w:t>
      </w:r>
      <w:r>
        <w:rPr>
          <w:vertAlign w:val="superscript"/>
        </w:rPr>
        <w:t xml:space="preserve">35</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data. Studies in our review measured different targets using different methods, which limits the comparability. 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 xml:space="preserve">11</w:t>
      </w:r>
      <w:r>
        <w:t xml:space="preserve"> </w:t>
      </w:r>
      <w:r>
        <w:t xml:space="preserve">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suggesting that null effects are not solely due to limitations of indicator bacteria but rather indicate the insufficiency of basic sanitation solutions in reducing fecal contamination in the environment. 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wp:inline distT="0" distB="0" distL="0" distR="0">
            <wp:extent cx="59436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2"/>
                    <a:srcRect/>
                    <a:stretch>
                      <a:fillRect/>
                    </a:stretch>
                  </pic:blipFill>
                  <pic:spPr bwMode="auto">
                    <a:xfrm>
                      <a:off x="0" y="0"/>
                      <a:ext cx="8255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r>
        <w:t xml:space="preserve"> </w:t>
      </w:r>
      <w:commentRangeStart w:id="2"/>
      <w:r>
        <w:t xml:space="preserve">.</w:t>
      </w:r>
      <w:commentRangeEnd w:id="2"/>
      <w:r>
        <w:rPr>
          <w:rStyle w:val="CommentReference"/>
        </w:rPr>
        <w:commentReference w:id="2"/>
      </w:r>
    </w:p>
    <w:p>
      <w:pPr>
        <w:jc w:val="center"/>
        <w:pStyle w:val="Figure"/>
      </w:pPr>
      <w:r>
        <w:rPr/>
        <w:drawing>
          <wp:inline distT="0" distB="0" distL="0" distR="0">
            <wp:extent cx="59436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b6bfc33349ed8a23e42bc11c6792c314251bc06"/>
    <w:p>
      <w:pPr>
        <w:pStyle w:val="Heading3"/>
      </w:pPr>
      <w:r>
        <w:t xml:space="preserve">Table 1. Characteristics of included publication</w:t>
      </w:r>
      <w:commentRangeStart w:id="3"/>
      <w:r>
        <w:t xml:space="preserve">s</w:t>
      </w:r>
      <w:commentRangeEnd w:id="3"/>
      <w:r>
        <w:rPr>
          <w:rStyle w:val="CommentReference"/>
        </w:rPr>
        <w:commentReference w:id="3"/>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4"/>
        <w:gridCol w:w="948"/>
        <w:gridCol w:w="1137"/>
        <w:gridCol w:w="513"/>
        <w:gridCol w:w="608"/>
        <w:gridCol w:w="1147"/>
        <w:gridCol w:w="1395"/>
        <w:gridCol w:w="1075"/>
        <w:gridCol w:w="61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(-0.35 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 (-0.12 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wp:inline distT="0" distB="0" distL="0" distR="0">
            <wp:extent cx="5943600" cy="8229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5"/>
                    <a:srcRect/>
                    <a:stretch>
                      <a:fillRect/>
                    </a:stretch>
                  </pic:blipFill>
                  <pic:spPr bwMode="auto">
                    <a:xfrm>
                      <a:off x="0" y="0"/>
                      <a:ext cx="82550" cy="1143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5943600" cy="8229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6"/>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59436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7"/>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8"/>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9"/>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59436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0"/>
                    <a:srcRect/>
                    <a:stretch>
                      <a:fillRect/>
                    </a:stretch>
                  </pic:blipFill>
                  <pic:spPr bwMode="auto">
                    <a:xfrm>
                      <a:off x="0" y="0"/>
                      <a:ext cx="8255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59436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1"/>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59436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2"/>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1" w:name="references"/>
    <w:p>
      <w:pPr>
        <w:pStyle w:val="Heading2"/>
      </w:pPr>
      <w:r>
        <w:t xml:space="preserve">References</w:t>
      </w:r>
    </w:p>
    <w:bookmarkStart w:id="80"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gruberColiformBacteriaIndicators2014"/>
    <w:p>
      <w:pPr>
        <w:pStyle w:val="Bibliography"/>
      </w:pPr>
      <w:r>
        <w:t xml:space="preserve">8.</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1"/>
    <w:bookmarkStart w:id="52" w:name="ref-hardinaSoilEnvironmentalSource1991"/>
    <w:p>
      <w:pPr>
        <w:pStyle w:val="Bibliography"/>
      </w:pPr>
      <w:r>
        <w:t xml:space="preserve">9.</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ref-wolfImpactDrinkingWater2018"/>
    <w:p>
      <w:pPr>
        <w:pStyle w:val="Bibliography"/>
      </w:pPr>
      <w:r>
        <w:t xml:space="preserve">14.</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7"/>
    <w:bookmarkStart w:id="58" w:name="ref-wolfSystematicReviewAssessing2014"/>
    <w:p>
      <w:pPr>
        <w:pStyle w:val="Bibliography"/>
      </w:pPr>
      <w:r>
        <w:t xml:space="preserve">15.</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8"/>
    <w:bookmarkStart w:id="59" w:name="ref-zouModifiedPoissonRegression2004"/>
    <w:p>
      <w:pPr>
        <w:pStyle w:val="Bibliography"/>
      </w:pPr>
      <w:r>
        <w:t xml:space="preserve">16.</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9"/>
    <w:bookmarkStart w:id="60" w:name="ref-freedmanSoCalledHuberSandwich2006"/>
    <w:p>
      <w:pPr>
        <w:pStyle w:val="Bibliography"/>
      </w:pPr>
      <w:r>
        <w:t xml:space="preserve">17.</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60"/>
    <w:bookmarkStart w:id="61" w:name="Xe164a29abfa864b85eee56d714229aa35a5dd09"/>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X0d8fe7285a459ef2a123c0bbff98fb4aa7c6fc5"/>
    <w:p>
      <w:pPr>
        <w:pStyle w:val="Bibliography"/>
      </w:pPr>
      <w:r>
        <w:t xml:space="preserve">19.</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ref-d.o.oWeatherAtlasWeather"/>
    <w:p>
      <w:pPr>
        <w:pStyle w:val="Bibliography"/>
      </w:pPr>
      <w:r>
        <w:t xml:space="preserve">20.</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3"/>
    <w:bookmarkStart w:id="64" w:name="Xd9771f8024de563fa64d63e513a6f830a201a25"/>
    <w:p>
      <w:pPr>
        <w:pStyle w:val="Bibliography"/>
      </w:pPr>
      <w:r>
        <w:t xml:space="preserve">21.</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4"/>
    <w:bookmarkStart w:id="65" w:name="X82fdba8d1f9013a63e22e8c41ebdd02b8a8bf02"/>
    <w:p>
      <w:pPr>
        <w:pStyle w:val="Bibliography"/>
      </w:pPr>
      <w:r>
        <w:t xml:space="preserve">22.</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5"/>
    <w:bookmarkStart w:id="66" w:name="X01e26d6591f5e2a5c3447ea027a7589e4b3787c"/>
    <w:p>
      <w:pPr>
        <w:pStyle w:val="Bibliography"/>
      </w:pPr>
      <w:r>
        <w:t xml:space="preserve">23.</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6"/>
    <w:bookmarkStart w:id="67" w:name="ref-reeseDesignRationaleMatched2017"/>
    <w:p>
      <w:pPr>
        <w:pStyle w:val="Bibliography"/>
      </w:pPr>
      <w:r>
        <w:t xml:space="preserve">24.</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7"/>
    <w:bookmarkStart w:id="68" w:name="Xd991f8dfcb33adf9c25dec389b3b0d8e33f406d"/>
    <w:p>
      <w:pPr>
        <w:pStyle w:val="Bibliography"/>
      </w:pPr>
      <w:r>
        <w:t xml:space="preserve">25.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8"/>
    <w:bookmarkStart w:id="69" w:name="Xf2a03ad0ba8e597b78cac8eb44474a2515beb21"/>
    <w:p>
      <w:pPr>
        <w:pStyle w:val="Bibliography"/>
      </w:pPr>
      <w:r>
        <w:t xml:space="preserve">26.</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9"/>
    <w:bookmarkStart w:id="70" w:name="X9dcf9420471408d0f247188f0ab66b2bab98776"/>
    <w:p>
      <w:pPr>
        <w:pStyle w:val="Bibliography"/>
      </w:pPr>
      <w:r>
        <w:t xml:space="preserve">27.</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0"/>
    <w:bookmarkStart w:id="72"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71">
        <w:r>
          <w:rPr>
            <w:rStyle w:val="Hyperlink"/>
          </w:rPr>
          <w:t xml:space="preserve">10.1101/2020.09.29.318097</w:t>
        </w:r>
      </w:hyperlink>
      <w:r>
        <w:t xml:space="preserve">.</w:t>
      </w:r>
    </w:p>
    <w:bookmarkEnd w:id="72"/>
    <w:bookmarkStart w:id="73" w:name="ref-holcombHumanFecalContamination2020"/>
    <w:p>
      <w:pPr>
        <w:pStyle w:val="Bibliography"/>
      </w:pPr>
      <w:r>
        <w:t xml:space="preserve">29.</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3"/>
    <w:bookmarkStart w:id="74" w:name="ref-odagiriHumanFecalPathogen2016"/>
    <w:p>
      <w:pPr>
        <w:pStyle w:val="Bibliography"/>
      </w:pPr>
      <w:r>
        <w:t xml:space="preserve">30.</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4"/>
    <w:bookmarkStart w:id="75" w:name="X4d75251919f78b08ed84b8281d002c4332deee4"/>
    <w:p>
      <w:pPr>
        <w:pStyle w:val="Bibliography"/>
      </w:pPr>
      <w:r>
        <w:t xml:space="preserve">31.</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5"/>
    <w:bookmarkStart w:id="76" w:name="X97c43424af1f98a227fde11998363b94410cc27"/>
    <w:p>
      <w:pPr>
        <w:pStyle w:val="Bibliography"/>
      </w:pPr>
      <w:r>
        <w:t xml:space="preserve">32.</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6"/>
    <w:bookmarkStart w:id="77" w:name="ref-ercumenAnimalFecesContribute2017"/>
    <w:p>
      <w:pPr>
        <w:pStyle w:val="Bibliography"/>
      </w:pPr>
      <w:r>
        <w:t xml:space="preserve">33.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77"/>
    <w:bookmarkStart w:id="78" w:name="ref-pickeringWASHBenefitsSHINE2019"/>
    <w:p>
      <w:pPr>
        <w:pStyle w:val="Bibliography"/>
      </w:pPr>
      <w:r>
        <w:t xml:space="preserve">34.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78"/>
    <w:bookmarkStart w:id="79" w:name="X2e43a284ff134b8493f2fd5f9cfcdbbe267edc7"/>
    <w:p>
      <w:pPr>
        <w:pStyle w:val="Bibliography"/>
      </w:pPr>
      <w:r>
        <w:t xml:space="preserve">35.</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9"/>
    <w:bookmarkEnd w:id="80"/>
    <w:bookmarkEnd w:id="8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yse" w:date="Date">
    <w:p>
      <w:pPr>
        <w:pStyle w:val="CommentText"/>
      </w:pPr>
      <w:r>
        <w:rPr>
          <w:rStyle w:val="CommentReference"/>
          <w:annotationRef/>
        </w:rPr>
      </w:r>
      <w:r>
        <w:t xml:space="preserve">Word count: 250, limit: 250.</w:t>
      </w:r>
    </w:p>
  </w:comment>
  <w:comment w:id="1" w:author="Ayse" w:date="Date">
    <w:p>
      <w:pPr>
        <w:pStyle w:val="CommentText"/>
      </w:pPr>
      <w:r>
        <w:rPr>
          <w:rStyle w:val="CommentReference"/>
          <w:annotationRef/>
        </w:rPr>
      </w:r>
      <w:r>
        <w:t xml:space="preserve">Word count: 4748, limit: 3500. Will trim once finalized and/or identify sections that can go in SI.</w:t>
      </w:r>
    </w:p>
  </w:comment>
  <w:comment w:id="2" w:author="Andrew" w:date="Date">
    <w:p>
      <w:pPr>
        <w:pStyle w:val="CommentText"/>
      </w:pPr>
      <w:r>
        <w:rPr>
          <w:rStyle w:val="CommentReference"/>
          <w:annotationRef/>
        </w:rPr>
      </w:r>
      <w:r>
        <w:t xml:space="preserve">Note to co-authors. We welcome any suggestion on the figure designs throughout. We intentially allow for some of the wider confidence intervals to be cut off by the plot margins so that the differences between smaller RR (but more precise estimates) are more visible, but many consider this a bad practice.</w:t>
      </w:r>
    </w:p>
  </w:comment>
  <w:comment w:id="3"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1"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 Id="rId72" Type="http://schemas.openxmlformats.org/officeDocument/2006/relationships/image" Target="media/file41186d616dad.png"/>
<Relationship Id="rId73" Type="http://schemas.openxmlformats.org/officeDocument/2006/relationships/image" Target="media/file4118525b149b.png"/>
<Relationship Id="rId74" Type="http://schemas.openxmlformats.org/officeDocument/2006/relationships/image" Target="media/file411822a54b89.png"/>
<Relationship Id="rId75" Type="http://schemas.openxmlformats.org/officeDocument/2006/relationships/image" Target="media/file4118439878b.png"/>
<Relationship Id="rId76" Type="http://schemas.openxmlformats.org/officeDocument/2006/relationships/image" Target="media/file4118f7c12e9.png"/>
<Relationship Id="rId77" Type="http://schemas.openxmlformats.org/officeDocument/2006/relationships/image" Target="media/file41186f543b5e.png"/>
<Relationship Id="rId78" Type="http://schemas.openxmlformats.org/officeDocument/2006/relationships/image" Target="media/file411853b01750.png"/>
<Relationship Id="rId79" Type="http://schemas.openxmlformats.org/officeDocument/2006/relationships/image" Target="media/file4118d4241c9.png"/>
<Relationship Id="rId80" Type="http://schemas.openxmlformats.org/officeDocument/2006/relationships/image" Target="media/file41184b1a2b3b.png"/>
<Relationship Id="rId81" Type="http://schemas.openxmlformats.org/officeDocument/2006/relationships/image" Target="media/file411873ac4d4e.png"/>
<Relationship Id="rId82" Type="http://schemas.openxmlformats.org/officeDocument/2006/relationships/image" Target="media/file4118770a4253.png"/>
</Relationships>

</file>

<file path=word/_rels/footnotes.xml.rels><?xml version="1.0" encoding="UTF-8" standalone="yes"?>

<Relationships  xmlns="http://schemas.openxmlformats.org/package/2006/relationships">
<Relationship Id="rId71"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2021-09-24T16:00:03Z</dcterms:created>
  <dcterms:modified xsi:type="dcterms:W3CDTF">2021-09-24T09:00:04Z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