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abstract"/>
    <w:p>
      <w:pPr>
        <w:pStyle w:val="Heading2"/>
      </w:pPr>
      <w:r>
        <w:t xml:space="preserve">Abstract</w:t>
      </w:r>
    </w:p>
    <w:p>
      <w:pPr>
        <w:pStyle w:val="FirstParagraph"/>
      </w:pPr>
      <w:r>
        <w:t xml:space="preserve">Water, sanitation, and hygiene (WASH) improvements have traditionally been believed to reduce diarrheal disease and improve child health by reducing the spread of enteric pathogens in the environment. However, recent WASH randomized control trials have had no or mixed effects on improving child health. Measuring fecal pathogens in the environment as an intermediate variable can provide evidence on whether WASH interventions lead to a cleaner environment. Most studies and systematic reviews have relied on fecal indicator bacteria to assess environmental fecal contamination, but these have limitations. Our objective was to assess WASH effects on actual pathogens and microbial source tracking (MST) markers measured in environmental samples through a systematic review and individual participant data meta-analysis of WASH intervention studies. We estimated the impact of interventions on the prevalence of any pathogen or of any MST target and on the prevalence and abundance of specific pathogens or MST targets. We used covariate-adjusted regression models with robust standard errors to account for the clustering of samples in the compound or intervention cluster. We identified and received data from 5 different randomized or quasi-randomized sanitation intervention studies, and estimated a small but significant effect of sanitation interventions on reducing the prevalence of any pathogen, with a pooled, adjusted relative risk of 0.94 (95% CI: 0.89, 0.99). There was no overall effect on MST markers, and there was no consistent differences in intervention effects between wet or dry seasons, by animal presence in the household, or between urban versus rural study settings</w:t>
      </w:r>
      <w:commentRangeStart w:id="0"/>
      <w:r>
        <w:t xml:space="preserve">.</w:t>
      </w:r>
      <w:commentRangeEnd w:id="0"/>
      <w:r>
        <w:rPr>
          <w:rStyle w:val="CommentReference"/>
        </w:rPr>
        <w:commentReference w:id="0"/>
      </w:r>
    </w:p>
    <w:bookmarkEnd w:id="20"/>
    <w:bookmarkStart w:id="21" w:name="introduction"/>
    <w:p>
      <w:pPr>
        <w:pStyle w:val="Heading2"/>
      </w:pPr>
      <w:r>
        <w:t xml:space="preserve">Introduction</w:t>
      </w:r>
    </w:p>
    <w:p>
      <w:pPr>
        <w:pStyle w:val="FirstParagraph"/>
      </w:pPr>
      <w: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1–3</w:t>
      </w:r>
    </w:p>
    <w:p>
      <w:pPr>
        <w:pStyle w:val="BodyText"/>
      </w:pPr>
      <w:r>
        <w:t xml:space="preserve">Pathogens are transmitted from the feces of infected individuals to new hosts through a complex set of interconnected environmentally mediated pathways. Studies that have collected environmental samples to date to assess the effects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Household water treatment and handwashing have been associated with reduced fecal contamination of drinking water</w:t>
      </w:r>
      <w:r>
        <w:rPr>
          <w:vertAlign w:val="superscript"/>
        </w:rPr>
        <w:t xml:space="preserve">5</w:t>
      </w:r>
      <w:r>
        <w:t xml:space="preserve"> </w:t>
      </w:r>
      <w:r>
        <w:t xml:space="preserve">and hands [ref], respectively while sanitation interventions have had limited impact on environmental fecal contamination, including drinking water, hands, objects, surfaces, soil and flies.</w:t>
      </w:r>
      <w:r>
        <w:rPr>
          <w:vertAlign w:val="superscript"/>
        </w:rPr>
        <w:t xml:space="preserve">4</w:t>
      </w:r>
    </w:p>
    <w:p>
      <w:pPr>
        <w:pStyle w:val="BodyText"/>
      </w:pPr>
      <w:r>
        <w:t xml:space="preserve">However, these studies have mostly relied on measuring indicator organisms such as E. coli in the environment as a proxy for pathogens; these indicators can originate from non-fecal sources,</w:t>
      </w:r>
      <w:r>
        <w:rPr>
          <w:vertAlign w:val="superscript"/>
        </w:rPr>
        <w:t xml:space="preserve">6</w:t>
      </w:r>
      <w:r>
        <w:t xml:space="preserve"> </w:t>
      </w:r>
      <w:r>
        <w:t xml:space="preserve">cannot differentiate between human vs. animal fecal contamination,</w:t>
      </w:r>
      <w:r>
        <w:rPr>
          <w:vertAlign w:val="superscript"/>
        </w:rPr>
        <w:t xml:space="preserve">7</w:t>
      </w:r>
      <w:r>
        <w:t xml:space="preserve"> </w:t>
      </w:r>
      <w:r>
        <w:t xml:space="preserve">and correlate poorly with the presence of pathogens.</w:t>
      </w:r>
      <w:r>
        <w:rPr>
          <w:vertAlign w:val="superscript"/>
        </w:rPr>
        <w:t xml:space="preserve">8</w:t>
      </w:r>
      <w:r>
        <w:t xml:space="preserve"> </w:t>
      </w:r>
      <w:r>
        <w:t xml:space="preserve">Recent advances in DNA-based diagnostics now allow detection of a range of enteropathogens in human biological specimens and environmental samples,</w:t>
      </w:r>
      <w:r>
        <w:rPr>
          <w:vertAlign w:val="superscript"/>
        </w:rPr>
        <w:t xml:space="preserve">9,10</w:t>
      </w:r>
      <w:r>
        <w:t xml:space="preserve"> </w:t>
      </w:r>
      <w:r>
        <w:t xml:space="preserve">as well as distinction between human vs. animal fecal sources through molecular source tracking (MST) markers.</w:t>
      </w:r>
      <w:r>
        <w:rPr>
          <w:vertAlign w:val="superscript"/>
        </w:rPr>
        <w:t xml:space="preserve">11</w:t>
      </w:r>
      <w:r>
        <w:t xml:space="preserve"> </w:t>
      </w:r>
      <w:r>
        <w:t xml:space="preserve">We aimed to assess the effect of WASH interventions on specific pathogens, pathogen types (viruses, bacteria, protozoa, helminths) and human- vs. animal-specific MST markers in the domestic environment with a systematic review and an individual participant data (IPD) meta-analysis.</w:t>
      </w:r>
    </w:p>
    <w:bookmarkEnd w:id="21"/>
    <w:bookmarkStart w:id="25" w:name="methods"/>
    <w:p>
      <w:pPr>
        <w:pStyle w:val="Heading2"/>
      </w:pPr>
      <w:r>
        <w:t xml:space="preserve">Methods</w:t>
      </w:r>
    </w:p>
    <w:p>
      <w:pPr>
        <w:pStyle w:val="FirstParagraph"/>
      </w:pPr>
      <w:r>
        <w:t xml:space="preserve">We conducted a systematic literature search to identify WASH intervention trials and quasi-experimental studies that have measured pathogens and/or MST markers in environmental samples as well as at least one of the following health outcomes of interest: (caregiver-reported diarrhea, child growth or pathogens in stool). We focused on studies with environmental as well as child health measurements in order to assess (1) the impact of WASH interventions on environmental contamination, (2) associations between these measures of environmental contamination and child diarrhea, growth and specific enteric infections),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pPr>
        <w:pStyle w:val="BodyText"/>
      </w:pPr>
      <w:r>
        <w:t xml:space="preserve">We developed a search strategy from a two-step process. First, we examined known studies meeting our inclusion criteria for keywords and Medical Subject Heading (MeSH) terms relating to each of the following categories of our search string: WASH interventions; microbial source tracking and environmental contamination; enteric infection; diarrhea; and child growth and development. Next, we performed an initial search using these terms and extracted other relevant terms and synonyms from relevant articles in the search results. Search terms are listed in Supplementary Table 1.</w:t>
      </w:r>
    </w:p>
    <w:p>
      <w:pPr>
        <w:pStyle w:val="BodyText"/>
      </w:pPr>
      <w:r>
        <w:t xml:space="preserve">We queried the following databases for relevant studies: PubMed, Embase, CAB Direct Global Health, Agricultural &amp; Environmental Science Database, Web Of Science, Scopus. We only included English language publications published in 2000 or after so that only studies with more recently developed pathogen detection methods were included. We included studies meeting the following inclusion criteria: 1) Randomized controlled trial or quasi-randomized study (i.e., matched cohort, controlled before-and-after study) of a water, sanitation, or hygiene intervention, 2) measured pathogens and/or MST markers in environmental samples, and 3) measured at least one health outcome of interest. We did not include studies that only measured fecal indicator bacteria such as coliforms or</w:t>
      </w:r>
      <w:r>
        <w:t xml:space="preserve"> </w:t>
      </w:r>
      <w:r>
        <w:rPr>
          <w:iCs/>
          <w:i/>
        </w:rPr>
        <w:t xml:space="preserve">E. coli</w:t>
      </w:r>
      <w:r>
        <w:t xml:space="preserve">, which are commonly used measures of fecal contamination but are not specific to fecal sources and cannot distinguish the source of contamination.</w:t>
      </w:r>
      <w:r>
        <w:rPr>
          <w:vertAlign w:val="superscript"/>
        </w:rPr>
        <w:t xml:space="preserve">12</w:t>
      </w:r>
    </w:p>
    <w:p>
      <w:pPr>
        <w:pStyle w:val="BodyText"/>
      </w:pPr>
      <w:r>
        <w:t xml:space="preserve">For each identified study, we contacted the authors to request data on the presence and abundance of pathogen and MST markers measured in environmental samples, as well as child health data, and potentially confounding baseline characteristics. To avoid sharing identifiable data, no GPS locations were shared, and the sampling dates were coarsened to a monthly resolution.</w:t>
      </w:r>
    </w:p>
    <w:p>
      <w:pPr>
        <w:pStyle w:val="BodyText"/>
      </w:pPr>
      <w:r>
        <w:t xml:space="preserve">Our primary outcomes were the prevalence of any enteropathogen and of any MST markers in environmental samples. We analyzed prevalences separately for each sample type (e.g., water, hands, soil, flies) and also as a composite prevalence measure indicating presence of the target in any sample type collected from the same household during the same sampling round. Secondary outcomes included the prevalence of specific pathogen types (any viruses, any bacteria, any protozoa, any helminths), the prevalence of specific MST types (general, human, animal, ruminant, avian), the prevalence and abundance of individual enteropathogens, and the prevalence and abundance of individual MST markers.</w:t>
      </w:r>
    </w:p>
    <w:p>
      <w:pPr>
        <w:pStyle w:val="BodyText"/>
      </w:pPr>
      <w:r>
        <w:t xml:space="preserve">We compared each outcome between the WASH intervention and control arms of the included studies. For prevalence outcomes, we estimated prevalence ratios using modified Poisson regressions.</w:t>
      </w:r>
      <w:r>
        <w:rPr>
          <w:vertAlign w:val="superscript"/>
        </w:rPr>
        <w:t xml:space="preserve">13</w:t>
      </w:r>
      <w:r>
        <w:t xml:space="preserve"> </w:t>
      </w:r>
      <w:r>
        <w:t xml:space="preserve">For abundance outcomes, we estimated differences in log-transformed gene copies obtained from molecular methods using linear regressions, and we estimated count differences of soil-transmitted helminth egg counts from microscopic methods using negative binomial regressions. Because of repeated sampling or clustered designs in some studies, we used the Huber Sandwich Estimator to calculate robust standard errors for all estimates.</w:t>
      </w:r>
      <w:r>
        <w:rPr>
          <w:vertAlign w:val="superscript"/>
        </w:rPr>
        <w:t xml:space="preserve">14</w:t>
      </w:r>
      <w:r>
        <w:t xml:space="preserve"> </w:t>
      </w:r>
      <w:r>
        <w:t xml:space="preserve">We used the compound (group of households with shared sanitation) as the independent unit in non-cluster-randomized studies and the specified unit of clustering in cluster-randomized trials.</w:t>
      </w:r>
    </w:p>
    <w:p>
      <w:pPr>
        <w:pStyle w:val="BodyText"/>
      </w:pPr>
      <w:r>
        <w:t xml:space="preserve">We estimated prevalence ratios and abundance differences between intervention and control arms for each pathogen and microbial target by sample type, and also aggregated across samples collected from the same household during the same sampling round. We also estimated prevalence ratios and abundance differences between intervention and control arms for any pathogen presence, any MST marker, any bacteria, any virus, any protozoa, any helminth, any general MST, any human MST, or any animal MST.</w:t>
      </w:r>
    </w:p>
    <w:p>
      <w:pPr>
        <w:pStyle w:val="BodyText"/>
      </w:pPr>
      <w:r>
        <w:t xml:space="preserve">For the pathogen or MST abundance measures, we imputed values for samples below the limit of quantification (LOQ) and the limit of detection (LOD). We used the original study’s imputation strategy if available and imputed ourselves if the original study did not impute non-quantifiable abundances.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pPr>
        <w:pStyle w:val="BodyText"/>
      </w:pPr>
      <w:r>
        <w:t xml:space="preserve">All analyses were adjusted for potential confounders. While estimated effects of WASH interventions from randomized controlled trials should be unconfounded due to randomization, covariate adjustment may increase statistical efficiency, and improve exchangeability in comparing and combining estimates with matched cohorts and non-randomized trials.</w:t>
      </w:r>
      <w:r>
        <w:rPr>
          <w:vertAlign w:val="superscript"/>
        </w:rPr>
        <w:t xml:space="preserve">15</w:t>
      </w:r>
      <w:r>
        <w:t xml:space="preserve"> </w:t>
      </w:r>
      <w:r>
        <w:t xml:space="preserve">Potential confounders were prescreened using likelihood ratio tests, and only variables associated with the outcome with a p-value &lt; 0.2 were included in the model for each outcome. We included the following variables in the prescreening set if they were measured within an included study: asset-based household wealth, number of people in the household, number of rooms, household construction materials (walls, floor, roof), electrification, age and education of primary caregiver in the household, if anyone in the household works in agriculture, and land ownership. For rare binary outcomes, we only included one independent variable in the model (including the treatment arm and any potential confounders)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w:t>
      </w:r>
      <w:r>
        <w:t xml:space="preserve">”</w:t>
      </w:r>
      <w:r>
        <w:t xml:space="preserve"> </w:t>
      </w:r>
      <w:r>
        <w:t xml:space="preserve">variables to avoid generating sparse cells; targets with &lt;10 positives were included in the composite variables.</w:t>
      </w:r>
    </w:p>
    <w:p>
      <w:pPr>
        <w:pStyle w:val="BodyText"/>
      </w:pPr>
      <w:r>
        <w:t xml:space="preserve">Due to differences in environmental and WASH conditions across studies, we reported study-specific estimates for all analyses. For targets where data were available from four or more studies, we tested for heterogeneity in estimates using Cochran’s Q-test.</w:t>
      </w:r>
      <w:r>
        <w:rPr>
          <w:vertAlign w:val="superscript"/>
        </w:rPr>
        <w:t xml:space="preserve">16</w:t>
      </w:r>
      <w:r>
        <w:t xml:space="preserve"> </w:t>
      </w:r>
      <w:r>
        <w:t xml:space="preserve">If there was no significant heterogeneity between individual study estimates (p-value&gt;0.2), we pooled estimates using fixed-effects models. If there was evidence for heterogeneity but there was qualitative support for pooling across studies, we pooled estimates using random-effects models.</w:t>
      </w:r>
    </w:p>
    <w:p>
      <w:pPr>
        <w:pStyle w:val="BodyText"/>
      </w:pPr>
      <w:r>
        <w:t xml:space="preserve">Additionally, we conducted subgroup analyses by season (dry/wet), animal ownership (at least one animal owned/no animal owned) and by zoonotic or non-zoonotic transmission of pathogens. The wet season for each study was defined as the 6 months of highest average rainfall, obtained from</w:t>
      </w:r>
      <w:r>
        <w:t xml:space="preserve"> </w:t>
      </w:r>
      <w:hyperlink r:id="rId22">
        <w:r>
          <w:rPr>
            <w:rStyle w:val="Hyperlink"/>
          </w:rPr>
          <w:t xml:space="preserve">https://www.weather-atlas.com/</w:t>
        </w:r>
      </w:hyperlink>
      <w:r>
        <w:t xml:space="preserve">.</w:t>
      </w:r>
      <w:r>
        <w:rPr>
          <w:vertAlign w:val="superscript"/>
        </w:rPr>
        <w:t xml:space="preserve">17</w:t>
      </w:r>
      <w:r>
        <w:t xml:space="preserve"> </w:t>
      </w:r>
      <w:r>
        <w:t xml:space="preserve">The pathogens we considered zoonotic were</w:t>
      </w:r>
      <w:r>
        <w:t xml:space="preserve"> </w:t>
      </w:r>
      <w:r>
        <w:rPr>
          <w:iCs/>
          <w:i/>
        </w:rPr>
        <w:t xml:space="preserve">Campylobacter</w:t>
      </w:r>
      <w:r>
        <w:t xml:space="preserve">,</w:t>
      </w:r>
      <w:r>
        <w:t xml:space="preserve"> </w:t>
      </w:r>
      <w:r>
        <w:rPr>
          <w:iCs/>
          <w:i/>
        </w:rPr>
        <w:t xml:space="preserve">Salmonella</w:t>
      </w:r>
      <w:r>
        <w:t xml:space="preserve">,</w:t>
      </w:r>
      <w:r>
        <w:t xml:space="preserve"> </w:t>
      </w:r>
      <w:r>
        <w:rPr>
          <w:iCs/>
          <w:i/>
        </w:rPr>
        <w:t xml:space="preserve">Cryptosporidium</w:t>
      </w:r>
      <w:r>
        <w:t xml:space="preserve">,</w:t>
      </w:r>
      <w:r>
        <w:t xml:space="preserve"> </w:t>
      </w:r>
      <w:r>
        <w:rPr>
          <w:iCs/>
          <w:i/>
        </w:rPr>
        <w:t xml:space="preserve">Yersinia enterocolitica</w:t>
      </w:r>
      <w:r>
        <w:t xml:space="preserve">,</w:t>
      </w:r>
      <w:r>
        <w:t xml:space="preserve"> </w:t>
      </w:r>
      <w:r>
        <w:rPr>
          <w:iCs/>
          <w:i/>
        </w:rPr>
        <w:t xml:space="preserve">Giardia</w:t>
      </w:r>
      <w:r>
        <w:t xml:space="preserve">,</w:t>
      </w:r>
      <w:r>
        <w:t xml:space="preserve"> </w:t>
      </w:r>
      <w:r>
        <w:rPr>
          <w:iCs/>
          <w:i/>
        </w:rPr>
        <w:t xml:space="preserve">Ascaris</w:t>
      </w:r>
      <w:r>
        <w:t xml:space="preserve">, and</w:t>
      </w:r>
      <w:r>
        <w:t xml:space="preserve"> </w:t>
      </w:r>
      <w:r>
        <w:rPr>
          <w:iCs/>
          <w:i/>
        </w:rPr>
        <w:t xml:space="preserve">C. difficile</w:t>
      </w:r>
      <w:r>
        <w:t xml:space="preserve">.</w:t>
      </w:r>
      <w:r>
        <w:rPr>
          <w:vertAlign w:val="superscript"/>
        </w:rPr>
        <w:t xml:space="preserve">18</w:t>
      </w:r>
      <w:r>
        <w:t xml:space="preserve"> </w:t>
      </w:r>
      <w:r>
        <w:t xml:space="preserve">We calculated the prevalence ratios for any pathogen presence and any MST presence between intervention and control groups within these subgroups. Significance of effect modification was determined by the p-values on the interaction terms between the treatment and the indicator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used the same approach to explore heterogeneity by study design by separately pooling estimates from randomized and quasi-experimental studies.</w:t>
      </w:r>
    </w:p>
    <w:p>
      <w:pPr>
        <w:pStyle w:val="BodyText"/>
      </w:pPr>
      <w:r>
        <w:t xml:space="preserve">All analyses were conducted in R 4.0, and analysis scripts are publicly available (</w:t>
      </w:r>
      <w:hyperlink r:id="rId23">
        <w:r>
          <w:rPr>
            <w:rStyle w:val="Hyperlink"/>
          </w:rPr>
          <w:t xml:space="preserve">https://github.com/amertens/wash-ipd</w:t>
        </w:r>
      </w:hyperlink>
      <w:r>
        <w:t xml:space="preserve">). The systematic review search strategies and the analysis plan were pre-registered on Open Science Framework (</w:t>
      </w:r>
      <w:hyperlink r:id="rId24">
        <w:r>
          <w:rPr>
            <w:rStyle w:val="Hyperlink"/>
          </w:rPr>
          <w:t xml:space="preserve">https://osf.io/8sgzn/</w:t>
        </w:r>
      </w:hyperlink>
      <w:r>
        <w:t xml:space="preserve">).</w:t>
      </w:r>
    </w:p>
    <w:bookmarkEnd w:id="25"/>
    <w:bookmarkStart w:id="26" w:name="results"/>
    <w:p>
      <w:pPr>
        <w:pStyle w:val="Heading2"/>
      </w:pPr>
      <w:r>
        <w:t xml:space="preserve">Results</w:t>
      </w:r>
    </w:p>
    <w:p>
      <w:pPr>
        <w:pStyle w:val="FirstParagraph"/>
      </w:pPr>
      <w:r>
        <w:t xml:space="preserve">The systematic review was conducted on 1/19/2021 and returned 3,376 results after removing duplicates. 3,253 were excluded as irrelevant in the abstract screening stage, and of the 125 remaining studies, 15 met the inclusion criteria after full text screening by two authors. The 15 publications identified included multiple publications from the same intervention studies, and 6 unique interventions were identified by the systematic review.</w:t>
      </w:r>
    </w:p>
    <w:p>
      <w:pPr>
        <w:numPr>
          <w:ilvl w:val="0"/>
          <w:numId w:val="1001"/>
        </w:numPr>
        <w:pStyle w:val="Compact"/>
      </w:pPr>
      <w:r>
        <w:t xml:space="preserve">The WASH Benefits Bangladesh trial</w:t>
      </w:r>
      <w:r>
        <w:rPr>
          <w:vertAlign w:val="superscript"/>
        </w:rPr>
        <w:t xml:space="preserve">19</w:t>
      </w:r>
    </w:p>
    <w:p>
      <w:pPr>
        <w:numPr>
          <w:ilvl w:val="0"/>
          <w:numId w:val="1001"/>
        </w:numPr>
        <w:pStyle w:val="Compact"/>
      </w:pPr>
      <w:r>
        <w:t xml:space="preserve">The WASH Benefits Kenya trial</w:t>
      </w:r>
      <w:r>
        <w:rPr>
          <w:vertAlign w:val="superscript"/>
        </w:rPr>
        <w:t xml:space="preserve">19</w:t>
      </w:r>
    </w:p>
    <w:p>
      <w:pPr>
        <w:numPr>
          <w:ilvl w:val="0"/>
          <w:numId w:val="1001"/>
        </w:numPr>
        <w:pStyle w:val="Compact"/>
      </w:pPr>
      <w:r>
        <w:t xml:space="preserve">The MapSan trial in Mozambique</w:t>
      </w:r>
      <w:r>
        <w:rPr>
          <w:vertAlign w:val="superscript"/>
        </w:rPr>
        <w:t xml:space="preserve">20</w:t>
      </w:r>
    </w:p>
    <w:p>
      <w:pPr>
        <w:numPr>
          <w:ilvl w:val="0"/>
          <w:numId w:val="1001"/>
        </w:numPr>
        <w:pStyle w:val="Compact"/>
      </w:pPr>
      <w:r>
        <w:t xml:space="preserve">The Gram Vikas matched cohort study in India</w:t>
      </w:r>
      <w:r>
        <w:rPr>
          <w:vertAlign w:val="superscript"/>
        </w:rPr>
        <w:t xml:space="preserve">21</w:t>
      </w:r>
    </w:p>
    <w:p>
      <w:pPr>
        <w:numPr>
          <w:ilvl w:val="0"/>
          <w:numId w:val="1001"/>
        </w:numPr>
        <w:pStyle w:val="Compact"/>
      </w:pPr>
      <w:r>
        <w:t xml:space="preserve">The Odisha Total Sanitation Campaign trial in India</w:t>
      </w:r>
      <w:r>
        <w:rPr>
          <w:vertAlign w:val="superscript"/>
        </w:rPr>
        <w:t xml:space="preserve">22</w:t>
      </w:r>
    </w:p>
    <w:p>
      <w:pPr>
        <w:numPr>
          <w:ilvl w:val="0"/>
          <w:numId w:val="1001"/>
        </w:numPr>
        <w:pStyle w:val="Compact"/>
      </w:pPr>
      <w:r>
        <w:t xml:space="preserve">The CHoBI7 Trial in Bangladesh</w:t>
      </w:r>
      <w:r>
        <w:rPr>
          <w:vertAlign w:val="superscript"/>
        </w:rPr>
        <w:t xml:space="preserve">23</w:t>
      </w:r>
    </w:p>
    <w:p>
      <w:pPr>
        <w:pStyle w:val="FirstParagraph"/>
      </w:pPr>
      <w:r>
        <w:t xml:space="preserve">Data was shared by the primary investigators of the first 5 studies, but the authors of the CHoBI7 Trial declined to share the data. Only village-level source water quality data was shared from the Total Sanitation Campaign study. The WASH Benefits Kenya and Bangladesh trials were cluster-randomized, multi-armed factorial designed trials of water, hygiene, sanitation, and nutrition interventions, but environmental samples were only collected from the control and sanitation arms. The sanitation intervention was the construction of a double-pit pour flush improved latrine latrine and the provision of a child potty and sani-scoop for feces removal. The MapSan (Maputo Sanitation) study was a controlled before and after trial of a decentralized sanitation intervention in an urban setting. The intervention was the construction of flush toilets to enrollment tanks, shared by a minimum of 15 people. The intervention delivery was not randomized, but control sites were matched based on both size of the compound and time of enrollment. The Gram Vikas study was a matched cohort evaluating the effect of a piped water and sanitation intervention provided by the Gram Vikas non-governmental organization. Gram Vikas built and water tank and piped distribution system, and provided materials for the construction of pour-flush toilets in each household. After each household in the village completed latrine construction, the water system was turned on. The interventions were delivered at a household level in selected villages, and the control villages were matches on matched on pre-intervention characteristics. The Total Sanitation Campaign study in Odisha, India, was a cluster-randomized trial assessing the Government of India’s Total Sanitation Campaign, which included latrine promotion and construction of a pour-flush latrine with a single pit and Y-joint for a future second pit.</w:t>
      </w:r>
    </w:p>
    <w:p>
      <w:pPr>
        <w:pStyle w:val="BodyText"/>
      </w:pPr>
      <w:r>
        <w:t xml:space="preserve">Seven unique studies on pathogen or MST presence in the environment were nested within the 5 randomized and quasi-randomized interventions with shared data. Pathogen and MST detection results was reported in single publications for the Wash Benefits Kenya,</w:t>
      </w:r>
      <w:r>
        <w:rPr>
          <w:vertAlign w:val="superscript"/>
        </w:rPr>
        <w:t xml:space="preserve">24</w:t>
      </w:r>
      <w:r>
        <w:t xml:space="preserve"> </w:t>
      </w:r>
      <w:r>
        <w:t xml:space="preserve">MapSan</w:t>
      </w:r>
      <w:r>
        <w:rPr>
          <w:vertAlign w:val="superscript"/>
        </w:rPr>
        <w:t xml:space="preserve">25</w:t>
      </w:r>
      <w:r>
        <w:t xml:space="preserve"> </w:t>
      </w:r>
      <w:r>
        <w:t xml:space="preserve">Gram Vikas,</w:t>
      </w:r>
      <w:r>
        <w:rPr>
          <w:vertAlign w:val="superscript"/>
        </w:rPr>
        <w:t xml:space="preserve">26</w:t>
      </w:r>
      <w:r>
        <w:t xml:space="preserve"> </w:t>
      </w:r>
      <w:r>
        <w:t xml:space="preserve">and Odisha studies,</w:t>
      </w:r>
      <w:r>
        <w:rPr>
          <w:vertAlign w:val="superscript"/>
        </w:rPr>
        <w:t xml:space="preserve">27</w:t>
      </w:r>
      <w:r>
        <w:t xml:space="preserve"> </w:t>
      </w:r>
      <w:r>
        <w:t xml:space="preserve">but the WASH Benefits Bangladesh study included three separate publications documenting intervention effects on pathogens and MST markers. These publications were separated by the effect of the sanitation intervention on soil transmitted helminths (STH,)</w:t>
      </w:r>
      <w:r>
        <w:rPr>
          <w:vertAlign w:val="superscript"/>
        </w:rPr>
        <w:t xml:space="preserve">28</w:t>
      </w:r>
      <w:r>
        <w:t xml:space="preserve"> and on MST markers and other pathogens in two different sets of households collect less than one year</w:t>
      </w:r>
      <w:r>
        <w:rPr>
          <w:vertAlign w:val="superscript"/>
        </w:rPr>
        <w:t xml:space="preserve">29</w:t>
      </w:r>
      <w:r>
        <w:t xml:space="preserve"> </w:t>
      </w:r>
      <w:r>
        <w:t xml:space="preserve">and on-average 2 years</w:t>
      </w:r>
      <w:r>
        <w:rPr>
          <w:vertAlign w:val="superscript"/>
        </w:rPr>
        <w:t xml:space="preserve">30</w:t>
      </w:r>
      <w:r>
        <w:t xml:space="preserve"> </w:t>
      </w:r>
      <w:r>
        <w:t xml:space="preserve">after intervention. We report results from these three studies separately due to differences in type and timing of sample collections. We received unpublished data on fly pathogens detected on flies caught in the household from the MapSan study, which we include within the Holcomb 2020 study in the reported results.</w:t>
      </w:r>
    </w:p>
    <w:p>
      <w:pPr>
        <w:pStyle w:val="BodyText"/>
      </w:pPr>
      <w:r>
        <w:t xml:space="preserve">There were 12,199 total samples in the shared data across the 5 trials, with 41,692 total pathogen/MST target prevalences assessed across all samples. Table 1 shows the specific pathogen prevalence by study and sample type. Table 2 shows the specific MST prevalence by study and sample type. Number of samples by study varied, from only 60 village water source samples from Odagiri 2016 to 3452 samples from Reese 2017. Holcomb 2020 had 1081 samples, Kwong 2021 had 1396 samples, Boehm 2016 had 1497 samples, Steinbaum 2019 had 2107 samples, and Fuhrmeister 2020 had 2606 samples.</w:t>
      </w:r>
    </w:p>
    <w:p>
      <w:pPr>
        <w:pStyle w:val="BodyText"/>
      </w:pPr>
      <w:r>
        <w:t xml:space="preserve">Odigari 2016 sampled village water sources, Reese 2017 sampled household water sources and stored household water,and Holcomb 2020 sampled household and latrine soil, food, source and stored water, and flies caught in the compounds latrine and kitchen. Of the WASH Benefits trial studies, Wash Benefits Kenya only sampled STH in soil, while WASH Benefits Bangladesh included samples from soil, child and mother hands, and drinking water. Steinbaum 2019 and Kwong 2021 sampled household soil for STH in Kenya and Bangladesh, respectively, Boehm 2016 collected a rinse of child hands, stored household drinking water, and household soil, and Fuhrmeister 2020 collected both mother and child hand rinses, stored household drinking water, and household soil.</w:t>
      </w:r>
    </w:p>
    <w:p>
      <w:pPr>
        <w:pStyle w:val="BodyText"/>
      </w:pPr>
      <w:r>
        <w:t xml:space="preserve">Across the seven studies, three only measured pathogens and not MST markers; two WASH Benefits trial studies measured</w:t>
      </w:r>
      <w:r>
        <w:t xml:space="preserve"> </w:t>
      </w:r>
      <w:r>
        <w:rPr>
          <w:iCs/>
          <w:i/>
        </w:rPr>
        <w:t xml:space="preserve">Ascaris lumbricoides</w:t>
      </w:r>
      <w:r>
        <w:t xml:space="preserve"> </w:t>
      </w:r>
      <w:r>
        <w:t xml:space="preserve">and</w:t>
      </w:r>
      <w:r>
        <w:t xml:space="preserve"> </w:t>
      </w:r>
      <w:r>
        <w:rPr>
          <w:iCs/>
          <w:i/>
        </w:rPr>
        <w:t xml:space="preserve">Trichuris trichiura</w:t>
      </w:r>
      <w:r>
        <w:t xml:space="preserve"> </w:t>
      </w:r>
      <w:r>
        <w:t xml:space="preserve">STH eggs in soil,</w:t>
      </w:r>
      <w:r>
        <w:rPr>
          <w:vertAlign w:val="superscript"/>
        </w:rPr>
        <w:t xml:space="preserve">24,28</w:t>
      </w:r>
      <w:r>
        <w:t xml:space="preserve"> </w:t>
      </w:r>
      <w:r>
        <w:t xml:space="preserve">and Reese 2017 measured</w:t>
      </w:r>
      <w:r>
        <w:t xml:space="preserve"> </w:t>
      </w:r>
      <w:r>
        <w:rPr>
          <w:iCs/>
          <w:i/>
        </w:rPr>
        <w:t xml:space="preserve">V. cholerae</w:t>
      </w:r>
      <w:r>
        <w:t xml:space="preserve"> </w:t>
      </w:r>
      <w:r>
        <w:t xml:space="preserve">and</w:t>
      </w:r>
      <w:r>
        <w:t xml:space="preserve"> </w:t>
      </w:r>
      <w:r>
        <w:rPr>
          <w:iCs/>
          <w:i/>
        </w:rPr>
        <w:t xml:space="preserve">Shigella</w:t>
      </w:r>
      <w:r>
        <w:t xml:space="preserve">.</w:t>
      </w:r>
    </w:p>
    <w:p>
      <w:pPr>
        <w:pStyle w:val="BodyText"/>
      </w:pPr>
      <w:r>
        <w:t xml:space="preserve">Boehm 2016 measured Rotavirus as well as general, human, and animal fecal genetic markers, Fuhrmeister 2020 measured pathogenic</w:t>
      </w:r>
      <w:r>
        <w:t xml:space="preserve"> </w:t>
      </w:r>
      <w:r>
        <w:rPr>
          <w:iCs/>
          <w:i/>
        </w:rPr>
        <w:t xml:space="preserve">E. coli</w:t>
      </w:r>
      <w:r>
        <w:t xml:space="preserve">,</w:t>
      </w:r>
      <w:r>
        <w:t xml:space="preserve"> </w:t>
      </w:r>
      <w:r>
        <w:rPr>
          <w:iCs/>
          <w:i/>
        </w:rPr>
        <w:t xml:space="preserve">Giardia</w:t>
      </w:r>
      <w:r>
        <w:t xml:space="preserve">, Norovirus, and human and animal fecal markers,</w:t>
      </w:r>
      <w:r>
        <w:rPr>
          <w:vertAlign w:val="superscript"/>
        </w:rPr>
        <w:t xml:space="preserve">30</w:t>
      </w:r>
      <w:r>
        <w:t xml:space="preserve">, and Odagiri 2016 measured</w:t>
      </w:r>
      <w:r>
        <w:t xml:space="preserve"> </w:t>
      </w:r>
      <w:r>
        <w:rPr>
          <w:iCs/>
          <w:i/>
        </w:rPr>
        <w:t xml:space="preserve">V. cholerae</w:t>
      </w:r>
      <w:r>
        <w:t xml:space="preserve">, rotavirus, adenovirus, and general, human, and animal fecal genetic markers. Holcomb 2020 measured the largest number of targets, including pathogenic</w:t>
      </w:r>
      <w:r>
        <w:t xml:space="preserve"> </w:t>
      </w:r>
      <w:r>
        <w:rPr>
          <w:iCs/>
          <w:i/>
        </w:rPr>
        <w:t xml:space="preserve">E. coli</w:t>
      </w:r>
      <w:r>
        <w:t xml:space="preserve">,</w:t>
      </w:r>
      <w:r>
        <w:t xml:space="preserve"> </w:t>
      </w:r>
      <w:r>
        <w:rPr>
          <w:iCs/>
          <w:i/>
        </w:rPr>
        <w:t xml:space="preserve">V. cholerae</w:t>
      </w:r>
      <w:r>
        <w:t xml:space="preserve">,</w:t>
      </w:r>
      <w:r>
        <w:t xml:space="preserve"> </w:t>
      </w:r>
      <w:r>
        <w:rPr>
          <w:iCs/>
          <w:i/>
        </w:rPr>
        <w:t xml:space="preserve">Shigella</w:t>
      </w:r>
      <w:r>
        <w:t xml:space="preserve">, Adenovirus, Astrovirus,</w:t>
      </w:r>
      <w:r>
        <w:t xml:space="preserve"> </w:t>
      </w:r>
      <w:r>
        <w:rPr>
          <w:iCs/>
          <w:i/>
        </w:rPr>
        <w:t xml:space="preserve">Cryptosporidium</w:t>
      </w:r>
      <w:r>
        <w:t xml:space="preserve">,</w:t>
      </w:r>
      <w:r>
        <w:t xml:space="preserve"> </w:t>
      </w:r>
      <w:r>
        <w:rPr>
          <w:iCs/>
          <w:i/>
        </w:rPr>
        <w:t xml:space="preserve">Entamoeba histolytica</w:t>
      </w:r>
      <w:r>
        <w:t xml:space="preserve">, Rotavirus,</w:t>
      </w:r>
      <w:r>
        <w:t xml:space="preserve"> </w:t>
      </w:r>
      <w:r>
        <w:rPr>
          <w:iCs/>
          <w:i/>
        </w:rPr>
        <w:t xml:space="preserve">Salmonella</w:t>
      </w:r>
      <w:r>
        <w:t xml:space="preserve">,</w:t>
      </w:r>
      <w:r>
        <w:t xml:space="preserve"> </w:t>
      </w:r>
      <w:r>
        <w:rPr>
          <w:iCs/>
          <w:i/>
        </w:rPr>
        <w:t xml:space="preserve">Yersinia</w:t>
      </w:r>
      <w:r>
        <w:t xml:space="preserve">,</w:t>
      </w:r>
      <w:r>
        <w:t xml:space="preserve"> </w:t>
      </w:r>
      <w:r>
        <w:rPr>
          <w:iCs/>
          <w:i/>
        </w:rPr>
        <w:t xml:space="preserve">C. difficile</w:t>
      </w:r>
      <w:r>
        <w:t xml:space="preserve">, Norovirus, Sapovirus,</w:t>
      </w:r>
      <w:r>
        <w:t xml:space="preserve"> </w:t>
      </w:r>
      <w:r>
        <w:rPr>
          <w:iCs/>
          <w:i/>
        </w:rPr>
        <w:t xml:space="preserve">Campylobacter</w:t>
      </w:r>
      <w:r>
        <w:t xml:space="preserve">, pan-enterovirus,</w:t>
      </w:r>
      <w:r>
        <w:t xml:space="preserve"> </w:t>
      </w:r>
      <w:r>
        <w:rPr>
          <w:iCs/>
          <w:i/>
        </w:rPr>
        <w:t xml:space="preserve">Giardia</w:t>
      </w:r>
      <w:r>
        <w:t xml:space="preserve">, STH, and general, human, and animal fecal genetic markers (Tables 1,2).</w:t>
      </w:r>
    </w:p>
    <w:p>
      <w:pPr>
        <w:pStyle w:val="BodyText"/>
      </w:pPr>
      <w:r>
        <w:t xml:space="preserve">Many targets had very low or no variation in prevalence, with 26/308 target-sample combinations having no variation in prevalence, and 62/282 of the remaining combinations having too little variation to estimate a prevalence ratio. Most (88.7%) of the sparse contrasts had too few positive samples, but 16.1% of sparse contrasts had too few negative samples. Specifically, BacCow MST markers from Odagiri 2016, GenBac3 in Boehm 2016, and human Bacteroides in Holcomb 2020 had close to 100% prevalence, also leading to high positivity in aggregate targets. To keep the targets with close to 100% positivity from preventing the estimation of prevalence ratios in the aggregate outcomes, we did not include these three targets in calculating the aggregate outcomes for their respective studies. Reese 2017 measured human (Bacteroides and M. smithii) and avian (GFD) MST targets in 183 food samples, but there were no samples positive for GFD, 2 samples positive for M. smithii, and 7 samples positive for Bacteroides, so there are no estimates from food samples reported in the figures. Overall, study-specific estimates were largely homogeneous, with no significant Cochran’s Q-tests of homogeneity among pooled estimates. Therefore, pooled estimates are based on fixed-effects models.</w:t>
      </w:r>
    </w:p>
    <w:p>
      <w:pPr>
        <w:pStyle w:val="BodyText"/>
      </w:pPr>
      <w:r>
        <w:t xml:space="preserve">Among the sample-target combinations with sufficient data, interventions mostly decreased prevalences by a non-significant amount, with 75.9% (167/220) protective estimated study-specific effects of interventions and 7.7% (17/220) insignificant study-specific estimates. Overall, there was a decreased risk of detecting any pathogen within any sample collected within the compound, with an adjusted RR of 0.94 (95% CI: 0.89, 0.99), when pooled across all studies using random effects models (Figure 1). Interventions decreased the risk of any pathogen presence across all specific studies except for Boehm 2016, but the decrease was only significant in Fuhrmeister 2020 with an adjusted RR of 0.92 (95% CI: 0.86, 0.98). Among specific samples types, sanitation interventions had no significant effects (Figure 1). Sanitation interventions also had no effects on MST marker prevalences when aggregated across any sample type or within specific sample types.</w:t>
      </w:r>
    </w:p>
    <w:p>
      <w:pPr>
        <w:pStyle w:val="BodyText"/>
      </w:pPr>
      <w:r>
        <w:t xml:space="preserve">When examining prevalences of types of pathogens, interventions reduced the prevalence of bacterial pathogens in any sample type, with an adjusted, pooled RR of 0.91 (95% CI: 0.85, 0.97), though the effect was not significant in any individual study (Figure 2). Interventions did not reduce the presence of viruses, protozoa, or STH overall or within specific types of samples, though point estimates were protective for all combinations except for viruses on child and mother’s hands. Among specific pathogens, interventions reduced prevalences within any sample type for pathogenic</w:t>
      </w:r>
      <w:r>
        <w:t xml:space="preserve"> </w:t>
      </w:r>
      <w:r>
        <w:rPr>
          <w:iCs/>
          <w:i/>
        </w:rPr>
        <w:t xml:space="preserve">E. coli</w:t>
      </w:r>
      <w:r>
        <w:t xml:space="preserve"> </w:t>
      </w:r>
      <w:r>
        <w:t xml:space="preserve">in Fuhrmeister 2020 (Adjusted RR: 0.92 (95% CI: 0.86, 0.99)) and for Adenovirus,</w:t>
      </w:r>
      <w:r>
        <w:t xml:space="preserve"> </w:t>
      </w:r>
      <w:r>
        <w:rPr>
          <w:iCs/>
          <w:i/>
        </w:rPr>
        <w:t xml:space="preserve">Ascaris</w:t>
      </w:r>
      <w:r>
        <w:t xml:space="preserve">, and</w:t>
      </w:r>
      <w:r>
        <w:t xml:space="preserve"> </w:t>
      </w:r>
      <w:r>
        <w:rPr>
          <w:iCs/>
          <w:i/>
        </w:rPr>
        <w:t xml:space="preserve">Shigella</w:t>
      </w:r>
      <w:r>
        <w:t xml:space="preserve"> </w:t>
      </w:r>
      <w:r>
        <w:t xml:space="preserve">in Holcomb 2020 (Adenovirus adjusted RR: 0.2 (95% CI: 0.06, 0.63),</w:t>
      </w:r>
      <w:r>
        <w:t xml:space="preserve"> </w:t>
      </w:r>
      <w:r>
        <w:rPr>
          <w:iCs/>
          <w:i/>
        </w:rPr>
        <w:t xml:space="preserve">Ascaris</w:t>
      </w:r>
      <w:r>
        <w:t xml:space="preserve"> </w:t>
      </w:r>
      <w:r>
        <w:t xml:space="preserve">adjusted RR: 0.8 (95% CI: 0.54, 1.21),</w:t>
      </w:r>
      <w:r>
        <w:t xml:space="preserve"> </w:t>
      </w:r>
      <w:r>
        <w:rPr>
          <w:iCs/>
          <w:i/>
        </w:rPr>
        <w:t xml:space="preserve">Shigella</w:t>
      </w:r>
      <w:r>
        <w:t xml:space="preserve"> </w:t>
      </w:r>
      <w:r>
        <w:t xml:space="preserve">adjusted RR: 0.32 (95% CI: 0.11, 0.93), supplementary figure 1). These reductions were driven specifically by significant reductions in soil samples in Holcomb 2020 and by non-significant reductions in all sample types in Fuhrmeister 2020.</w:t>
      </w:r>
    </w:p>
    <w:p>
      <w:pPr>
        <w:pStyle w:val="BodyText"/>
      </w:pPr>
      <w:r>
        <w:t xml:space="preserve">Among types of MST markers, effects of interventions were inconsistent and largely null, with only 63.3% of estimated study-specific prevalence ratios indicating a protective effect of interventions (Figure 3). The only significant estimates was for any animal MST in stored water samples in Boehm 2016 with and adjusted RR of 0.67 (95% CI: 0.49, 0.93), driven primarily by a significant effect of the sanitation intervention on the Bac-Ruminant (BacR) animal MST markers (supplementary figure 2, adjusted RR: 0.6 (95% CI: 0.41, 0.88)).</w:t>
      </w:r>
    </w:p>
    <w:p>
      <w:pPr>
        <w:pStyle w:val="BodyText"/>
      </w:pPr>
      <w:r>
        <w:t xml:space="preserve">Of all the samples collected, 25.9% had abundances quantified. Soil transmitted helminths in Steinbaum 2019 and Kwong 2021 were counted and MST targets in were quantified in Boehm 2016, Fuhrmeister 2020, and Holcomb 2020. Of samples part of the quantitative analysis, 18.7% were below the limit of detection, 58.8% were below the limit of quantification, and 58.8% were in the range of quantification. Of targets enumerated within specific sample types, 78.9% had less than 50% of samples with abundances within the range of quantification. We estimated differences between the intervention and control arms for the other 21.1% of target-sample combinations, and table 3 shows the mean log10-transformed abundances stratified by intervention as well as covariate-adjusted differences in abundances for these combinations. Sanitation interventions had significant effects on the abundance of three MST targets, but not on STH egg counts. The prevalence ratio of general</w:t>
      </w:r>
      <w:r>
        <w:t xml:space="preserve"> </w:t>
      </w:r>
      <w:r>
        <w:rPr>
          <w:iCs/>
          <w:i/>
        </w:rPr>
        <w:t xml:space="preserve">Bacteroidales</w:t>
      </w:r>
      <w:r>
        <w:t xml:space="preserve"> </w:t>
      </w:r>
      <w:r>
        <w:t xml:space="preserve">(GenBac3) was not calculable in household soil samples in Boehm 2016 as GenBac3 was detected in 100% of samples, but the concentration was lower in the intervention arm, with an adjusted log10-transformed differences of -0.2 (95% CI: -0.37, -0.02). BacCow abundance was lower on mother’s hands in the intervention arm in Fuhrmeister 2020, with an adjusted differences of -0.28 (95% CI: -0.49, -0.07). However, the sanitation intervention in Holcomb 2020 significantly increased</w:t>
      </w:r>
      <w:r>
        <w:t xml:space="preserve"> </w:t>
      </w:r>
      <w:r>
        <w:rPr>
          <w:iCs/>
          <w:i/>
        </w:rPr>
        <w:t xml:space="preserve">Bacteroides</w:t>
      </w:r>
      <w:r>
        <w:t xml:space="preserve"> </w:t>
      </w:r>
      <w:r>
        <w:t xml:space="preserve">concentrations in flies caught in latrines (adjusted difference: 0.7 (95% CI: 0.11, 1.28); table 3).</w:t>
      </w:r>
    </w:p>
    <w:p>
      <w:pPr>
        <w:pStyle w:val="BodyText"/>
      </w:pPr>
      <w:r>
        <w:t xml:space="preserve">Supplementary figure 3 shows the effects of interventions on any pathogen and any MST prevalence, stratified by wet and dry season. The wet season was May through October in Wash Benefits Bangladesh and the Gram Vikas and Odisha studies in India. The wet season in the MapSan study in Maputo, Mozambique was November through April. Western Kenyan has two distinct periods of high rain, so the wet season was defined as March-May and October-December for WASH Benefits Kenya. Interventions had significantly different effects by season in several study-specific sample types, but the direction of the effect was inconsistent. Interventions significantly increased pathogen presence in the wet season in Reese 2017 stored water and Furhmeister 2020 stored water (marginally significant) and house soil but had no effect during the dry season. Conversely, interventions only decreased any MST prevalence in Boehm 2016 on child hands and in soil during the wet season, and interventions only decreased any oathogen prevalence in Kwong 2021 in soil during the wet season.</w:t>
      </w:r>
    </w:p>
    <w:p>
      <w:pPr>
        <w:pStyle w:val="BodyText"/>
      </w:pPr>
      <w:r>
        <w:t xml:space="preserve">There was no significant effect of interventions on any pathogen or any MST pervalence when households were stratified by animal presence, but there was one significant interaction in Holcomb 2020, the only urban study, with a non-significant protective effect of the intervention in homes without animals, and a non-significant harmful effect of the intervention in homes with animals (supplementary figures 4). There were no differences in intervention effects on pathogens with a possible zoonotic origin versus pathogens with only human hosts (supplementary figure 5). Non-zoonotic pathogens were more common, with 31.5% of samples testing non-zoonotic pathogens detecting at least one, while 28.8% of samples with zoonotic targets tested has at least one test positive. Of samples with any pathogen detected, 98.4% detected at least one non-zoonotic pathogen, while 63.9% detected at least one zoonotic pathogens. Samples from compounds with animals in them did not have a higher prevalence of pathogens with zoonotic origins than compounds without animals, with and adjusted, pooled prevalence ratio of 0.97 (95% CI: 0.73, 1.3). There were also no significant differences between urban (Holcomb 2020) and rural (all other) studies or between trial and matched cohorts designs for sample-target combinations with at least 4 study-specific estimates. Lastly, overall, unadjusted estimates did not vary greatly from adjusted estimates with a median absolute difference in log-relative risks of 0.0037 (supplementary figures 6-8)</w:t>
      </w:r>
      <w:commentRangeStart w:id="1"/>
      <w:r>
        <w:t xml:space="preserve">.</w:t>
      </w:r>
      <w:commentRangeEnd w:id="1"/>
      <w:r>
        <w:rPr>
          <w:rStyle w:val="CommentReference"/>
        </w:rPr>
        <w:commentReference w:id="1"/>
      </w:r>
    </w:p>
    <w:bookmarkEnd w:id="26"/>
    <w:bookmarkStart w:id="27" w:name="discussion"/>
    <w:p>
      <w:pPr>
        <w:pStyle w:val="Heading2"/>
      </w:pPr>
      <w:r>
        <w:t xml:space="preserve">Discussion</w:t>
      </w:r>
    </w:p>
    <w:p>
      <w:pPr>
        <w:pStyle w:val="FirstParagraph"/>
      </w:pPr>
      <w:r>
        <w:t xml:space="preserve">We obtained individual participant data from identified studies for an IPD analysis. Unlike conventional meta-analyses that statistically pool reported summary estimates from different studies, IPD analysis pools raw data from individual studies and then estimates the effect of interest.</w:t>
      </w:r>
      <w:r>
        <w:rPr>
          <w:vertAlign w:val="superscript"/>
        </w:rPr>
        <w:t xml:space="preserve">31</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pPr>
        <w:pStyle w:val="BodyText"/>
      </w:pPr>
      <w:r>
        <w:t xml:space="preserve">Despite differences in study settings and WASH intervention designs across the 5 WASH intervention studies, there were relatively consistent results, with no statistically significant heterogeneity in any of the pooled estimates. Study-specific estimates were primarily null, though 75.9% were protective, and there was an overall significant protective effect of interventions on reducing pathogen prevalence in any sample. There was not an effect of interventions on reducing MST marker prevalence. Most quantified samples had more than 50% of samples below the range of quantification, and we did not estimate adjusted differences for these samples, and most estimates differences were null. However, quantifying concentrations of pathogens or MST markers is useful for detecting difference when prevalences are high, like for GenBac3 in Boehm 2016 where prevalences were not difference between interventions arms because close to 100% of samples had detectable GenBac3, but the sanitation intervention decreased the concentration of GenBac3.</w:t>
      </w:r>
    </w:p>
    <w:p>
      <w:pPr>
        <w:pStyle w:val="BodyText"/>
      </w:pPr>
      <w:r>
        <w:t xml:space="preserve">The methods used to detect specific pathogens or MST markers are less common and more expensive than coliform or</w:t>
      </w:r>
      <w:r>
        <w:t xml:space="preserve"> </w:t>
      </w:r>
      <w:r>
        <w:rPr>
          <w:iCs/>
          <w:i/>
        </w:rPr>
        <w:t xml:space="preserve">E. coli</w:t>
      </w:r>
      <w:r>
        <w:t xml:space="preserve"> </w:t>
      </w:r>
      <w:r>
        <w:t xml:space="preserve">sampling, contributing to the small number of included studies and smaller sample sizes of environmental samples within the studies. Across the included studies, 9% (in Boehm 2016) to 35% (in Reese 2017) of study households had environmental samples collected and tested for pathogens or MST markers</w:t>
      </w:r>
      <w:commentRangeStart w:id="2"/>
      <w:r>
        <w:t xml:space="preserve">.</w:t>
      </w:r>
      <w:commentRangeEnd w:id="2"/>
      <w:r>
        <w:rPr>
          <w:rStyle w:val="CommentReference"/>
        </w:rPr>
        <w:commentReference w:id="2"/>
      </w:r>
      <w:r>
        <w:t xml:space="preserve"> </w:t>
      </w:r>
      <w:r>
        <w:t xml:space="preserve">DNA-based diagnostics allow for the detection of specific enteropathogens to better test if WASH interventions clean up the domestic environment in ways that reduce the risks of pathogenic infections, but the trade-off is a decreased power to detect intervention effects. The individual-participant meta-analysis nature of this study allowed us to detect effects not found in individual studies, but we were unable to estimate study-specific effects for many targets due to data sparsity. Advances in technology that reduce the costs of DNA-based diagnostics, or better funding for environmental testing of specific enteropathogens within WASH trials, may more precisely estimate the impact of WASH interventions on environmental contamination.</w:t>
      </w:r>
    </w:p>
    <w:p>
      <w:pPr>
        <w:pStyle w:val="BodyText"/>
      </w:pPr>
      <w:r>
        <w:t xml:space="preserve">Another limitation arose from the heterogeneity of study data. Not every covariate was measured in every study, and they were measured differently across studies (supplimentary table 1). However, because of the randomized or quasi-randomized nature of all the studies and the similarities in unadjusted and adjusted estimates (extended data table 2), we do not believe there is substantial residual confounding biasing the results. Also, definitions of effect modifiers varied by study, as studies measured different types of animals in the compound, different types and numbers of zoonotic and non-zoonotic pathogens, and as seasonal rainfall patterns vary by location. To limit the number of comparisons, we did not evaluate different types of animals in the compound, abundances of animals in the compounds, or different wet season definitions. However, while we found a significant decrease in any pathogen in Kwong 2021 during the we season (defined as the 6 rainiest months), Kwong 2021 found no effect modification by season when defining the wet season as the 5 rainiest months. The effect modification analyses involve small sample sizes after stratification, so they may be sensative to the definitions of the effect modifiers.</w:t>
      </w:r>
    </w:p>
    <w:p>
      <w:pPr>
        <w:pStyle w:val="BodyText"/>
      </w:pPr>
      <w:r>
        <w:t xml:space="preserve">Most study-specific estimates had small sample sizes and rare outcomes due to very low prevalences (and sometimes very high prevalences). We did not correct for multiple comparisons, and pooled estimates would no longer be significant after correction, but many contrasts may also be underpowered. Additionally, the consistency of the protective directions of intervention effects, and the significant pooled effect of interventions on any pathogen in any sample, indicate that there was a small effect of sanitation interventions on reducing pathogen, but not MST marker, prevalence, regardless of the study setting or sanitation design. There were no studies examining the impact of hygiene interventions or water interventions alone on enteropathogen detection in the environment. Reese 2017 evaluated the effect of a combined water and sanitation intervention on</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prevalence and found no effect, but future WASH trials should assess across a broader range of pathogens and MST markers if hygiene interventions reduce enteropathogens on hands and if water interventions reduce enteropathogens in stored drinking water.</w:t>
      </w:r>
    </w:p>
    <w:bookmarkEnd w:id="27"/>
    <w:bookmarkStart w:id="28" w:name="figures"/>
    <w:p>
      <w:pPr>
        <w:pStyle w:val="Heading2"/>
      </w:pPr>
      <w:r>
        <w:t xml:space="preserve">Figures</w:t>
      </w:r>
    </w:p>
    <w:p>
      <w:pPr>
        <w:jc w:val="left"/>
        <w:pStyle w:val="Figure"/>
      </w:pPr>
      <w:r>
        <w:rPr/>
        <w:drawing>
          <wp:inline distT="0" distB="0" distL="0" distR="0">
            <wp:extent cx="64008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2"/>
                    <a:srcRect/>
                    <a:stretch>
                      <a:fillRect/>
                    </a:stretch>
                  </pic:blipFill>
                  <pic:spPr bwMode="auto">
                    <a:xfrm>
                      <a:off x="0" y="0"/>
                      <a:ext cx="8890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any enteropathogen, and any MST markers in different types of environmental samples. Pooled estimates are presented when there are four or more study-specific estimates for a specific sample type and target combination. Empty, grey, crossed points denote data that were too sparse to estimate a prevalence ratio (i.e., prevalence &lt;5% or &gt;95%, or &lt;10 positive observations). All estimates are adjusted for potential confounders. Pooled estimates are estimated when there are four or more study-specific estimates and are denoted with diamond-shaped points. Samples of the same type by from different locations or individuals in the compound are stratified and plotted adjacent to each other.</w:t>
      </w:r>
    </w:p>
    <w:p>
      <w:pPr>
        <w:jc w:val="center"/>
        <w:pStyle w:val="Figure"/>
      </w:pPr>
      <w:r>
        <w:rPr/>
        <w:drawing>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3"/>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any virus, any bacteria, any protozoa and any STH prevalences in different types of environmental samples.</w:t>
      </w:r>
    </w:p>
    <w:p>
      <w:pPr>
        <w:jc w:val="center"/>
        <w:pStyle w:val="Figure"/>
      </w:pPr>
      <w:r>
        <w:rPr/>
        <w:drawing>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4"/>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any general, human and animal MST markers in different types of environmental samples.</w:t>
      </w:r>
    </w:p>
    <w:bookmarkEnd w:id="28"/>
    <w:bookmarkStart w:id="32" w:name="tables"/>
    <w:p>
      <w:pPr>
        <w:pStyle w:val="Heading2"/>
      </w:pPr>
      <w:r>
        <w:t xml:space="preserve">Tables</w:t>
      </w:r>
    </w:p>
    <w:bookmarkStart w:id="29" w:name="Xf2bc8930c0f33bdbecb2a39bd3df27151b445c1"/>
    <w:p>
      <w:pPr>
        <w:pStyle w:val="Heading3"/>
      </w:pPr>
      <w:r>
        <w:t xml:space="preserve">Table 1.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51"/>
        <w:gridCol w:w="1488"/>
        <w:gridCol w:w="1960"/>
        <w:gridCol w:w="1501"/>
        <w:gridCol w:w="203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Pathogen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(12/48)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 (2/38)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r>
    </w:tbl>
    <w:bookmarkEnd w:id="29"/>
    <w:bookmarkStart w:id="30" w:name="X700b584d903c1a6872ebd040f7eeca7b7f30429"/>
    <w:p>
      <w:pPr>
        <w:pStyle w:val="Heading3"/>
      </w:pPr>
      <w:r>
        <w:t xml:space="preserve">Table 2.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40"/>
        <w:gridCol w:w="1568"/>
        <w:gridCol w:w="2010"/>
        <w:gridCol w:w="1173"/>
        <w:gridCol w:w="214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MST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 (46/60)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 (461/493)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(486/493)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(496/496)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(207/741)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(146/741)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 (93/373)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(67/373)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(116/737)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(90/737)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 (371/739)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(208/739)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(16/88)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54.5% (48/88)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 (17/48)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68.8% (33/48)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(9/38)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 (29/38)</w:t>
            </w:r>
          </w:p>
        </w:tc>
      </w:tr>
    </w:tbl>
    <w:bookmarkEnd w:id="30"/>
    <w:bookmarkStart w:id="31" w:name="X4bdfc8e22a461e669d76f6d24e8ab35781cdd2c"/>
    <w:p>
      <w:pPr>
        <w:pStyle w:val="Heading3"/>
      </w:pPr>
      <w:r>
        <w:t xml:space="preserve">Table 3. Mean (SD) abundances by study arm arm and adjusted abundance differences between intervention and control arms.</w:t>
      </w:r>
    </w:p>
    <w:p>
      <w:pPr>
        <w:pStyle w:val="FirstParagraph"/>
      </w:pPr>
      <w:r>
        <w:t xml:space="preserve">Means are log10 transformed concentrations for MST markers, and are mean egg counts for</w:t>
      </w:r>
      <w:r>
        <w:t xml:space="preserve"> </w:t>
      </w:r>
      <w:r>
        <w:rPr>
          <w:iCs/>
          <w:i/>
        </w:rPr>
        <w:t xml:space="preserve">Trichuris</w:t>
      </w:r>
      <w:r>
        <w:t xml:space="preserve"> </w:t>
      </w:r>
      <w:r>
        <w:t xml:space="preserve">and</w:t>
      </w:r>
      <w:r>
        <w:t xml:space="preserve"> </w:t>
      </w:r>
      <w:r>
        <w:rPr>
          <w:iCs/>
          <w:i/>
        </w:rPr>
        <w:t xml:space="preserve">Ascaris</w:t>
      </w:r>
      <w:r>
        <w:t xml:space="preserve"> </w:t>
      </w:r>
      <w:r>
        <w:t xml:space="preserve">soil transmitted helminths.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99"/>
        <w:gridCol w:w="950"/>
        <w:gridCol w:w="1218"/>
        <w:gridCol w:w="514"/>
        <w:gridCol w:w="1150"/>
        <w:gridCol w:w="1398"/>
        <w:gridCol w:w="1184"/>
        <w:gridCol w:w="615"/>
        <w:gridCol w:w="610"/>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ROQ %</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(-0.29 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(-0.17 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(-0.37 -0.02)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(-0.2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bl>
    <w:p>
      <w:pPr>
        <w:pStyle w:val="BodyText"/>
      </w:pPr>
      <w:r>
        <w:t xml:space="preserve">*Marks estimates from negative binomial models.</w:t>
      </w:r>
    </w:p>
    <w:bookmarkEnd w:id="31"/>
    <w:bookmarkEnd w:id="32"/>
    <w:bookmarkStart w:id="33" w:name="supplementary-figures"/>
    <w:p>
      <w:pPr>
        <w:pStyle w:val="Heading2"/>
      </w:pPr>
      <w:r>
        <w:t xml:space="preserve">Supplementary Figures</w:t>
      </w:r>
    </w:p>
    <w:p>
      <w:pPr>
        <w:jc w:val="center"/>
        <w:pStyle w:val="Figure"/>
      </w:pPr>
      <w:r>
        <w:rPr/>
        <w:drawing>
          <wp:inline distT="0" distB="0" distL="0" distR="0">
            <wp:extent cx="6400800" cy="9144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5"/>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Supplementary Figure 1.</w:t>
      </w:r>
      <w:r>
        <w:t xml:space="preserve"> </w:t>
      </w:r>
      <w:r>
        <w:t xml:space="preserve">Prevalence of specific pathogens.</w:t>
      </w:r>
    </w:p>
    <w:p>
      <w:pPr>
        <w:jc w:val="center"/>
        <w:pStyle w:val="Figure"/>
      </w:pPr>
      <w:r>
        <w:rPr/>
        <w:drawing>
          <wp:inline distT="0" distB="0" distL="0" distR="0">
            <wp:extent cx="6400800" cy="9144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6"/>
                    <a:srcRect/>
                    <a:stretch>
                      <a:fillRect/>
                    </a:stretch>
                  </pic:blipFill>
                  <pic:spPr bwMode="auto">
                    <a:xfrm>
                      <a:off x="0" y="0"/>
                      <a:ext cx="88900" cy="127000"/>
                    </a:xfrm>
                    <a:prstGeom prst="rect">
                      <a:avLst/>
                    </a:prstGeom>
                    <a:noFill/>
                  </pic:spPr>
                </pic:pic>
              </a:graphicData>
            </a:graphic>
          </wp:inline>
        </w:drawing>
      </w:r>
    </w:p>
    <w:p>
      <w:pPr>
        <w:pStyle w:val="BodyText"/>
      </w:pPr>
      <w:r>
        <w:rPr>
          <w:bCs/>
          <w:b/>
        </w:rPr>
        <w:t xml:space="preserve">Supplementary Figure 2.</w:t>
      </w:r>
      <w:r>
        <w:t xml:space="preserve"> </w:t>
      </w:r>
      <w:r>
        <w:t xml:space="preserve">Prevalence of specific MST markers.</w:t>
      </w:r>
    </w:p>
    <w:p>
      <w:pPr>
        <w:jc w:val="center"/>
        <w:pStyle w:val="Figure"/>
      </w:pPr>
      <w:r>
        <w:rPr/>
        <w:drawing>
          <wp:inline distT="0" distB="0" distL="0" distR="0">
            <wp:extent cx="64008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67"/>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3.</w:t>
      </w:r>
      <w:r>
        <w:t xml:space="preserve"> </w:t>
      </w:r>
      <w:r>
        <w:t xml:space="preserve">Forest plots of intervention effects on any enteropathogen, and any MST markers in different types of environmental samples, stratified by if the sample wast collected suring the wet versus the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68"/>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4.</w:t>
      </w:r>
      <w:r>
        <w:t xml:space="preserve"> </w:t>
      </w:r>
      <w:r>
        <w:t xml:space="preserve">Forest plots of intervention effects on any enteropathogen, and any MST markers in different types of environmental samples, stratified by the presence of any animals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69"/>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5.</w:t>
      </w:r>
      <w:r>
        <w:t xml:space="preserve"> </w:t>
      </w:r>
      <w:r>
        <w:t xml:space="preserve">Forest plots of intervention effects on any enteropathogen in any type of environmental samples, stratified by whether the pathogen can have a zoonotic origin.</w:t>
      </w:r>
    </w:p>
    <w:p>
      <w:pPr>
        <w:jc w:val="center"/>
        <w:pStyle w:val="Figure"/>
      </w:pPr>
      <w:r>
        <w:rPr/>
        <w:drawing>
          <wp:inline distT="0" distB="0" distL="0" distR="0">
            <wp:extent cx="6400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0"/>
                    <a:srcRect/>
                    <a:stretch>
                      <a:fillRect/>
                    </a:stretch>
                  </pic:blipFill>
                  <pic:spPr bwMode="auto">
                    <a:xfrm>
                      <a:off x="0" y="0"/>
                      <a:ext cx="88900" cy="57150"/>
                    </a:xfrm>
                    <a:prstGeom prst="rect">
                      <a:avLst/>
                    </a:prstGeom>
                    <a:noFill/>
                  </pic:spPr>
                </pic:pic>
              </a:graphicData>
            </a:graphic>
          </wp:inline>
        </w:drawing>
      </w:r>
    </w:p>
    <w:p>
      <w:pPr>
        <w:pStyle w:val="BodyText"/>
      </w:pPr>
      <w:r>
        <w:rPr>
          <w:bCs/>
          <w:b/>
        </w:rPr>
        <w:t xml:space="preserve">Supplementary Figure 6.</w:t>
      </w:r>
      <w:r>
        <w:t xml:space="preserve"> </w:t>
      </w:r>
      <w:r>
        <w:t xml:space="preserve">Forest plots of unadjusted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pPr>
        <w:jc w:val="center"/>
        <w:pStyle w:val="Figure"/>
      </w:pPr>
      <w:r>
        <w:rPr/>
        <w:drawing>
          <wp:inline distT="0" distB="0" distL="0" distR="0">
            <wp:extent cx="64008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1"/>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7.</w:t>
      </w:r>
      <w:r>
        <w:t xml:space="preserve"> </w:t>
      </w:r>
      <w:r>
        <w:t xml:space="preserve">Forest plots of unadjusted intervention effects on any virus, any bacteria, any protozoa and any STH prevalences in different types of environmental samples.</w:t>
      </w:r>
    </w:p>
    <w:p>
      <w:pPr>
        <w:jc w:val="center"/>
        <w:pStyle w:val="Figure"/>
      </w:pPr>
      <w:r>
        <w:rPr/>
        <w:drawing>
          <wp:inline distT="0" distB="0" distL="0" distR="0">
            <wp:extent cx="64008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2"/>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Supplementary Figure 8.</w:t>
      </w:r>
      <w:r>
        <w:t xml:space="preserve"> </w:t>
      </w:r>
      <w:r>
        <w:t xml:space="preserve">Forest plots of unadjusted intervention effects on any general, human and animal MST markers in different types of environmental samples.</w:t>
      </w:r>
    </w:p>
    <w:bookmarkEnd w:id="33"/>
    <w:bookmarkStart w:id="67" w:name="references"/>
    <w:p>
      <w:pPr>
        <w:pStyle w:val="Heading2"/>
      </w:pPr>
      <w:r>
        <w:t xml:space="preserve">References</w:t>
      </w:r>
    </w:p>
    <w:bookmarkStart w:id="66" w:name="refs"/>
    <w:bookmarkStart w:id="34"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4"/>
    <w:bookmarkStart w:id="35"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35"/>
    <w:bookmarkStart w:id="36"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36"/>
    <w:bookmarkStart w:id="37"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37"/>
    <w:bookmarkStart w:id="38" w:name="ref-arnoldTreatingWaterChlorine2007"/>
    <w:p>
      <w:pPr>
        <w:pStyle w:val="Bibliography"/>
      </w:pPr>
      <w:r>
        <w:t xml:space="preserve">5.</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38"/>
    <w:bookmarkStart w:id="39" w:name="ref-hardinaSoilEnvironmentalSource1991"/>
    <w:p>
      <w:pPr>
        <w:pStyle w:val="Bibliography"/>
      </w:pPr>
      <w:r>
        <w:t xml:space="preserve">6.</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39"/>
    <w:bookmarkStart w:id="40" w:name="ref-gruberColiformBacteriaIndicators2014"/>
    <w:p>
      <w:pPr>
        <w:pStyle w:val="Bibliography"/>
      </w:pPr>
      <w:r>
        <w:t xml:space="preserve">7.</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0"/>
    <w:bookmarkStart w:id="41" w:name="ref-wuAreMicrobialIndicators2011"/>
    <w:p>
      <w:pPr>
        <w:pStyle w:val="Bibliography"/>
      </w:pPr>
      <w:r>
        <w:t xml:space="preserve">8.</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1"/>
    <w:bookmarkStart w:id="42" w:name="ref-lappanMonitoringDiverseEnteric2021"/>
    <w:p>
      <w:pPr>
        <w:pStyle w:val="Bibliography"/>
      </w:pPr>
      <w:r>
        <w:t xml:space="preserve">9.</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42"/>
    <w:bookmarkStart w:id="43" w:name="X0275b8f84ec54088067ef6bda5f5851aca32979"/>
    <w:p>
      <w:pPr>
        <w:pStyle w:val="Bibliography"/>
      </w:pPr>
      <w:r>
        <w:t xml:space="preserve">10.</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43"/>
    <w:bookmarkStart w:id="44" w:name="X204ddaaf3e51883be5ab5836eba761a690460fc"/>
    <w:p>
      <w:pPr>
        <w:pStyle w:val="Bibliography"/>
      </w:pPr>
      <w:r>
        <w:t xml:space="preserve">11.</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44"/>
    <w:bookmarkStart w:id="45" w:name="X87f5d590b5c270c56b4e3202109f869565456ab"/>
    <w:p>
      <w:pPr>
        <w:pStyle w:val="Bibliography"/>
      </w:pPr>
      <w:r>
        <w:t xml:space="preserve">12.</w:t>
      </w:r>
      <w:r>
        <w:t xml:space="preserve"> </w:t>
      </w:r>
      <w:r>
        <w:t xml:space="preserve">	</w:t>
      </w:r>
      <w:r>
        <w:t xml:space="preserve">Motlagh, A. M. &amp; Yang, Z. Detection and occurrence of indicator organisms and pathogens.</w:t>
      </w:r>
      <w:r>
        <w:t xml:space="preserve"> </w:t>
      </w:r>
      <w:r>
        <w:rPr>
          <w:iCs/>
          <w:i/>
        </w:rPr>
        <w:t xml:space="preserve">Water Environment Research</w:t>
      </w:r>
      <w:r>
        <w:t xml:space="preserve"> </w:t>
      </w:r>
      <w:r>
        <w:rPr>
          <w:bCs/>
          <w:b/>
        </w:rPr>
        <w:t xml:space="preserve">91</w:t>
      </w:r>
      <w:r>
        <w:t xml:space="preserve">, 1402–1408 (2019).</w:t>
      </w:r>
    </w:p>
    <w:bookmarkEnd w:id="45"/>
    <w:bookmarkStart w:id="46" w:name="ref-zouModifiedPoissonRegression2004"/>
    <w:p>
      <w:pPr>
        <w:pStyle w:val="Bibliography"/>
      </w:pPr>
      <w:r>
        <w:t xml:space="preserve">13.</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46"/>
    <w:bookmarkStart w:id="47" w:name="ref-freedmanSoCalledHuberSandwich2006"/>
    <w:p>
      <w:pPr>
        <w:pStyle w:val="Bibliography"/>
      </w:pPr>
      <w:r>
        <w:t xml:space="preserve">14.</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47"/>
    <w:bookmarkStart w:id="48" w:name="Xe164a29abfa864b85eee56d714229aa35a5dd09"/>
    <w:p>
      <w:pPr>
        <w:pStyle w:val="Bibliography"/>
      </w:pPr>
      <w:r>
        <w:t xml:space="preserve">15.</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48"/>
    <w:bookmarkStart w:id="49" w:name="X0d8fe7285a459ef2a123c0bbff98fb4aa7c6fc5"/>
    <w:p>
      <w:pPr>
        <w:pStyle w:val="Bibliography"/>
      </w:pPr>
      <w:r>
        <w:t xml:space="preserve">16.</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49"/>
    <w:bookmarkStart w:id="50" w:name="ref-d.o.oWeatherAtlasWeather"/>
    <w:p>
      <w:pPr>
        <w:pStyle w:val="Bibliography"/>
      </w:pPr>
      <w:r>
        <w:t xml:space="preserve">17.</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50"/>
    <w:bookmarkStart w:id="51" w:name="Xd9771f8024de563fa64d63e513a6f830a201a25"/>
    <w:p>
      <w:pPr>
        <w:pStyle w:val="Bibliography"/>
      </w:pPr>
      <w:r>
        <w:t xml:space="preserve">18.</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51"/>
    <w:bookmarkStart w:id="52" w:name="X82fdba8d1f9013a63e22e8c41ebdd02b8a8bf02"/>
    <w:p>
      <w:pPr>
        <w:pStyle w:val="Bibliography"/>
      </w:pPr>
      <w:r>
        <w:t xml:space="preserve">19.</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2"/>
    <w:bookmarkStart w:id="53" w:name="X01e26d6591f5e2a5c3447ea027a7589e4b3787c"/>
    <w:p>
      <w:pPr>
        <w:pStyle w:val="Bibliography"/>
      </w:pPr>
      <w:r>
        <w:t xml:space="preserve">20.</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3"/>
    <w:bookmarkStart w:id="54" w:name="ref-reeseDesignRationaleMatched2017"/>
    <w:p>
      <w:pPr>
        <w:pStyle w:val="Bibliography"/>
      </w:pPr>
      <w:r>
        <w:t xml:space="preserve">21.</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54"/>
    <w:bookmarkStart w:id="55" w:name="Xd991f8dfcb33adf9c25dec389b3b0d8e33f406d"/>
    <w:p>
      <w:pPr>
        <w:pStyle w:val="Bibliography"/>
      </w:pPr>
      <w:r>
        <w:t xml:space="preserve">22.</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5"/>
    <w:bookmarkStart w:id="56" w:name="ref-georgeRandomizedControlledTrial2016"/>
    <w:p>
      <w:pPr>
        <w:pStyle w:val="Bibliography"/>
      </w:pPr>
      <w:r>
        <w:t xml:space="preserve">23.</w:t>
      </w:r>
      <w:r>
        <w:t xml:space="preserve"> </w:t>
      </w:r>
      <w:r>
        <w:t xml:space="preserve">	</w:t>
      </w:r>
      <w:r>
        <w:t xml:space="preserve">George, C. M.</w:t>
      </w:r>
      <w:r>
        <w:t xml:space="preserve"> </w:t>
      </w:r>
      <w:r>
        <w:rPr>
          <w:iCs/>
          <w:i/>
        </w:rPr>
        <w:t xml:space="preserve">et al.</w:t>
      </w:r>
      <w:r>
        <w:t xml:space="preserve"> Randomized</w:t>
      </w:r>
      <w:r>
        <w:t xml:space="preserve"> </w:t>
      </w:r>
      <w:r>
        <w:t xml:space="preserve">Controlled Trial</w:t>
      </w:r>
      <w:r>
        <w:t xml:space="preserve"> </w:t>
      </w:r>
      <w:r>
        <w:t xml:space="preserve">of</w:t>
      </w:r>
      <w:r>
        <w:t xml:space="preserve"> </w:t>
      </w:r>
      <w:r>
        <w:t xml:space="preserve">Hospital</w:t>
      </w:r>
      <w:r>
        <w:t xml:space="preserve">-</w:t>
      </w:r>
      <w:r>
        <w:t xml:space="preserve">Based Hygiene</w:t>
      </w:r>
      <w:r>
        <w:t xml:space="preserve"> </w:t>
      </w:r>
      <w:r>
        <w:t xml:space="preserve">and</w:t>
      </w:r>
      <w:r>
        <w:t xml:space="preserve"> </w:t>
      </w:r>
      <w:r>
        <w:t xml:space="preserve">Water Treatment Intervention</w:t>
      </w:r>
      <w:r>
        <w:t xml:space="preserve"> </w:t>
      </w:r>
      <w:r>
        <w:t xml:space="preserve">(</w:t>
      </w:r>
      <w:r>
        <w:t xml:space="preserve">CHoBI7</w:t>
      </w:r>
      <w:r>
        <w:t xml:space="preserve">) to</w:t>
      </w:r>
      <w:r>
        <w:t xml:space="preserve"> </w:t>
      </w:r>
      <w:r>
        <w:t xml:space="preserve">Reduce Cholera</w:t>
      </w:r>
      <w:r>
        <w:t xml:space="preserve">.</w:t>
      </w:r>
      <w:r>
        <w:t xml:space="preserve"> </w:t>
      </w:r>
      <w:r>
        <w:rPr>
          <w:iCs/>
          <w:i/>
        </w:rPr>
        <w:t xml:space="preserve">Emerging Infectious Diseases</w:t>
      </w:r>
      <w:r>
        <w:t xml:space="preserve"> </w:t>
      </w:r>
      <w:r>
        <w:rPr>
          <w:bCs/>
          <w:b/>
        </w:rPr>
        <w:t xml:space="preserve">22</w:t>
      </w:r>
      <w:r>
        <w:t xml:space="preserve">, 233–241 (2016).</w:t>
      </w:r>
    </w:p>
    <w:bookmarkEnd w:id="56"/>
    <w:bookmarkStart w:id="57" w:name="Xf9e2a4a9eb87275ea3c8190d2addb0f7bef699d"/>
    <w:p>
      <w:pPr>
        <w:pStyle w:val="Bibliography"/>
      </w:pPr>
      <w:r>
        <w:t xml:space="preserve">24.</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57"/>
    <w:bookmarkStart w:id="58" w:name="ref-holcombHumanFecalContamination2020"/>
    <w:p>
      <w:pPr>
        <w:pStyle w:val="Bibliography"/>
      </w:pPr>
      <w:r>
        <w:t xml:space="preserve">25.</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58"/>
    <w:bookmarkStart w:id="59" w:name="X4d75251919f78b08ed84b8281d002c4332deee4"/>
    <w:p>
      <w:pPr>
        <w:pStyle w:val="Bibliography"/>
      </w:pPr>
      <w:r>
        <w:t xml:space="preserve">26.</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59"/>
    <w:bookmarkStart w:id="60" w:name="ref-odagiriHumanFecalPathogen2016"/>
    <w:p>
      <w:pPr>
        <w:pStyle w:val="Bibliography"/>
      </w:pPr>
      <w:r>
        <w:t xml:space="preserve">27.</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60"/>
    <w:bookmarkStart w:id="62" w:name="Xda33b900c79b319f16c7caa64a1c94f62a2b60d"/>
    <w:p>
      <w:pPr>
        <w:pStyle w:val="Bibliography"/>
      </w:pPr>
      <w:r>
        <w:t xml:space="preserve">28.</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61">
        <w:r>
          <w:rPr>
            <w:rStyle w:val="Hyperlink"/>
          </w:rPr>
          <w:t xml:space="preserve">10.1101/2020.09.29.318097</w:t>
        </w:r>
      </w:hyperlink>
      <w:r>
        <w:t xml:space="preserve">.</w:t>
      </w:r>
    </w:p>
    <w:bookmarkEnd w:id="62"/>
    <w:bookmarkStart w:id="63" w:name="Xf2a03ad0ba8e597b78cac8eb44474a2515beb21"/>
    <w:p>
      <w:pPr>
        <w:pStyle w:val="Bibliography"/>
      </w:pPr>
      <w:r>
        <w:t xml:space="preserve">29.</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3"/>
    <w:bookmarkStart w:id="64" w:name="X9dcf9420471408d0f247188f0ab66b2bab98776"/>
    <w:p>
      <w:pPr>
        <w:pStyle w:val="Bibliography"/>
      </w:pPr>
      <w:r>
        <w:t xml:space="preserve">30.</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64"/>
    <w:bookmarkStart w:id="65" w:name="X2e43a284ff134b8493f2fd5f9cfcdbbe267edc7"/>
    <w:p>
      <w:pPr>
        <w:pStyle w:val="Bibliography"/>
      </w:pPr>
      <w:r>
        <w:t xml:space="preserve">31.</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65"/>
    <w:bookmarkEnd w:id="66"/>
    <w:bookmarkEnd w:id="67"/>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Should final sentence on interpretation be something like (There was evidence WASH interventions slightly reduce environmental contamination, but most study and sample specific estimates were null, partially due to small sample sizes, but also inconsistent intervention effects)</w:t>
      </w:r>
    </w:p>
  </w:comment>
  <w:comment w:id="1" w:author="Andrew" w:date="Date">
    <w:p>
      <w:pPr>
        <w:pStyle w:val="CommentText"/>
      </w:pPr>
      <w:r>
        <w:rPr>
          <w:rStyle w:val="CommentReference"/>
          <w:annotationRef/>
        </w:rPr>
      </w:r>
      <w:r>
        <w:t xml:space="preserve">To add? Or are results too long already? * discuss specific non-zoonotic pathogens decreased* Before discussing prevalence ratios, give absolute prevalences for primary outcomes * note dropping of baseline (pre-intervention) measures from mapsan * add study-specific methods of detecting/quantifying targets * N and percent in wet season and with animals in the compound. * give all the pooled estimates (even insignificant)</w:t>
      </w:r>
    </w:p>
  </w:comment>
  <w:comment w:id="2" w:author="Andrew" w:date="Date">
    <w:p>
      <w:pPr>
        <w:pStyle w:val="CommentText"/>
      </w:pPr>
      <w:r>
        <w:rPr>
          <w:rStyle w:val="CommentReference"/>
          <w:annotationRef/>
        </w:rPr>
      </w:r>
      <w:r>
        <w:t xml:space="preserve">WBK 2,107 HH of 8,246 HH 25%, WBB 5551 HH, Boehm 497 9%, Furhmeister 600 HH, 11%, Mapsan 94 HH of 760 12%, GV 840 of 1123+1275 35%, Odisha sampled water sources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1" Type="http://schemas.openxmlformats.org/officeDocument/2006/relationships/hyperlink" Target="https://doi.org/10.1101/2020.09.29.318097" TargetMode="External"/>
<Relationship Id="rId23" Type="http://schemas.openxmlformats.org/officeDocument/2006/relationships/hyperlink" Target="https://github.com/amertens/wash-ipd" TargetMode="External"/>
<Relationship Id="rId24" Type="http://schemas.openxmlformats.org/officeDocument/2006/relationships/hyperlink" Target="https://osf.io/8sgzn/" TargetMode="External"/>
<Relationship Id="rId22" Type="http://schemas.openxmlformats.org/officeDocument/2006/relationships/hyperlink" Target="https://www.weather-atlas.com/" TargetMode="External"/>
<Relationship Id="rId62" Type="http://schemas.openxmlformats.org/officeDocument/2006/relationships/image" Target="media/file869031a371b4.png"/>
<Relationship Id="rId63" Type="http://schemas.openxmlformats.org/officeDocument/2006/relationships/image" Target="media/file869014b950d4.png"/>
<Relationship Id="rId64" Type="http://schemas.openxmlformats.org/officeDocument/2006/relationships/image" Target="media/file86903cb7694d.png"/>
<Relationship Id="rId65" Type="http://schemas.openxmlformats.org/officeDocument/2006/relationships/image" Target="media/file869060dc793a.png"/>
<Relationship Id="rId66" Type="http://schemas.openxmlformats.org/officeDocument/2006/relationships/image" Target="media/file869066af4e25.png"/>
<Relationship Id="rId67" Type="http://schemas.openxmlformats.org/officeDocument/2006/relationships/image" Target="media/file8690164f5513.png"/>
<Relationship Id="rId68" Type="http://schemas.openxmlformats.org/officeDocument/2006/relationships/image" Target="media/file869025d5010.png"/>
<Relationship Id="rId69" Type="http://schemas.openxmlformats.org/officeDocument/2006/relationships/image" Target="media/file8690481e4f6.png"/>
<Relationship Id="rId70" Type="http://schemas.openxmlformats.org/officeDocument/2006/relationships/image" Target="media/file869031c6177e.png"/>
<Relationship Id="rId71" Type="http://schemas.openxmlformats.org/officeDocument/2006/relationships/image" Target="media/file8690540f10e6.png"/>
<Relationship Id="rId72" Type="http://schemas.openxmlformats.org/officeDocument/2006/relationships/image" Target="media/file8690498369ab.png"/>
</Relationships>

</file>

<file path=word/_rels/footnotes.xml.rels><?xml version="1.0" encoding="UTF-8" standalone="yes"?>

<Relationships  xmlns="http://schemas.openxmlformats.org/package/2006/relationships">
<Relationship Id="rId61" Type="http://schemas.openxmlformats.org/officeDocument/2006/relationships/hyperlink" Target="https://doi.org/10.1101/2020.09.29.318097" TargetMode="External"/>
<Relationship Id="rId23" Type="http://schemas.openxmlformats.org/officeDocument/2006/relationships/hyperlink" Target="https://github.com/amertens/wash-ipd" TargetMode="External"/>
<Relationship Id="rId24" Type="http://schemas.openxmlformats.org/officeDocument/2006/relationships/hyperlink" Target="https://osf.io/8sgzn/" TargetMode="External"/>
<Relationship Id="rId22" Type="http://schemas.openxmlformats.org/officeDocument/2006/relationships/hyperlink"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493</Words>
  <Characters>2397</Characters>
  <Application>Microsoft Office Word</Application>
  <DocSecurity>0</DocSecurity>
  <Lines>399</Lines>
  <Paragraphs>240</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2021-06-29T18:47:47Z</dcterms:created>
  <dcterms:modified xsi:type="dcterms:W3CDTF">2021-06-29T11:47:48Z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