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X5afe2fb33e7838e433b1b15d9c90e1b9a699207"/>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sanitation, and hygiene (WASH) improvements are considered cornerstones to reduce diarrheal disease in low-income countries. Assessing fecal pathogens in the environment as an intermediate variable can illuminate whether the limited health effects of WASH interventions occur because they do not cause a cleaner environment. Measuring fecal pathogens in the environment as an intermediate variable can illuminate whether WASH interventions effectively lead to a cleaner environment.</w:t>
      </w:r>
      <w:r>
        <w:t xml:space="preserve"> </w:t>
      </w:r>
      <w:r>
        <w:rPr>
          <w:bCs/>
          <w:b/>
        </w:rPr>
        <w:t xml:space="preserve">Methods:</w:t>
      </w:r>
      <w:r>
        <w:t xml:space="preserve"> </w:t>
      </w:r>
      <w:r>
        <w:t xml:space="preserve">We conducted a systematic review and individual participant data meta-analysis to assess the effects of WASH interventions on enteric pathogens and microbial source tracking (MST) markers in environmental samples. We estimated intervention effects on the prevalence of any pathogen and any MST marker, and the prevalence and abundance of specific pathogens and MST markers. We used covariate-adjusted regression models with robust standard errors.</w:t>
      </w:r>
      <w:r>
        <w:t xml:space="preserve"> </w:t>
      </w:r>
      <w:r>
        <w:rPr>
          <w:bCs/>
          <w:b/>
        </w:rPr>
        <w:t xml:space="preserve">Findings:</w:t>
      </w:r>
      <w:r>
        <w:t xml:space="preserve"> </w:t>
      </w:r>
      <w:r>
        <w:t xml:space="preserve">We identified and received data from five randomized or quasi-experimental studies (four focused on sanitation in their environmental sampling, one on piped water and sanitation). Most individual studies found no intervention effects on pathogens or MST markers in environmental samples, including drinking water, hands, soil and flies. We found a small but significant reduction in the prevalence of any pathogen in any sample type, with a pooled, adjusted prevalence ratio of 0.94 (95% CI: 0.89, 0.99). There was no overall effect on MST markers, and no consistent differences in intervention effects by season or animal presence, and between urban/rural settings or randomized/quasi-experimental study designs.</w:t>
      </w:r>
      <w:r>
        <w:t xml:space="preserve"> </w:t>
      </w:r>
      <w:r>
        <w:rPr>
          <w:bCs/>
          <w:b/>
        </w:rPr>
        <w:t xml:space="preserve">Interpretation:</w:t>
      </w:r>
      <w:r>
        <w:t xml:space="preserve"> </w:t>
      </w:r>
      <w:r>
        <w:t xml:space="preserve">The small effect of sanitation interventions on pathogens in the environment is consistent with the lack of health impact in sanitation trials.</w:t>
      </w:r>
      <w:r>
        <w:t xml:space="preserve"> </w:t>
      </w:r>
      <w:r>
        <w:rPr>
          <w:bCs/>
          <w:b/>
        </w:rPr>
        <w:t xml:space="preserve">Funding:</w:t>
      </w:r>
      <w:r>
        <w:t xml:space="preserve"> </w:t>
      </w:r>
      <w:r>
        <w:t xml:space="preserve">The Bill and Melinda Gates Foundation</w:t>
      </w:r>
    </w:p>
    <w:bookmarkEnd w:id="20"/>
    <w:bookmarkStart w:id="21" w:name="X9f62bf98af29d77edd6352a4b5443fd5c420c52"/>
    <w:p>
      <w:pPr>
        <w:pStyle w:val="Heading2"/>
      </w:pPr>
      <w:r>
        <w:t xml:space="preserve">Research in</w:t>
      </w:r>
      <w:r>
        <w:t xml:space="preserve"> </w:t>
      </w:r>
      <w:commentRangeStart w:id="1"/>
      <w:r>
        <w:t xml:space="preserve">context</w:t>
      </w:r>
      <w:commentRangeEnd w:id="1"/>
      <w:r>
        <w:rPr>
          <w:rStyle w:val="CommentReference"/>
        </w:rPr>
        <w:commentReference w:id="1"/>
      </w:r>
    </w:p>
    <w:p>
      <w:pPr>
        <w:pStyle w:val="FirstParagraph"/>
      </w:pPr>
      <w:r>
        <w:rPr>
          <w:bCs/>
          <w:b/>
        </w:rPr>
        <w:t xml:space="preserve">Evidence before this study.</w:t>
      </w:r>
      <w:r>
        <w:t xml:space="preserve"> </w:t>
      </w:r>
      <w:r>
        <w:t xml:space="preserve">Children in areas with poor drinking water, sanitation, and hygiene conditions (WASH) have increased diarrheal disease and reduced growth. Previous intervention studies on WASH improvements have generally not had large effects on reducing diarrheal disease in children or improving child growth by reducing enteric infections. Quantifying the effect WASH improvements have on reducing enteric pathogens in environmental samples may help elucidate if interventions are helping block the causal path between poor WASH, environmental fecal contamination, and poor child health. We conducted an individual participant data meta-analysis of WASH intervention studies that measured pathogens or microbial source tracking (MST) markers in the environment to see if interventions reduced different types of pathogens in soil, drinking water, hand rinse, and fly samples.</w:t>
      </w:r>
    </w:p>
    <w:p>
      <w:pPr>
        <w:pStyle w:val="BodyText"/>
      </w:pPr>
      <w:r>
        <w:rPr>
          <w:bCs/>
          <w:b/>
        </w:rPr>
        <w:t xml:space="preserve">Added value of this study.</w:t>
      </w:r>
      <w:r>
        <w:t xml:space="preserve"> </w:t>
      </w:r>
      <w:r>
        <w:t xml:space="preserve">We were able to collect data from most trials sampling environmental pathogens that we identified in a systemic review of the literature. Most relative risks indicated a protective effect of interventions for individual pathogens and MST marker prevalences, but sample sizes were small within individual studies and most estimates were not statistically significant. However, the individual participant data meta-analysis design of the study allowed us to detect a small but significant reduction in any type of pathogen presence in any type of sample when pooled across trial intervention arms, though there was not a effect of interventions on the presence of any type of MST marker</w:t>
      </w:r>
    </w:p>
    <w:p>
      <w:pPr>
        <w:pStyle w:val="BodyText"/>
      </w:pPr>
      <w:r>
        <w:rPr>
          <w:bCs/>
          <w:b/>
        </w:rPr>
        <w:t xml:space="preserve">Implications of all the available science.</w:t>
      </w:r>
      <w:r>
        <w:t xml:space="preserve"> </w:t>
      </w:r>
      <w:r>
        <w:t xml:space="preserve">Though there was an overall effect of WASH interventions on pathogen presence, it was small, which may underly the small effect interventions have had on child health. Possibly, more intensive WASH interventions like piped and safely managed water and sanitation are needed to reduce environmental contamination enough to improve child health. However, there were only 6 trials meeting our inclusion criteria, and of the 5 we received data from, 4 of 5 only included a sanitation intervention or sampled the sanitation arm. Pathogen-specific detection methods are relatively expensive, so only a subset of households were sampled in each study, and pathogen targets varied greatly by study, complicating interpretation of a results. Future research would benefit from sampling a more diverse set of WASH interventions using a standardized set of laboratory methods and pathogen and MST targets.</w:t>
      </w:r>
    </w:p>
    <w:bookmarkEnd w:id="21"/>
    <w:bookmarkStart w:id="22" w:name="X97a6682e30d22dea6547f3f8d655a1defafef8a"/>
    <w:p>
      <w:pPr>
        <w:pStyle w:val="Heading2"/>
      </w:pPr>
      <w:r>
        <w:t xml:space="preserve">Introducti</w:t>
      </w:r>
      <w:commentRangeStart w:id="2"/>
      <w:r>
        <w:t xml:space="preserve">o</w:t>
      </w:r>
      <w:commentRangeEnd w:id="2"/>
      <w:r>
        <w:rPr>
          <w:rStyle w:val="CommentReference"/>
        </w:rPr>
        <w:commentReference w:id="2"/>
      </w:r>
      <w:commentRangeStart w:id="3"/>
      <w:r>
        <w:t xml:space="preserve">n</w:t>
      </w:r>
      <w:commentRangeEnd w:id="3"/>
      <w:r>
        <w:rPr>
          <w:rStyle w:val="CommentReference"/>
        </w:rPr>
        <w:commentReference w:id="3"/>
      </w:r>
    </w:p>
    <w:p>
      <w:pPr>
        <w:pStyle w:val="FirstParagraph"/>
      </w:pPr>
      <w:r>
        <w:t xml:space="preserve">Water, sanitation and hygiene (WASH) improvements are often assumed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r>
        <w:rPr>
          <w:vertAlign w:val="superscript"/>
        </w:rPr>
        <w:t xml:space="preserve">1–3</w:t>
      </w:r>
    </w:p>
    <w:p>
      <w:pPr>
        <w:pStyle w:val="BodyText"/>
      </w:pPr>
      <w:r>
        <w:t xml:space="preserve">Pathogens are transmitted from the feces of infected individuals to new hosts through interconnected environmental pathways. Studies assessing the effect of WASH interventions on environmental contamination have to date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these indicators can originate from non-fecal sources,</w:t>
      </w:r>
      <w:r>
        <w:rPr>
          <w:vertAlign w:val="superscript"/>
        </w:rPr>
        <w:t xml:space="preserve">8</w:t>
      </w:r>
      <w:r>
        <w:t xml:space="preserve"> </w:t>
      </w:r>
      <w:r>
        <w:t xml:space="preserve">cannot differentiate between human vs. animal fecal sources,</w:t>
      </w:r>
      <w:r>
        <w:rPr>
          <w:vertAlign w:val="superscript"/>
        </w:rPr>
        <w:t xml:space="preserve">9</w:t>
      </w:r>
      <w:r>
        <w:t xml:space="preserve"> </w:t>
      </w:r>
      <w:r>
        <w:t xml:space="preserve">and correlate poorly with pathogens and disease risk.</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detection of specific enteropathogens and human- vs. animal-specific MST markers in the domestic environment with a systematic review and an individual participant data (IPD) meta-analysis. Through the IPD approach, we collected environmental sample-level data as well as household covariates to allow us to standardize the analytic approach, outcome definitions, and subgroup analyses.</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Search terms are listed in Supplementary Table S1. We searched the PubMed, Embase, CAB Direct Global Health, Agricultural &amp; Environmental Science Database, Web Of Science, and Scopus databases. Our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 xml:space="preserve">14,15</w:t>
      </w:r>
      <w:r>
        <w:t xml:space="preserve"> </w:t>
      </w:r>
      <w:r>
        <w:t xml:space="preserve">2) measured pathogens and/or MST markers in environmental samples, and 3) measured child anthropometry, diarrheal disease, or pathogen-specific infections for use in a companion manuscript [Mertens et al. 2021]. We excluded studies that only measured fecal indicator bacteria (FIB)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16</w:t>
      </w:r>
      <w:r>
        <w:t xml:space="preserve"> </w:t>
      </w:r>
      <w:r>
        <w:t xml:space="preserve">One reviewer (AM) screened the abstracts of studies according to our inclusion/exclusion criteria, and two independent reviewers (AM, RT) examined the full texts of relevant short-listed articles.</w:t>
      </w:r>
    </w:p>
    <w:bookmarkEnd w:id="23"/>
    <w:bookmarkStart w:id="27" w:name="data-collection-and-analysis"/>
    <w:p>
      <w:pPr>
        <w:pStyle w:val="Heading3"/>
      </w:pPr>
      <w:r>
        <w:t xml:space="preserve">Data Collection and Analysis</w:t>
      </w:r>
    </w:p>
    <w:p>
      <w:pPr>
        <w:pStyle w:val="FirstParagraph"/>
      </w:pPr>
      <w:r>
        <w:t xml:space="preserve">For each published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w:t>
      </w:r>
      <w:r>
        <w:t xml:space="preserve"> </w:t>
      </w:r>
      <w:r>
        <w:t xml:space="preserve">All personal identifiers were removed from the data, including GPS locations, and sampling dates were coarsened to a monthly resolution. If the corresponding author was unwilling to share individual data, that study was excluded from our analysis.</w:t>
      </w:r>
    </w:p>
    <w:p>
      <w:pPr>
        <w:pStyle w:val="BodyText"/>
      </w:pPr>
      <w:r>
        <w:t xml:space="preserve">Our primary outcomes were the detection of any enteropathogen and of any MST markers in any type of environmental sample. We analyzed prevalences separately for each sample type (e.g., water, hands, soil, flies) and also as a composite prevalence measure indicating presence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17</w:t>
      </w:r>
      <w:r>
        <w:t xml:space="preserve"> </w:t>
      </w:r>
      <w:r>
        <w:t xml:space="preserve">For abundance outcomes, we used linear regressions to estimate differences in log-transformed gene copies obtained from molecular methods, and we used negative binomial regressions to estimate count differences in soil-transmitted helminth (STH) egg counts obtained from microscopic methods. Because of repeated sampling or clustered designs in some studies, we used the Huber Sandwich Estimator to calculate robust standard errors for all estimates.</w:t>
      </w:r>
      <w:r>
        <w:rPr>
          <w:vertAlign w:val="superscript"/>
        </w:rPr>
        <w:t xml:space="preserve">18</w:t>
      </w:r>
      <w:r>
        <w:t xml:space="preserve"> </w:t>
      </w:r>
      <w:r>
        <w:t xml:space="preserve">We used the compound (group of households with shared sanitation) as the independent unit in non-cluster-randomized studies and the specified unit of clustering in cluster-randomized trials. For the pathogen or MST abundance measures, we imputed values for samples below the limit of quantification (LOQ) and the limit of detection (LOD). We used the original study’s imputation strategy if available and otherwise imputed values ourselves.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covariate adjustment may increase statistical efficiency, and improve exchangeability in comparing and combining estimates with matched cohorts and non-randomized trials.</w:t>
      </w:r>
      <w:r>
        <w:rPr>
          <w:vertAlign w:val="superscript"/>
        </w:rPr>
        <w:t xml:space="preserve">19</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household construction materials (walls, floor, roof), access to electricity, land ownership and if anyone in the household works in agriculture.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Due to study-specific differences in local WASH conditions, open defecation rates, climate, ruralness, and infectious disease patterns, we reported individual study-specific estimates for all analyses</w:t>
      </w:r>
      <w:commentRangeStart w:id="4"/>
      <w:r>
        <w:t xml:space="preserve">.</w:t>
      </w:r>
      <w:commentRangeEnd w:id="4"/>
      <w:r>
        <w:rPr>
          <w:rStyle w:val="CommentReference"/>
        </w:rPr>
        <w:commentReference w:id="4"/>
      </w:r>
      <w:r>
        <w:t xml:space="preserve"> </w:t>
      </w:r>
      <w:r>
        <w:t xml:space="preserve">For targets where data were available from four or more studies, we tested for heterogeneity in estimates using Cochran’s Q-test.</w:t>
      </w:r>
      <w:r>
        <w:rPr>
          <w:vertAlign w:val="superscript"/>
        </w:rPr>
        <w:t xml:space="preserve">20</w:t>
      </w:r>
      <w:r>
        <w:t xml:space="preserve"> </w:t>
      </w:r>
      <w:r>
        <w:t xml:space="preserve">If there was no significant heterogeneity between individual study estimates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(dry/wet), animal ownership (at least one animal owned/no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21</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22</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22</w:t>
      </w:r>
      <w:r>
        <w:t xml:space="preserve">. We calculated prevalence ratios for any pathogens and any MST markers between intervention and control groups within these subgroups.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
    <w:p>
      <w:pPr>
        <w:pStyle w:val="Heading3"/>
      </w:pPr>
      <w:r>
        <w:t xml:space="preserve">Search results</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included studies reported findings from six unique intervention studies: the WASH Benefits Bangladesh and Kenya trials</w:t>
      </w:r>
      <w:r>
        <w:rPr>
          <w:vertAlign w:val="superscript"/>
        </w:rPr>
        <w:t xml:space="preserve">23</w:t>
      </w:r>
      <w:r>
        <w:t xml:space="preserve">, the MapSan (Maputo Sanitation) controlled before-and-after study in Mozambique,</w:t>
      </w:r>
      <w:r>
        <w:rPr>
          <w:vertAlign w:val="superscript"/>
        </w:rPr>
        <w:t xml:space="preserve">24</w:t>
      </w:r>
      <w:r>
        <w:t xml:space="preserve"> </w:t>
      </w:r>
      <w:r>
        <w:t xml:space="preserve">the Gram Vikas matched cohort study in India,</w:t>
      </w:r>
      <w:r>
        <w:rPr>
          <w:vertAlign w:val="superscript"/>
        </w:rPr>
        <w:t xml:space="preserve">25</w:t>
      </w:r>
      <w:r>
        <w:t xml:space="preserve"> </w:t>
      </w:r>
      <w:r>
        <w:t xml:space="preserve">the Odisha Total Sanitation Campaign trial in India,</w:t>
      </w:r>
      <w:r>
        <w:rPr>
          <w:vertAlign w:val="superscript"/>
        </w:rPr>
        <w:t xml:space="preserve">26</w:t>
      </w:r>
      <w:r>
        <w:t xml:space="preserve"> </w:t>
      </w:r>
      <w:r>
        <w:t xml:space="preserve">and the CHoBI7 trial in Bangladesh</w:t>
      </w:r>
      <w:r>
        <w:rPr>
          <w:vertAlign w:val="superscript"/>
        </w:rPr>
        <w:t xml:space="preserve">27</w:t>
      </w:r>
      <w:r>
        <w:t xml:space="preserve"> </w:t>
      </w:r>
      <w:r>
        <w:t xml:space="preserve">(Table 1) Data were obtained from all studies except the CHoBI7 trial where the investigators declined to share data. For the Odisha Total Sanitation Campaign trial, only village-level source water quality data were shared</w:t>
      </w:r>
      <w:commentRangeStart w:id="5"/>
      <w:r>
        <w:t xml:space="preserve">.</w:t>
      </w:r>
      <w:commentRangeEnd w:id="5"/>
      <w:r>
        <w:rPr>
          <w:rStyle w:val="CommentReference"/>
        </w:rPr>
        <w:commentReference w:id="5"/>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 flush improved latrine latrine and the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based on both size of the compound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a household level by government funding.</w:t>
      </w:r>
    </w:p>
    <w:bookmarkEnd w:id="30"/>
    <w:bookmarkStart w:id="31" w:name="Xa0358904d962c862631fb581bf243434100152e"/>
    <w:p>
      <w:pPr>
        <w:pStyle w:val="Heading3"/>
      </w:pPr>
      <w:r>
        <w:t xml:space="preserve">Sample types and target detections in included studies</w:t>
      </w:r>
    </w:p>
    <w:p>
      <w:pPr>
        <w:pStyle w:val="FirstParagraph"/>
      </w:pPr>
      <w:r>
        <w:t xml:space="preserve">Seven unique studies on pathogen or MST presence in the environment were nested within the five randomized and quasi-randomized interventions with available data. Three separate publications reported pathogen and MST detection results from the WASH Benefits Bangladesh study.</w:t>
      </w:r>
      <w:r>
        <w:rPr>
          <w:vertAlign w:val="superscript"/>
        </w:rPr>
        <w:t xml:space="preserve">28–30</w:t>
      </w:r>
      <w:r>
        <w:t xml:space="preserve"> </w:t>
      </w:r>
      <w:r>
        <w:t xml:space="preserve">These publications focused on samples collected from different subsets of trial participants at different times; therefore, we report results from these three studies separately . We received unpublished data on fly pathogens detected on flies caught in the household from the MapSan study, which we include within the Holcomb 2020 study in the reported results. For the Odisha Total Sanitation Campaign trial, only village-level source water quality data were shared.</w:t>
      </w:r>
    </w:p>
    <w:p>
      <w:pPr>
        <w:pStyle w:val="BodyText"/>
      </w:pPr>
      <w:r>
        <w:t xml:space="preserve">The types of samples collected included source and stored drinking water, child and mother hands, soil from the courtyard, household and latrine areas, food, and flies caught in the compound’s latrine and kitchen areas. The number of individual environmental samples included studies varied from 60</w:t>
      </w:r>
      <w:r>
        <w:rPr>
          <w:vertAlign w:val="superscript"/>
        </w:rPr>
        <w:t xml:space="preserve">31</w:t>
      </w:r>
      <w:r>
        <w:t xml:space="preserve"> </w:t>
      </w:r>
      <w:r>
        <w:t xml:space="preserve">to 3452</w:t>
      </w:r>
      <w:r>
        <w:rPr>
          <w:vertAlign w:val="superscript"/>
        </w:rPr>
        <w:t xml:space="preserve">32</w:t>
      </w:r>
      <w:r>
        <w:t xml:space="preserve">. The pooled dataset across all studies included 12,199 individual samples, with a total of 41,692 observations for pathogen/MST marker prevalence. Samples were collected from 3-6 months to 6-10 years after intervention delivery, with most studies collecting samples 1-2 years later (Table 1).</w:t>
      </w:r>
    </w:p>
    <w:p>
      <w:pPr>
        <w:pStyle w:val="BodyText"/>
      </w:pPr>
      <w:r>
        <w:t xml:space="preserve">Across the seven studies, three only measured pathogens and no MST markers (Table 1);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eggs in soil,</w:t>
      </w:r>
      <w:r>
        <w:rPr>
          <w:vertAlign w:val="superscript"/>
        </w:rPr>
        <w:t xml:space="preserve">30,33</w:t>
      </w:r>
      <w:r>
        <w:t xml:space="preserve"> </w:t>
      </w:r>
      <w:r>
        <w:t xml:space="preserve">and Reese et al. 2017 measured</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in source and stored drinking water samples.</w:t>
      </w:r>
      <w:r>
        <w:rPr>
          <w:vertAlign w:val="superscript"/>
        </w:rPr>
        <w:t xml:space="preserve">32</w:t>
      </w:r>
      <w:r>
        <w:t xml:space="preserve"> </w:t>
      </w:r>
      <w:r>
        <w:t xml:space="preserve">Boehm et al. 2016 measured rotavirus as well as general, human, and ruminant and avian fecal markers.</w:t>
      </w:r>
      <w:r>
        <w:rPr>
          <w:vertAlign w:val="superscript"/>
        </w:rPr>
        <w:t xml:space="preserve">28</w:t>
      </w:r>
      <w:r>
        <w:t xml:space="preserve"> </w:t>
      </w:r>
      <w:r>
        <w:t xml:space="preserve">Fuhrmeister et al.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29</w:t>
      </w:r>
      <w:r>
        <w:t xml:space="preserve"> </w:t>
      </w:r>
      <w:r>
        <w:t xml:space="preserve">while Odagiri et al. 2016 measured</w:t>
      </w:r>
      <w:r>
        <w:t xml:space="preserve"> </w:t>
      </w:r>
      <w:r>
        <w:rPr>
          <w:iCs/>
          <w:i/>
        </w:rPr>
        <w:t xml:space="preserve">V. cholerae</w:t>
      </w:r>
      <w:r>
        <w:t xml:space="preserve">, rotavirus, adenovirus, and general, human, and animal fecal markers.</w:t>
      </w:r>
      <w:r>
        <w:rPr>
          <w:vertAlign w:val="superscript"/>
        </w:rPr>
        <w:t xml:space="preserve">31</w:t>
      </w:r>
      <w:r>
        <w:t xml:space="preserve"> </w:t>
      </w:r>
      <w:r>
        <w:t xml:space="preserve">Holcomb et al. 2020 measured the largest number of targets, including pathogenic</w:t>
      </w:r>
      <w:r>
        <w:t xml:space="preserve"> </w:t>
      </w:r>
      <w:r>
        <w:rPr>
          <w:iCs/>
          <w:i/>
        </w:rPr>
        <w:t xml:space="preserve">E. coli, V. cholerae, Shigella, Campylobacter, Salmonella, Yersinia, C. difficile, Cryptosporidium, Giardia, Entamoeba histolytica</w:t>
      </w:r>
      <w:r>
        <w:t xml:space="preserve">, rotavirus, norovirus, sapovirus, adenovirus, astrovirus, pan-enterovirus, STH, and general, human, and animal fecal markers (Tables S4-7).</w:t>
      </w:r>
      <w:r>
        <w:rPr>
          <w:vertAlign w:val="superscript"/>
        </w:rPr>
        <w:t xml:space="preserve">34</w:t>
      </w:r>
    </w:p>
    <w:p>
      <w:pPr>
        <w:pStyle w:val="BodyText"/>
      </w:pPr>
      <w:r>
        <w:t xml:space="preserve">Many targets had very low or no variation in prevalence for a given sample type,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BacCow animal fecal marker in Odagiri et al. 2016, the GenBac3 general fecal marker in Boehm et al. 2016, and the human Bacteroides marker in Holcomb et al. 2020 had close to 100% prevalence. Upon inspection of the data,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Holcomb et al. 2020 measured human (Bacteroides and M. smithii) and avian (GFD) MST targets in 183 food samples , but there were no samples positive for GFD, 2 samples positive for M. smithii, and 7 samples positive for Bacteroides so we did not estimate prevalence ratios for MST markers in food samples for this study nor include these markers in the aggregate variables. Overall, 187/275 sample-target combinations had sufficient variability to be individually included in our meta-analysis. Among these, the prevalence of pathogens ranged from 2.3% (Giardia on mothers’ hands in Fuhrmeister et al. 2020) to 61.7% (</w:t>
      </w:r>
      <w:r>
        <w:rPr>
          <w:iCs/>
          <w:i/>
        </w:rPr>
        <w:t xml:space="preserve">Ascaris</w:t>
      </w:r>
      <w:r>
        <w:t xml:space="preserve"> </w:t>
      </w:r>
      <w:r>
        <w:t xml:space="preserve">in soil in Kwong et al. 2021), and the prevalence of MST markers ranged from 2.4% (HumM2 on child hands in Boehm et al. 2016) to 96.7% (BacCow on mothers’ hands in Fuhrmeister et al. 2020).</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prevalence ratios often crossed the null, with 73.3% (137/187) of study-specific estimates of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When examining prevalences of types of pathogens, interventions reduced the prevalence of any bacterial pathogens in any sample type, with 11 out of 13 study and sample-specific prevalence ratios indicating a protective effect of interventions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presence of viruses or protozoa in any sample type or within specific types of samples, though point estimates from individual studies were protective for all combinations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0.92 (95% CI: 0.86, 0.99)) and of adenovirus (adjusted PR: 0.20 (95% CI: 0.06, 0.63)), and</w:t>
      </w:r>
      <w:r>
        <w:t xml:space="preserve"> </w:t>
      </w:r>
      <w:r>
        <w:rPr>
          <w:iCs/>
          <w:i/>
        </w:rPr>
        <w:t xml:space="preserve">Shigella</w:t>
      </w:r>
      <w:r>
        <w:t xml:space="preserve"> </w:t>
      </w:r>
      <w:r>
        <w:t xml:space="preserve">(adjusted PR: 0.32 (95% CI: 0.11, 0.93)) in Holcomb et al. 2020 (Figure S1). These reductions were driven by significant reductions in soil samples in Holcomb et al. 2020 and by non-significant reductions in all sample types in Fuhrmeister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30 out of 54 study-specific prevalence ratios indicating a protective effect of interventions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the samples collected, 21.4% had abundances quantified, including STH egg counts in Steinbaum et al. 2019 and Kwong et al. 2021 and gene copies of MST targets in Boehm et al. 2016, Fuhrmeister et al. 2020, and Holcomb et al. 2020. Of these, 18.7% were below the limit of detection, 22.5% were below the limit of quantification, and 58.7% were in the range of quantification.</w:t>
      </w:r>
    </w:p>
    <w:p>
      <w:pPr>
        <w:pStyle w:val="BodyText"/>
      </w:pPr>
      <w:r>
        <w:t xml:space="preserve">Of targets enumerated within specific sample types, only 21.1% had &gt;50% of samples within the range of quantification and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-0.20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0.70 (95% CI: 0.11, 1.28); Table 2). There were not sufficient studies with abundance data to generate pooled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w:t>
      </w:r>
      <w:commentRangeStart w:id="6"/>
      <w:r>
        <w:t xml:space="preserve">,</w:t>
      </w:r>
      <w:commentRangeEnd w:id="6"/>
      <w:r>
        <w:rPr>
          <w:rStyle w:val="CommentReference"/>
        </w:rPr>
        <w:commentReference w:id="6"/>
      </w:r>
      <w:r>
        <w:t xml:space="preserve"> </w:t>
      </w:r>
      <w:r>
        <w:t xml:space="preserve">Interventions had significantly different effects by season in several study-specific sample types, but the direction of the effects was inconsistent (Figure S3). Interventions significantly increased the prevalence of any pathogen in stored water in the wet season in Reese et al. 2017 and in stored water (marginally significant) and courtyard soil in Fuhrmeister et al. 2020 but had no effect during the dry season. Conversely, interventions decreased the prevalence of any MST marker on child hands and in soil in Boehm et al. 2016 and in stored water in Furhmeister et al. 2020, and decreased the prevalence of any pathogen in soil in Kwong et al. 2021 in soil only during the wet season.</w:t>
      </w:r>
    </w:p>
    <w:p>
      <w:pPr>
        <w:pStyle w:val="BodyText"/>
      </w:pPr>
      <w:r>
        <w:t xml:space="preserve">There was no significant effect of any 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 Samples from compounds with animals did not have a higher prevalence of zoonotic pathogens, with an adjusted pooled prevalence ratio of 0.97 (95% CI: 0.73, 1.30) when comparing households with animals to households without animals. There were also no significant differences in pooled estimates between urban (Holcomb et al. 2020) and rural (all other) studies (Wald-test p-value for any pathogen in any sample type: 0.75), or between randomized trials and quasi-experimental studies (Wald-test p-value for any pathogen in any sample type: 0.46). Overall,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35</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 (Boehm et al. 2016) to 35% (Reese et al. 2017).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can contribute to fecal contamination in the environment,</w:t>
      </w:r>
      <w:r>
        <w:rPr>
          <w:vertAlign w:val="superscript"/>
        </w:rPr>
        <w:t xml:space="preserve">36</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37</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One limitation of the IPD approach arises from the heterogeneity of study data. Studies measured different targets using different methods, which limits the comparability. Future research would benefits from a more systematic, standardized, assessment of a broad panel of important enteropathogens, using molecular methods sensitive enough to permit simultaneous detection in both environmental and clinical samples.</w:t>
      </w:r>
      <w:r>
        <w:rPr>
          <w:vertAlign w:val="superscript"/>
        </w:rPr>
        <w:t xml:space="preserve">11</w:t>
      </w:r>
      <w:r>
        <w:t xml:space="preserve"> </w:t>
      </w:r>
      <w:r>
        <w:t xml:space="preserve">Additionally, not 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Also, definitions of effect modifiers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4"/>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5"/>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r>
        <w:t xml:space="preserve"> </w:t>
      </w:r>
      <w:commentRangeStart w:id="7"/>
      <w:r>
        <w:t xml:space="preserve">.</w:t>
      </w:r>
      <w:commentRangeEnd w:id="7"/>
      <w:r>
        <w:rPr>
          <w:rStyle w:val="CommentReference"/>
        </w:rPr>
        <w:commentReference w:id="7"/>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80c48354f2dc3bde826f04316ab3558266caa8a"/>
    <w:p>
      <w:pPr>
        <w:pStyle w:val="Heading3"/>
      </w:pPr>
      <w:r>
        <w:t xml:space="preserve">Table 1</w:t>
      </w:r>
      <w:commentRangeStart w:id="8"/>
      <w:r>
        <w:t xml:space="preserve">.</w:t>
      </w:r>
      <w:commentRangeEnd w:id="8"/>
      <w:r>
        <w:rPr>
          <w:rStyle w:val="CommentReference"/>
        </w:rPr>
        <w:commentReference w:id="8"/>
      </w:r>
      <w:r>
        <w:t xml:space="preserve"> </w:t>
      </w:r>
      <w:r>
        <w:t xml:space="preserve">Characteristics of included publication</w:t>
      </w:r>
      <w:commentRangeStart w:id="9"/>
      <w:r>
        <w:t xml:space="preserve">s</w:t>
      </w:r>
      <w:commentRangeEnd w:id="9"/>
      <w:r>
        <w:rPr>
          <w:rStyle w:val="CommentReference"/>
        </w:rPr>
        <w:commentReference w:id="9"/>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61"/>
        <w:gridCol w:w="956"/>
        <w:gridCol w:w="1226"/>
        <w:gridCol w:w="517"/>
        <w:gridCol w:w="613"/>
        <w:gridCol w:w="1157"/>
        <w:gridCol w:w="1407"/>
        <w:gridCol w:w="1084"/>
        <w:gridCol w:w="61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(-0.16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7"/>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8"/>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2"/>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3"/>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4"/>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3" w:name="references"/>
    <w:p>
      <w:pPr>
        <w:pStyle w:val="Heading2"/>
      </w:pPr>
      <w:r>
        <w:t xml:space="preserve">References</w:t>
      </w:r>
    </w:p>
    <w:bookmarkStart w:id="82"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hardinaSoilEnvironmentalSource1991"/>
    <w:p>
      <w:pPr>
        <w:pStyle w:val="Bibliography"/>
      </w:pPr>
      <w:r>
        <w:t xml:space="preserve">8.</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1"/>
    <w:bookmarkStart w:id="52" w:name="ref-gruberColiformBacteriaIndicators2014"/>
    <w:p>
      <w:pPr>
        <w:pStyle w:val="Bibliography"/>
      </w:pPr>
      <w:r>
        <w:t xml:space="preserve">9.</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ref-wolfImpactDrinkingWater2018"/>
    <w:p>
      <w:pPr>
        <w:pStyle w:val="Bibliography"/>
      </w:pPr>
      <w:r>
        <w:t xml:space="preserve">14.</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7"/>
    <w:bookmarkStart w:id="58" w:name="ref-wolfSystematicReviewAssessing2014"/>
    <w:p>
      <w:pPr>
        <w:pStyle w:val="Bibliography"/>
      </w:pPr>
      <w:r>
        <w:t xml:space="preserve">15.</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8"/>
    <w:bookmarkStart w:id="59" w:name="X87f5d590b5c270c56b4e3202109f869565456ab"/>
    <w:p>
      <w:pPr>
        <w:pStyle w:val="Bibliography"/>
      </w:pPr>
      <w:r>
        <w:t xml:space="preserve">16.</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59"/>
    <w:bookmarkStart w:id="60" w:name="ref-zouModifiedPoissonRegression2004"/>
    <w:p>
      <w:pPr>
        <w:pStyle w:val="Bibliography"/>
      </w:pPr>
      <w:r>
        <w:t xml:space="preserve">17.</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60"/>
    <w:bookmarkStart w:id="61" w:name="ref-freedmanSoCalledHuberSandwich2006"/>
    <w:p>
      <w:pPr>
        <w:pStyle w:val="Bibliography"/>
      </w:pPr>
      <w:r>
        <w:t xml:space="preserve">18.</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61"/>
    <w:bookmarkStart w:id="62" w:name="Xe164a29abfa864b85eee56d714229aa35a5dd09"/>
    <w:p>
      <w:pPr>
        <w:pStyle w:val="Bibliography"/>
      </w:pPr>
      <w:r>
        <w:t xml:space="preserve">19.</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X0d8fe7285a459ef2a123c0bbff98fb4aa7c6fc5"/>
    <w:p>
      <w:pPr>
        <w:pStyle w:val="Bibliography"/>
      </w:pPr>
      <w:r>
        <w:t xml:space="preserve">20.</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3"/>
    <w:bookmarkStart w:id="64" w:name="ref-d.o.oWeatherAtlasWeather"/>
    <w:p>
      <w:pPr>
        <w:pStyle w:val="Bibliography"/>
      </w:pPr>
      <w:r>
        <w:t xml:space="preserve">21.</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4"/>
    <w:bookmarkStart w:id="65" w:name="Xd9771f8024de563fa64d63e513a6f830a201a25"/>
    <w:p>
      <w:pPr>
        <w:pStyle w:val="Bibliography"/>
      </w:pPr>
      <w:r>
        <w:t xml:space="preserve">22.</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5"/>
    <w:bookmarkStart w:id="66" w:name="X82fdba8d1f9013a63e22e8c41ebdd02b8a8bf02"/>
    <w:p>
      <w:pPr>
        <w:pStyle w:val="Bibliography"/>
      </w:pPr>
      <w:r>
        <w:t xml:space="preserve">23.</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24.</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ref-reeseDesignRationaleMatched2017"/>
    <w:p>
      <w:pPr>
        <w:pStyle w:val="Bibliography"/>
      </w:pPr>
      <w:r>
        <w:t xml:space="preserve">25.</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8"/>
    <w:bookmarkStart w:id="69" w:name="Xd991f8dfcb33adf9c25dec389b3b0d8e33f406d"/>
    <w:p>
      <w:pPr>
        <w:pStyle w:val="Bibliography"/>
      </w:pPr>
      <w:r>
        <w:t xml:space="preserve">26.</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9"/>
    <w:bookmarkStart w:id="70" w:name="ref-georgeRandomizedControlledTrial2016"/>
    <w:p>
      <w:pPr>
        <w:pStyle w:val="Bibliography"/>
      </w:pPr>
      <w:r>
        <w:t xml:space="preserve">27.</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70"/>
    <w:bookmarkStart w:id="71" w:name="Xf2a03ad0ba8e597b78cac8eb44474a2515beb21"/>
    <w:p>
      <w:pPr>
        <w:pStyle w:val="Bibliography"/>
      </w:pPr>
      <w:r>
        <w:t xml:space="preserve">28.</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1"/>
    <w:bookmarkStart w:id="72" w:name="X9dcf9420471408d0f247188f0ab66b2bab98776"/>
    <w:p>
      <w:pPr>
        <w:pStyle w:val="Bibliography"/>
      </w:pPr>
      <w:r>
        <w:t xml:space="preserve">29.</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2"/>
    <w:bookmarkStart w:id="74" w:name="Xda33b900c79b319f16c7caa64a1c94f62a2b60d"/>
    <w:p>
      <w:pPr>
        <w:pStyle w:val="Bibliography"/>
      </w:pPr>
      <w:r>
        <w:t xml:space="preserve">30.</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73">
        <w:r>
          <w:rPr>
            <w:rStyle w:val="Hyperlink"/>
          </w:rPr>
          <w:t xml:space="preserve">10.1101/2020.09.29.318097</w:t>
        </w:r>
      </w:hyperlink>
      <w:r>
        <w:t xml:space="preserve">.</w:t>
      </w:r>
    </w:p>
    <w:bookmarkEnd w:id="74"/>
    <w:bookmarkStart w:id="75" w:name="ref-odagiriHumanFecalPathogen2016"/>
    <w:p>
      <w:pPr>
        <w:pStyle w:val="Bibliography"/>
      </w:pPr>
      <w:r>
        <w:t xml:space="preserve">31.</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5"/>
    <w:bookmarkStart w:id="76" w:name="X4d75251919f78b08ed84b8281d002c4332deee4"/>
    <w:p>
      <w:pPr>
        <w:pStyle w:val="Bibliography"/>
      </w:pPr>
      <w:r>
        <w:t xml:space="preserve">32.</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6"/>
    <w:bookmarkStart w:id="77" w:name="Xf9e2a4a9eb87275ea3c8190d2addb0f7bef699d"/>
    <w:p>
      <w:pPr>
        <w:pStyle w:val="Bibliography"/>
      </w:pPr>
      <w:r>
        <w:t xml:space="preserve">33.</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7"/>
    <w:bookmarkStart w:id="78" w:name="ref-holcombHumanFecalContamination2020"/>
    <w:p>
      <w:pPr>
        <w:pStyle w:val="Bibliography"/>
      </w:pPr>
      <w:r>
        <w:t xml:space="preserve">34.</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8"/>
    <w:bookmarkStart w:id="79" w:name="X2e43a284ff134b8493f2fd5f9cfcdbbe267edc7"/>
    <w:p>
      <w:pPr>
        <w:pStyle w:val="Bibliography"/>
      </w:pPr>
      <w:r>
        <w:t xml:space="preserve">35.</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9"/>
    <w:bookmarkStart w:id="80" w:name="ref-ercumenAnimalFecesContribute2017"/>
    <w:p>
      <w:pPr>
        <w:pStyle w:val="Bibliography"/>
      </w:pPr>
      <w:r>
        <w:t xml:space="preserve">36.</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0"/>
    <w:bookmarkStart w:id="81" w:name="ref-pickeringWASHBenefitsSHINE2019"/>
    <w:p>
      <w:pPr>
        <w:pStyle w:val="Bibliography"/>
      </w:pPr>
      <w:r>
        <w:t xml:space="preserve">37.</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1"/>
    <w:bookmarkEnd w:id="82"/>
    <w:bookmarkEnd w:id="8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yse" w:date="Date">
    <w:p>
      <w:pPr>
        <w:pStyle w:val="CommentText"/>
      </w:pPr>
      <w:r>
        <w:rPr>
          <w:rStyle w:val="CommentReference"/>
          <w:annotationRef/>
        </w:rPr>
      </w:r>
      <w:r>
        <w:t xml:space="preserve">Word count: 261, limit: 250. Will trim once finalized.</w:t>
      </w:r>
    </w:p>
  </w:comment>
  <w:comment w:id="1" w:author="Andrew" w:date="Date">
    <w:p>
      <w:pPr>
        <w:pStyle w:val="CommentText"/>
      </w:pPr>
      <w:r>
        <w:rPr>
          <w:rStyle w:val="CommentReference"/>
          <w:annotationRef/>
        </w:rPr>
      </w:r>
      <w:r>
        <w:t xml:space="preserve">Ayse, could you read over my draft attempt?</w:t>
      </w:r>
    </w:p>
  </w:comment>
  <w:comment w:id="2" w:author="Ayse" w:date="Date">
    <w:p>
      <w:pPr>
        <w:pStyle w:val="CommentText"/>
      </w:pPr>
      <w:r>
        <w:rPr>
          <w:rStyle w:val="CommentReference"/>
          <w:annotationRef/>
        </w:rPr>
      </w:r>
      <w:r>
        <w:t xml:space="preserve">Word count: 5005, limit: 3500. Will trim once finalized and/or identify sections that can go in SI.</w:t>
      </w:r>
    </w:p>
  </w:comment>
  <w:comment w:id="3" w:author="Andrew" w:date="Date">
    <w:p>
      <w:pPr>
        <w:pStyle w:val="CommentText"/>
      </w:pPr>
      <w:r>
        <w:rPr>
          <w:rStyle w:val="CommentReference"/>
          <w:annotationRef/>
        </w:rPr>
      </w:r>
      <w:r>
        <w:t xml:space="preserve">It seems like a fair amount of the systematic review, characteristics of included studies, and statistical analysis details can go in SI, and then those paragraphs could be cut down to bare-bones. Also, this is a small thing, but if we were comfortable just refering to studies by the primary author in the text, so Boehm instead of Boehm et al 2016, etc, that would greatly reduce word count.</w:t>
      </w:r>
    </w:p>
  </w:comment>
  <w:comment w:id="4" w:author="Andrew" w:date="Date">
    <w:p>
      <w:pPr>
        <w:pStyle w:val="CommentText"/>
      </w:pPr>
      <w:r>
        <w:rPr>
          <w:rStyle w:val="CommentReference"/>
          <w:annotationRef/>
        </w:rPr>
      </w:r>
      <w:r>
        <w:t xml:space="preserve">Ayse, there was a comment from Ollie to be more specific on study differences. Is this enough given space limitations, or add supplimentary table, or more detail to table 1, about study-specific settings? We do have citations to all studies for readers to read more aobut each.</w:t>
      </w:r>
    </w:p>
  </w:comment>
  <w:comment w:id="5" w:author="Andrew" w:date="Date">
    <w:p>
      <w:pPr>
        <w:pStyle w:val="CommentText"/>
      </w:pPr>
      <w:r>
        <w:rPr>
          <w:rStyle w:val="CommentReference"/>
          <w:annotationRef/>
        </w:rPr>
      </w:r>
      <w:r>
        <w:t xml:space="preserve">Ollie, you had a comment about saying we excluded this study, but we still included it because we still had individual sample data, though not compound-level data.</w:t>
      </w:r>
    </w:p>
  </w:comment>
  <w:comment w:id="6" w:author="Andrew" w:date="Date">
    <w:p>
      <w:pPr>
        <w:pStyle w:val="CommentText"/>
      </w:pPr>
      <w:r>
        <w:rPr>
          <w:rStyle w:val="CommentReference"/>
          <w:annotationRef/>
        </w:rPr>
      </w:r>
      <w:r>
        <w:t xml:space="preserve">Double check with the WBB date isses (which I think only impacted the health outcomes</w:t>
      </w:r>
    </w:p>
  </w:comment>
  <w:comment w:id="7" w:author="Andrew" w:date="Date">
    <w:p>
      <w:pPr>
        <w:pStyle w:val="CommentText"/>
      </w:pPr>
      <w:r>
        <w:rPr>
          <w:rStyle w:val="CommentReference"/>
          <w:annotationRef/>
        </w:rPr>
      </w:r>
      <w:r>
        <w:t xml:space="preserve">Note to co-authors. We welcome any suggestion on the figure designs throughout. We intentially allow for some of the wider confidence intervals to be cut off by the plot margins so that the differences between smaller RR (but more precise estimates) are more visible, but many consider this a bad practice.</w:t>
      </w:r>
    </w:p>
  </w:comment>
  <w:comment w:id="8" w:author="Andrew" w:date="Date">
    <w:p>
      <w:pPr>
        <w:pStyle w:val="CommentText"/>
      </w:pPr>
      <w:r>
        <w:rPr>
          <w:rStyle w:val="CommentReference"/>
          <w:annotationRef/>
        </w:rPr>
      </w:r>
      <w:r>
        <w:t xml:space="preserve">Ayse, can you check the Wash Benefits times after intervention deliveries, and also if the lab methods could have more detail added based on Ollie’s comment?</w:t>
      </w:r>
    </w:p>
  </w:comment>
  <w:comment w:id="9"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3"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 Id="rId74" Type="http://schemas.openxmlformats.org/officeDocument/2006/relationships/image" Target="media/file26e459203d30.png"/>
<Relationship Id="rId75" Type="http://schemas.openxmlformats.org/officeDocument/2006/relationships/image" Target="media/file26e459b9775b.png"/>
<Relationship Id="rId76" Type="http://schemas.openxmlformats.org/officeDocument/2006/relationships/image" Target="media/file26e4484d1e2.png"/>
<Relationship Id="rId77" Type="http://schemas.openxmlformats.org/officeDocument/2006/relationships/image" Target="media/file26e4eca7249.png"/>
<Relationship Id="rId78" Type="http://schemas.openxmlformats.org/officeDocument/2006/relationships/image" Target="media/file26e43b18735b.png"/>
<Relationship Id="rId79" Type="http://schemas.openxmlformats.org/officeDocument/2006/relationships/image" Target="media/file26e4639b5881.png"/>
<Relationship Id="rId80" Type="http://schemas.openxmlformats.org/officeDocument/2006/relationships/image" Target="media/file26e454aa14bf.png"/>
<Relationship Id="rId81" Type="http://schemas.openxmlformats.org/officeDocument/2006/relationships/image" Target="media/file26e476c97ad3.png"/>
<Relationship Id="rId82" Type="http://schemas.openxmlformats.org/officeDocument/2006/relationships/image" Target="media/file26e41ba81706.png"/>
<Relationship Id="rId83" Type="http://schemas.openxmlformats.org/officeDocument/2006/relationships/image" Target="media/file26e4103c38a3.png"/>
<Relationship Id="rId84" Type="http://schemas.openxmlformats.org/officeDocument/2006/relationships/image" Target="media/file26e44653044.png"/>
</Relationships>

</file>

<file path=word/_rels/footnotes.xml.rels><?xml version="1.0" encoding="UTF-8" standalone="yes"?>

<Relationships  xmlns="http://schemas.openxmlformats.org/package/2006/relationships">
<Relationship Id="rId73"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2021-08-20T04:26:12Z</dcterms:created>
  <dcterms:modified xsi:type="dcterms:W3CDTF">2021-08-19T21:26:12Z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