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352b58ff.png"/>
                    <a:srcRect/>
                    <a:stretch>
                      <a:fillRect/>
                    </a:stretch>
                  </pic:blipFill>
                  <pic:spPr bwMode="auto">
                    <a:xfrm>
                      <a:off x="0" y="0"/>
                      <a:ext cx="9144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xmlns:r="http://schemas.openxmlformats.org/officeDocument/2006/relationships">
          <wp:inline distT="0" distB="0" distL="0" distR="0">
            <wp:extent cx="658368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22d5c.png"/>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(0.68 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(0.87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xmlns:r="http://schemas.openxmlformats.org/officeDocument/2006/relationships">
          <wp:inline distT="0" distB="0" distL="0" distR="0">
            <wp:extent cx="6583680" cy="9144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d164643.png"/>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S2.</w:t>
      </w:r>
      <w:r>
        <w:t xml:space="preserve"> </w:t>
      </w:r>
      <w:r>
        <w:t xml:space="preserve">Forest plots of intervention effects on the prevalence of specific pathogens.</w:t>
      </w:r>
    </w:p>
    <w:p>
      <w:pPr>
        <w:jc w:val="center"/>
        <w:pStyle w:val="Figure"/>
      </w:pPr>
      <w:r>
        <w:rPr/>
        <w:drawing xmlns:r="http://schemas.openxmlformats.org/officeDocument/2006/relationships">
          <wp:inline distT="0" distB="0" distL="0" distR="0">
            <wp:extent cx="6583680" cy="82296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7f5a5c93.png"/>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the prevalence of specific MST markers.</w:t>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25f0b41.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40f51b3e.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404b7dd8.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74134410.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7e711c04.png"/>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S4.</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20a393f.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75b667ac.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2ea47243.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S7.</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c61422f.png"/>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yq9pUG\file414aed3374.png"/>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S9.</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2022-12-06T23:14:07Z</dcterms:created>
  <dcterms:modified xsi:type="dcterms:W3CDTF">2022-12-06T23:14:07Z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