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faecal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H</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wp:inline distT="0" distB="0" distL="0" distR="0">
            <wp:extent cx="6583680" cy="64008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9"/>
                    <a:srcRect/>
                    <a:stretch>
                      <a:fillRect/>
                    </a:stretch>
                  </pic:blipFill>
                  <pic:spPr bwMode="auto">
                    <a:xfrm>
                      <a:off x="0" y="0"/>
                      <a:ext cx="9144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WASH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wp:inline distT="0" distB="0" distL="0" distR="0">
            <wp:extent cx="658368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0"/>
                    <a:srcRect/>
                    <a:stretch>
                      <a:fillRect/>
                    </a:stretch>
                  </pic:blipFill>
                  <pic:spPr bwMode="auto">
                    <a:xfrm>
                      <a:off x="0" y="0"/>
                      <a:ext cx="91440" cy="63500"/>
                    </a:xfrm>
                    <a:prstGeom prst="rect">
                      <a:avLst/>
                    </a:prstGeom>
                    <a:noFill/>
                  </pic:spPr>
                </pic:pic>
              </a:graphicData>
            </a:graphic>
          </wp:inline>
        </w:drawing>
      </w:r>
    </w:p>
    <w:p>
      <w:pPr>
        <w:pStyle w:val="BodyText"/>
      </w:pPr>
      <w:r>
        <w:rPr>
          <w:bCs/>
          <w:b/>
        </w:rPr>
        <w:t xml:space="preserve">Figure 2.</w:t>
      </w:r>
      <w:r>
        <w:t xml:space="preserve"> </w:t>
      </w:r>
      <w:r>
        <w:t xml:space="preserve">Forest plots of WASH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14="http://schemas.microsoft.com/office/word/2010/wordml">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14="http://schemas.microsoft.com/office/word/2010/wordml">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0.65 (0.33 1.28)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0.73 (0.36 1.48)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0.97 (0.68 1.38)</w:t>
            </w:r>
            <w:r>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0.54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w:rPr>
                <w:rFonts w:ascii="Arial" w:hAnsi="Arial" w:eastAsia="Arial" w:cs="Arial"/>
                <w:sz w:val="16"/>
                <w:szCs w:val="16"/>
                <w:color w:val="000000"/>
              </w:rPr>
              <w:t xml:space="preserve">1.22 (0.87 1.71)</w:t>
            </w:r>
            <w:r>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w:rPr>
                <w:rFonts w:ascii="Arial" w:hAnsi="Arial" w:eastAsia="Arial" w:cs="Arial"/>
                <w:sz w:val="16"/>
                <w:szCs w:val="16"/>
                <w:color w:val="000000"/>
              </w:rPr>
              <w:t xml:space="preserve">0.17</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wp:inline distT="0" distB="0" distL="0" distR="0">
            <wp:extent cx="6583680" cy="91440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1"/>
                    <a:srcRect/>
                    <a:stretch>
                      <a:fillRect/>
                    </a:stretch>
                  </pic:blipFill>
                  <pic:spPr bwMode="auto">
                    <a:xfrm>
                      <a:off x="0" y="0"/>
                      <a:ext cx="91440" cy="127000"/>
                    </a:xfrm>
                    <a:prstGeom prst="rect">
                      <a:avLst/>
                    </a:prstGeom>
                    <a:noFill/>
                  </pic:spPr>
                </pic:pic>
              </a:graphicData>
            </a:graphic>
          </wp:inline>
        </w:drawing>
      </w:r>
    </w:p>
    <w:p>
      <w:pPr>
        <w:pStyle w:val="FirstParagraph"/>
      </w:pPr>
      <w:r>
        <w:rPr>
          <w:bCs/>
          <w:b/>
        </w:rPr>
        <w:t xml:space="preserve">Figure S2.</w:t>
      </w:r>
      <w:r>
        <w:t xml:space="preserve"> </w:t>
      </w:r>
      <w:r>
        <w:t xml:space="preserve">Forest plots of intervention effects on the prevalence of specific pathogens.</w:t>
      </w:r>
    </w:p>
    <w:p>
      <w:pPr>
        <w:jc w:val="center"/>
        <w:pStyle w:val="Figure"/>
      </w:pPr>
      <w:r>
        <w:rPr/>
        <w:drawing>
          <wp:inline distT="0" distB="0" distL="0" distR="0">
            <wp:extent cx="6583680" cy="8229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2"/>
                    <a:srcRect/>
                    <a:stretch>
                      <a:fillRect/>
                    </a:stretch>
                  </pic:blipFill>
                  <pic:spPr bwMode="auto">
                    <a:xfrm>
                      <a:off x="0" y="0"/>
                      <a:ext cx="91440" cy="1143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the prevalence of specific MST markers.</w:t>
      </w:r>
    </w:p>
    <w:p>
      <w:pPr>
        <w:jc w:val="center"/>
        <w:pStyle w:val="Figure"/>
      </w:pPr>
      <w:r>
        <w:rPr/>
        <w:drawing>
          <wp:inline distT="0" distB="0" distL="0" distR="0">
            <wp:extent cx="6583680" cy="27432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3"/>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4"/>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5"/>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6"/>
                    <a:srcRect/>
                    <a:stretch>
                      <a:fillRect/>
                    </a:stretch>
                  </pic:blipFill>
                  <pic:spPr bwMode="auto">
                    <a:xfrm>
                      <a:off x="0" y="0"/>
                      <a:ext cx="91440" cy="38100"/>
                    </a:xfrm>
                    <a:prstGeom prst="rect">
                      <a:avLst/>
                    </a:prstGeom>
                    <a:noFill/>
                  </pic:spPr>
                </pic:pic>
              </a:graphicData>
            </a:graphic>
          </wp:inline>
        </w:drawing>
      </w:r>
    </w:p>
    <w:p>
      <w:pPr>
        <w:jc w:val="center"/>
        <w:pStyle w:val="Figure"/>
      </w:pPr>
      <w:r>
        <w:rPr/>
        <w:drawing>
          <wp:inline distT="0" distB="0" distL="0" distR="0">
            <wp:extent cx="6583680" cy="2743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17"/>
                    <a:srcRect/>
                    <a:stretch>
                      <a:fillRect/>
                    </a:stretch>
                  </pic:blipFill>
                  <pic:spPr bwMode="auto">
                    <a:xfrm>
                      <a:off x="0" y="0"/>
                      <a:ext cx="91440" cy="38100"/>
                    </a:xfrm>
                    <a:prstGeom prst="rect">
                      <a:avLst/>
                    </a:prstGeom>
                    <a:noFill/>
                  </pic:spPr>
                </pic:pic>
              </a:graphicData>
            </a:graphic>
          </wp:inline>
        </w:drawing>
      </w:r>
    </w:p>
    <w:p>
      <w:pPr>
        <w:pStyle w:val="BodyText"/>
      </w:pPr>
      <w:r>
        <w:rPr>
          <w:bCs/>
          <w:b/>
        </w:rPr>
        <w:t xml:space="preserve">Figure S4.</w:t>
      </w:r>
      <w:r>
        <w:t xml:space="preserve"> </w:t>
      </w:r>
      <w:r>
        <w:t xml:space="preserve">Distributions of abundance outcomes. The X-axes are displayed on the log-10 scale. Black vertical lines mark the means, and dashed lines mark the medians. Values below the limit of detection were imputed with with half the limit of detection and values below the limit of quantification were imputed with the midpoint between the limits of detections and quantification, leading to some bimodal distributions.</w:t>
      </w:r>
    </w:p>
    <w:p>
      <w:pPr>
        <w:jc w:val="center"/>
        <w:pStyle w:val="Figure"/>
      </w:pPr>
      <w:r>
        <w:rPr/>
        <w:drawing>
          <wp:inline distT="0" distB="0" distL="0" distR="0">
            <wp:extent cx="6583680" cy="54864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18"/>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S5.</w:t>
      </w:r>
    </w:p>
    <w:p>
      <w:pPr>
        <w:pStyle w:val="BodyText"/>
      </w:pPr>
      <w:r>
        <w:t xml:space="preserve">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S6.</w:t>
      </w:r>
      <w:r>
        <w:t xml:space="preserve"> </w:t>
      </w:r>
      <w:r>
        <w:t xml:space="preserve">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pPr>
        <w:pStyle w:val="BodyText"/>
      </w:pPr>
      <w:r>
        <w:rPr>
          <w:bCs/>
          <w:b/>
        </w:rPr>
        <w:t xml:space="preserve">Figure S7.</w:t>
      </w:r>
      <w:r>
        <w:t xml:space="preserve"> </w:t>
      </w:r>
      <w:r>
        <w:t xml:space="preserve">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 Grey crossed points denote data that were too sparse to estimate a prevalence ratio (i.e., &lt;10 positive observations).</w:t>
      </w:r>
    </w:p>
    <w:p>
      <w:pPr>
        <w:jc w:val="center"/>
        <w:pStyle w:val="Figure"/>
      </w:pPr>
      <w:r>
        <w:rPr/>
        <w:drawing>
          <wp:inline distT="0" distB="0" distL="0" distR="0">
            <wp:extent cx="6583680" cy="64008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21"/>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pPr>
        <w:jc w:val="center"/>
        <w:pStyle w:val="Figure"/>
      </w:pPr>
      <w:r>
        <w:rPr/>
        <w:drawing>
          <wp:inline distT="0" distB="0" distL="0" distR="0">
            <wp:extent cx="6583680" cy="64008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2"/>
                    <a:srcRect/>
                    <a:stretch>
                      <a:fillRect/>
                    </a:stretch>
                  </pic:blipFill>
                  <pic:spPr bwMode="auto">
                    <a:xfrm>
                      <a:off x="0" y="0"/>
                      <a:ext cx="91440" cy="88900"/>
                    </a:xfrm>
                    <a:prstGeom prst="rect">
                      <a:avLst/>
                    </a:prstGeom>
                    <a:noFill/>
                  </pic:spPr>
                </pic:pic>
              </a:graphicData>
            </a:graphic>
          </wp:inline>
        </w:drawing>
      </w:r>
    </w:p>
    <w:p>
      <w:pPr>
        <w:pStyle w:val="BodyText"/>
      </w:pPr>
      <w:r>
        <w:rPr>
          <w:bCs/>
          <w:b/>
        </w:rPr>
        <w:t xml:space="preserve">Figure S9.</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p>
    <w:bookmarkEnd w:id="24"/>
    <w:sectPr>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432437520" w:numId="1">
    <w:abstractNumId w:val="13"/>
  </w:num>
  <w:num w16cid:durableId="862520574" w:numId="2">
    <w:abstractNumId w:val="12"/>
  </w:num>
  <w:num w16cid:durableId="1970935980" w:numId="3">
    <w:abstractNumId w:val="12"/>
  </w:num>
  <w:num w16cid:durableId="844366100" w:numId="4">
    <w:abstractNumId w:val="12"/>
  </w:num>
  <w:num w16cid:durableId="1064067761" w:numId="5">
    <w:abstractNumId w:val="12"/>
  </w:num>
  <w:num w16cid:durableId="1971551114" w:numId="6">
    <w:abstractNumId w:val="12"/>
  </w:num>
  <w:num w16cid:durableId="434011637" w:numId="7">
    <w:abstractNumId w:val="12"/>
  </w:num>
  <w:num w16cid:durableId="2091997373" w:numId="8">
    <w:abstractNumId w:val="12"/>
  </w:num>
  <w:num w16cid:durableId="1874614058" w:numId="9">
    <w:abstractNumId w:val="12"/>
  </w:num>
  <w:num w16cid:durableId="732852027" w:numId="10">
    <w:abstractNumId w:val="12"/>
  </w:num>
  <w:num w16cid:durableId="1922445938" w:numId="11">
    <w:abstractNumId w:val="12"/>
  </w:num>
  <w:num w16cid:durableId="184443622" w:numId="12">
    <w:abstractNumId w:val="0"/>
  </w:num>
  <w:num w16cid:durableId="659507044" w:numId="13">
    <w:abstractNumId w:val="10"/>
  </w:num>
  <w:num w16cid:durableId="1301810914" w:numId="14">
    <w:abstractNumId w:val="8"/>
  </w:num>
  <w:num w16cid:durableId="886258080" w:numId="15">
    <w:abstractNumId w:val="7"/>
  </w:num>
  <w:num w16cid:durableId="540435429" w:numId="16">
    <w:abstractNumId w:val="6"/>
  </w:num>
  <w:num w16cid:durableId="1127161648" w:numId="17">
    <w:abstractNumId w:val="5"/>
  </w:num>
  <w:num w16cid:durableId="1901748209" w:numId="18">
    <w:abstractNumId w:val="9"/>
  </w:num>
  <w:num w16cid:durableId="1049647443" w:numId="19">
    <w:abstractNumId w:val="4"/>
  </w:num>
  <w:num w16cid:durableId="1932469596" w:numId="20">
    <w:abstractNumId w:val="3"/>
  </w:num>
  <w:num w16cid:durableId="1599605182" w:numId="21">
    <w:abstractNumId w:val="2"/>
  </w:num>
  <w:num w16cid:durableId="713844817" w:numId="22">
    <w:abstractNumId w:val="1"/>
  </w:num>
  <w:num w16cid:durableId="1866168419" w:numId="23">
    <w:abstractNumId w:val="14"/>
  </w:num>
  <w:num w16cid:durableId="90325248" w:numId="24">
    <w:abstractNumId w:val="11"/>
  </w:num>
  <w:num w16cid:durableId="1082141776"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 w:styleId="PlaceholderText" w:type="character">
    <w:name w:val="Placeholder Text"/>
    <w:basedOn w:val="DefaultParagraphFont"/>
    <w:semiHidden/>
    <w:rsid w:val="00A91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6d2c4b257b25.png"/>
<Relationship Id="rId10" Type="http://schemas.openxmlformats.org/officeDocument/2006/relationships/image" Target="media/file6d2c1f8d7c1a.png"/>
<Relationship Id="rId11" Type="http://schemas.openxmlformats.org/officeDocument/2006/relationships/image" Target="media/file6d2c3f8e6af.png"/>
<Relationship Id="rId12" Type="http://schemas.openxmlformats.org/officeDocument/2006/relationships/image" Target="media/file6d2cb586210.png"/>
<Relationship Id="rId13" Type="http://schemas.openxmlformats.org/officeDocument/2006/relationships/image" Target="media/file6d2c3ac3483.png"/>
<Relationship Id="rId14" Type="http://schemas.openxmlformats.org/officeDocument/2006/relationships/image" Target="media/file6d2c66fc4928.png"/>
<Relationship Id="rId15" Type="http://schemas.openxmlformats.org/officeDocument/2006/relationships/image" Target="media/file6d2c7cac6d18.png"/>
<Relationship Id="rId16" Type="http://schemas.openxmlformats.org/officeDocument/2006/relationships/image" Target="media/file6d2c272b662b.png"/>
<Relationship Id="rId17" Type="http://schemas.openxmlformats.org/officeDocument/2006/relationships/image" Target="media/file6d2c5bfd5923.png"/>
<Relationship Id="rId18" Type="http://schemas.openxmlformats.org/officeDocument/2006/relationships/image" Target="media/file6d2c58ee621b.png"/>
<Relationship Id="rId19" Type="http://schemas.openxmlformats.org/officeDocument/2006/relationships/image" Target="media/file6d2c6804795f.png"/>
<Relationship Id="rId20" Type="http://schemas.openxmlformats.org/officeDocument/2006/relationships/image" Target="media/file6d2c4ff3501a.png"/>
<Relationship Id="rId21" Type="http://schemas.openxmlformats.org/officeDocument/2006/relationships/image" Target="media/file6d2c3d126b89.png"/>
<Relationship Id="rId22" Type="http://schemas.openxmlformats.org/officeDocument/2006/relationships/image" Target="media/file6d2cf283a8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Effects of water, sanitation, and hygiene interventions on detection of enteropathogens and host-specific faecal markers in the environment: an individual-participant data meta-analysis</dc:title>
  <dc:creator>Andrew Mertens, Benjamin F. Arnold, Jade Benjamin-Chung, Alexandria Boehm, Joe Brown, Drew Capone, Thomas Clasen, Erica Fuhrmeister, Jessica Grembi, David Holcomb, Jackie Knee, Laura H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2022-12-06T23:14:50Z</dcterms:created>
  <dcterms:modified xsi:type="dcterms:W3CDTF">2022-12-06T15:14:51Z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