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7945" w14:textId="77777777" w:rsidR="003C2175" w:rsidRDefault="00855D45" w:rsidP="00236DDF">
      <w:pPr>
        <w:pStyle w:val="Title"/>
        <w:ind w:firstLine="0"/>
        <w:jc w:val="left"/>
      </w:pPr>
      <w:r>
        <w:t>Effect of water, sanitation, and hygiene interventions on enteropathogen detection in the environment: an individual-data meta-analysis</w:t>
      </w:r>
    </w:p>
    <w:p w14:paraId="6B37DB89" w14:textId="77777777" w:rsidR="00236DDF" w:rsidRDefault="00236DDF" w:rsidP="00236DDF">
      <w:pPr>
        <w:pStyle w:val="Author"/>
        <w:jc w:val="left"/>
      </w:pPr>
    </w:p>
    <w:p w14:paraId="009306D8" w14:textId="77777777" w:rsidR="003C2175" w:rsidRDefault="00855D45" w:rsidP="00236DDF">
      <w:pPr>
        <w:pStyle w:val="Heading2"/>
      </w:pPr>
      <w:bookmarkStart w:id="0" w:name="figures"/>
      <w:r>
        <w:t>Figures</w:t>
      </w:r>
    </w:p>
    <w:p w14:paraId="237A420B" w14:textId="77777777" w:rsidR="003C2175" w:rsidRDefault="00855D45" w:rsidP="00236DDF">
      <w:pPr>
        <w:pStyle w:val="Figure"/>
      </w:pPr>
      <w:r>
        <w:rPr>
          <w:noProof/>
        </w:rPr>
        <w:drawing>
          <wp:inline distT="0" distB="0" distL="0" distR="0" wp14:anchorId="17223160" wp14:editId="15CCE959">
            <wp:extent cx="59436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82550" cy="88900"/>
                    </a:xfrm>
                    <a:prstGeom prst="rect">
                      <a:avLst/>
                    </a:prstGeom>
                    <a:noFill/>
                  </pic:spPr>
                </pic:pic>
              </a:graphicData>
            </a:graphic>
          </wp:inline>
        </w:drawing>
      </w:r>
    </w:p>
    <w:p w14:paraId="244474F8" w14:textId="77777777" w:rsidR="003C2175" w:rsidRDefault="00855D45" w:rsidP="00236DDF">
      <w:pPr>
        <w:pStyle w:val="FirstParagraph"/>
      </w:pPr>
      <w:r>
        <w:rPr>
          <w:b/>
          <w:bCs/>
        </w:rPr>
        <w:t>Figure 1.</w:t>
      </w:r>
      <w:r>
        <w:t xml:space="preserve"> Forest plots of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14:paraId="71480C52" w14:textId="0C6F422C" w:rsidR="003C2175" w:rsidRDefault="003C2175" w:rsidP="00236DDF">
      <w:pPr>
        <w:pStyle w:val="Figure"/>
      </w:pPr>
    </w:p>
    <w:p w14:paraId="48BFAF87" w14:textId="6FF9078E" w:rsidR="001F4C83" w:rsidRDefault="001F4C83" w:rsidP="00236DDF">
      <w:pPr>
        <w:pStyle w:val="Figure"/>
      </w:pPr>
      <w:r>
        <w:rPr>
          <w:noProof/>
        </w:rPr>
        <w:drawing>
          <wp:inline distT="0" distB="0" distL="0" distR="0" wp14:anchorId="3FA3D6C3" wp14:editId="0B72BA34">
            <wp:extent cx="5943600" cy="45720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pic:cNvPicPr>
                  </pic:nvPicPr>
                  <pic:blipFill>
                    <a:blip r:embed="rId8"/>
                    <a:srcRect/>
                    <a:stretch>
                      <a:fillRect/>
                    </a:stretch>
                  </pic:blipFill>
                  <pic:spPr bwMode="auto">
                    <a:xfrm>
                      <a:off x="0" y="0"/>
                      <a:ext cx="5943600" cy="4572000"/>
                    </a:xfrm>
                    <a:prstGeom prst="rect">
                      <a:avLst/>
                    </a:prstGeom>
                    <a:noFill/>
                  </pic:spPr>
                </pic:pic>
              </a:graphicData>
            </a:graphic>
          </wp:inline>
        </w:drawing>
      </w:r>
    </w:p>
    <w:p w14:paraId="740D8D26" w14:textId="74548628" w:rsidR="003C2175" w:rsidRDefault="00855D45" w:rsidP="00236DDF">
      <w:pPr>
        <w:pStyle w:val="BodyText"/>
      </w:pPr>
      <w:r>
        <w:rPr>
          <w:b/>
          <w:bCs/>
        </w:rPr>
        <w:t>Figure 2.</w:t>
      </w:r>
      <w:r>
        <w:t xml:space="preserve"> Forest plots of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14:paraId="69AB9AE6" w14:textId="67400E90" w:rsidR="001F4C83" w:rsidRDefault="001F4C83" w:rsidP="00236DDF">
      <w:pPr>
        <w:pStyle w:val="BodyText"/>
      </w:pPr>
    </w:p>
    <w:p w14:paraId="1F7B92B1" w14:textId="32CF0FB3" w:rsidR="001F4C83" w:rsidRDefault="001F4C83" w:rsidP="00236DDF">
      <w:pPr>
        <w:pStyle w:val="BodyText"/>
      </w:pPr>
    </w:p>
    <w:p w14:paraId="4C9A191F" w14:textId="413B18B0" w:rsidR="001F4C83" w:rsidRDefault="001F4C83" w:rsidP="00236DDF">
      <w:pPr>
        <w:pStyle w:val="BodyText"/>
      </w:pPr>
    </w:p>
    <w:p w14:paraId="132EEDBC" w14:textId="4BE78189" w:rsidR="001F4C83" w:rsidRDefault="001F4C83" w:rsidP="00236DDF">
      <w:pPr>
        <w:pStyle w:val="BodyText"/>
      </w:pPr>
    </w:p>
    <w:p w14:paraId="0B61553E" w14:textId="5697F1E2" w:rsidR="001F4C83" w:rsidRDefault="001F4C83" w:rsidP="00236DDF">
      <w:pPr>
        <w:pStyle w:val="BodyText"/>
      </w:pPr>
    </w:p>
    <w:p w14:paraId="1E27417F" w14:textId="21BA72FB" w:rsidR="001F4C83" w:rsidRDefault="001F4C83" w:rsidP="00236DDF">
      <w:pPr>
        <w:pStyle w:val="BodyText"/>
      </w:pPr>
    </w:p>
    <w:p w14:paraId="08D9DB7B" w14:textId="061E21B7" w:rsidR="001F4C83" w:rsidRDefault="001F4C83" w:rsidP="00236DDF">
      <w:pPr>
        <w:pStyle w:val="BodyText"/>
      </w:pPr>
    </w:p>
    <w:p w14:paraId="4D002D4A" w14:textId="3983DC42" w:rsidR="001F4C83" w:rsidRDefault="001F4C83" w:rsidP="00236DDF">
      <w:pPr>
        <w:pStyle w:val="BodyText"/>
      </w:pPr>
    </w:p>
    <w:p w14:paraId="12A59AD5" w14:textId="4FB92C34" w:rsidR="001F4C83" w:rsidRDefault="001F4C83" w:rsidP="00236DDF">
      <w:pPr>
        <w:pStyle w:val="BodyText"/>
      </w:pPr>
    </w:p>
    <w:p w14:paraId="0DE1A767" w14:textId="24DFCC19" w:rsidR="001F4C83" w:rsidRDefault="001F4C83" w:rsidP="00236DDF">
      <w:pPr>
        <w:pStyle w:val="BodyText"/>
      </w:pPr>
    </w:p>
    <w:p w14:paraId="38A59EF8" w14:textId="44D0594C" w:rsidR="001F4C83" w:rsidRDefault="001F4C83" w:rsidP="00236DDF">
      <w:pPr>
        <w:pStyle w:val="BodyText"/>
      </w:pPr>
    </w:p>
    <w:p w14:paraId="07FEA436" w14:textId="77777777" w:rsidR="001F4C83" w:rsidRDefault="001F4C83" w:rsidP="00236DDF">
      <w:pPr>
        <w:pStyle w:val="BodyText"/>
      </w:pPr>
    </w:p>
    <w:p w14:paraId="4EEE58CC" w14:textId="77777777" w:rsidR="001F4C83" w:rsidRDefault="001F4C83">
      <w:pPr>
        <w:ind w:firstLine="0"/>
        <w:jc w:val="both"/>
        <w:sectPr w:rsidR="001F4C83" w:rsidSect="001F4C83">
          <w:type w:val="continuous"/>
          <w:pgSz w:w="11952" w:h="16848"/>
          <w:pgMar w:top="720" w:right="720" w:bottom="720" w:left="720" w:header="720" w:footer="720" w:gutter="720"/>
          <w:cols w:space="720"/>
          <w:docGrid w:linePitch="299"/>
        </w:sectPr>
      </w:pPr>
    </w:p>
    <w:p w14:paraId="6ED4626E" w14:textId="06FF2FE8" w:rsidR="001F4C83" w:rsidRDefault="001F4C83" w:rsidP="001F4C83">
      <w:pPr>
        <w:ind w:firstLine="0"/>
        <w:jc w:val="both"/>
      </w:pPr>
    </w:p>
    <w:p w14:paraId="46ECEDDB" w14:textId="77777777" w:rsidR="003C2175" w:rsidRDefault="00855D45" w:rsidP="00236DDF">
      <w:pPr>
        <w:pStyle w:val="Heading2"/>
      </w:pPr>
      <w:bookmarkStart w:id="1" w:name="tables"/>
      <w:bookmarkEnd w:id="0"/>
      <w:r>
        <w:t>Tables</w:t>
      </w:r>
    </w:p>
    <w:p w14:paraId="0A6DB890" w14:textId="77777777" w:rsidR="003C2175" w:rsidRDefault="00855D45" w:rsidP="00236DDF">
      <w:pPr>
        <w:pStyle w:val="Heading3"/>
      </w:pPr>
      <w:bookmarkStart w:id="2" w:name="X0509451d6f27075d3d07957585de84de07ead4a"/>
      <w:r>
        <w:t>Table 1. Characteristics of included publications</w:t>
      </w:r>
    </w:p>
    <w:tbl>
      <w:tblPr>
        <w:tblW w:w="0" w:type="auto"/>
        <w:jc w:val="center"/>
        <w:tblLayout w:type="fixed"/>
        <w:tblLook w:val="0420" w:firstRow="1" w:lastRow="0" w:firstColumn="0" w:lastColumn="0" w:noHBand="0" w:noVBand="1"/>
      </w:tblPr>
      <w:tblGrid>
        <w:gridCol w:w="688"/>
        <w:gridCol w:w="790"/>
        <w:gridCol w:w="1269"/>
        <w:gridCol w:w="1330"/>
        <w:gridCol w:w="518"/>
        <w:gridCol w:w="589"/>
        <w:gridCol w:w="1967"/>
        <w:gridCol w:w="1669"/>
        <w:gridCol w:w="716"/>
        <w:gridCol w:w="543"/>
      </w:tblGrid>
      <w:tr w:rsidR="003C2175" w14:paraId="2CD1B7F7" w14:textId="77777777">
        <w:trPr>
          <w:cantSplit/>
          <w:tblHeader/>
          <w:jc w:val="center"/>
        </w:trPr>
        <w:tc>
          <w:tcPr>
            <w:tcW w:w="6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E4E2329"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Parent study</w:t>
            </w:r>
          </w:p>
        </w:tc>
        <w:tc>
          <w:tcPr>
            <w:tcW w:w="7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A7B43D"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Study design</w:t>
            </w:r>
          </w:p>
        </w:tc>
        <w:tc>
          <w:tcPr>
            <w:tcW w:w="12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BA418E"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Intervention</w:t>
            </w:r>
          </w:p>
        </w:tc>
        <w:tc>
          <w:tcPr>
            <w:tcW w:w="133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71C3AC"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Time between intervention and environmental sampling</w:t>
            </w:r>
          </w:p>
        </w:tc>
        <w:tc>
          <w:tcPr>
            <w:tcW w:w="5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6C6437"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Location</w:t>
            </w:r>
          </w:p>
        </w:tc>
        <w:tc>
          <w:tcPr>
            <w:tcW w:w="5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4D7DCE"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Author/ year</w:t>
            </w:r>
          </w:p>
        </w:tc>
        <w:tc>
          <w:tcPr>
            <w:tcW w:w="1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E009EC"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Sample types</w:t>
            </w:r>
          </w:p>
        </w:tc>
        <w:tc>
          <w:tcPr>
            <w:tcW w:w="16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2E98484"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Targets</w:t>
            </w:r>
          </w:p>
        </w:tc>
        <w:tc>
          <w:tcPr>
            <w:tcW w:w="71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8D975E"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Analytic method</w:t>
            </w:r>
          </w:p>
        </w:tc>
        <w:tc>
          <w:tcPr>
            <w:tcW w:w="54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F4BBB4"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Number of samples</w:t>
            </w:r>
          </w:p>
        </w:tc>
      </w:tr>
      <w:tr w:rsidR="003C2175" w14:paraId="2DFAA58E" w14:textId="77777777">
        <w:trPr>
          <w:cantSplit/>
          <w:jc w:val="center"/>
        </w:trPr>
        <w:tc>
          <w:tcPr>
            <w:tcW w:w="688" w:type="dxa"/>
            <w:tcBorders>
              <w:bottom w:val="single" w:sz="4" w:space="0" w:color="666666"/>
            </w:tcBorders>
            <w:shd w:val="clear" w:color="auto" w:fill="FFFFFF"/>
            <w:tcMar>
              <w:top w:w="0" w:type="dxa"/>
              <w:left w:w="0" w:type="dxa"/>
              <w:bottom w:w="0" w:type="dxa"/>
              <w:right w:w="0" w:type="dxa"/>
            </w:tcMar>
            <w:vAlign w:val="center"/>
          </w:tcPr>
          <w:p w14:paraId="048B54D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WASH Benefits Bangladesh</w:t>
            </w:r>
          </w:p>
        </w:tc>
        <w:tc>
          <w:tcPr>
            <w:tcW w:w="790" w:type="dxa"/>
            <w:tcBorders>
              <w:bottom w:val="single" w:sz="4" w:space="0" w:color="666666"/>
            </w:tcBorders>
            <w:shd w:val="clear" w:color="auto" w:fill="FFFFFF"/>
            <w:tcMar>
              <w:top w:w="0" w:type="dxa"/>
              <w:left w:w="0" w:type="dxa"/>
              <w:bottom w:w="0" w:type="dxa"/>
              <w:right w:w="0" w:type="dxa"/>
            </w:tcMar>
            <w:vAlign w:val="center"/>
          </w:tcPr>
          <w:p w14:paraId="7041F12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Cluster-randomized trial</w:t>
            </w:r>
          </w:p>
        </w:tc>
        <w:tc>
          <w:tcPr>
            <w:tcW w:w="1269" w:type="dxa"/>
            <w:tcBorders>
              <w:bottom w:val="single" w:sz="4" w:space="0" w:color="666666"/>
            </w:tcBorders>
            <w:shd w:val="clear" w:color="auto" w:fill="FFFFFF"/>
            <w:tcMar>
              <w:top w:w="0" w:type="dxa"/>
              <w:left w:w="0" w:type="dxa"/>
              <w:bottom w:w="0" w:type="dxa"/>
              <w:right w:w="0" w:type="dxa"/>
            </w:tcMar>
            <w:vAlign w:val="center"/>
          </w:tcPr>
          <w:p w14:paraId="2CCE32F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330" w:type="dxa"/>
            <w:tcBorders>
              <w:bottom w:val="single" w:sz="4" w:space="0" w:color="666666"/>
            </w:tcBorders>
            <w:shd w:val="clear" w:color="auto" w:fill="FFFFFF"/>
            <w:tcMar>
              <w:top w:w="0" w:type="dxa"/>
              <w:left w:w="0" w:type="dxa"/>
              <w:bottom w:w="0" w:type="dxa"/>
              <w:right w:w="0" w:type="dxa"/>
            </w:tcMar>
            <w:vAlign w:val="center"/>
          </w:tcPr>
          <w:p w14:paraId="7D865C6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4 months</w:t>
            </w:r>
          </w:p>
        </w:tc>
        <w:tc>
          <w:tcPr>
            <w:tcW w:w="518" w:type="dxa"/>
            <w:tcBorders>
              <w:bottom w:val="single" w:sz="4" w:space="0" w:color="666666"/>
            </w:tcBorders>
            <w:shd w:val="clear" w:color="auto" w:fill="FFFFFF"/>
            <w:tcMar>
              <w:top w:w="0" w:type="dxa"/>
              <w:left w:w="0" w:type="dxa"/>
              <w:bottom w:w="0" w:type="dxa"/>
              <w:right w:w="0" w:type="dxa"/>
            </w:tcMar>
            <w:vAlign w:val="center"/>
          </w:tcPr>
          <w:p w14:paraId="26932B5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Rural Bangladesh</w:t>
            </w:r>
          </w:p>
        </w:tc>
        <w:tc>
          <w:tcPr>
            <w:tcW w:w="589" w:type="dxa"/>
            <w:tcBorders>
              <w:bottom w:val="single" w:sz="4" w:space="0" w:color="666666"/>
            </w:tcBorders>
            <w:shd w:val="clear" w:color="auto" w:fill="FFFFFF"/>
            <w:tcMar>
              <w:top w:w="0" w:type="dxa"/>
              <w:left w:w="0" w:type="dxa"/>
              <w:bottom w:w="0" w:type="dxa"/>
              <w:right w:w="0" w:type="dxa"/>
            </w:tcMar>
            <w:vAlign w:val="center"/>
          </w:tcPr>
          <w:p w14:paraId="76F184E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Boehm et al. 2016 </w:t>
            </w:r>
          </w:p>
        </w:tc>
        <w:tc>
          <w:tcPr>
            <w:tcW w:w="1967" w:type="dxa"/>
            <w:tcBorders>
              <w:bottom w:val="single" w:sz="4" w:space="0" w:color="666666"/>
            </w:tcBorders>
            <w:shd w:val="clear" w:color="auto" w:fill="FFFFFF"/>
            <w:tcMar>
              <w:top w:w="0" w:type="dxa"/>
              <w:left w:w="0" w:type="dxa"/>
              <w:bottom w:w="0" w:type="dxa"/>
              <w:right w:w="0" w:type="dxa"/>
            </w:tcMar>
            <w:vAlign w:val="center"/>
          </w:tcPr>
          <w:p w14:paraId="2A83D6B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Stored drinking water, child hands, soil</w:t>
            </w:r>
          </w:p>
        </w:tc>
        <w:tc>
          <w:tcPr>
            <w:tcW w:w="1669" w:type="dxa"/>
            <w:tcBorders>
              <w:bottom w:val="single" w:sz="4" w:space="0" w:color="666666"/>
            </w:tcBorders>
            <w:shd w:val="clear" w:color="auto" w:fill="FFFFFF"/>
            <w:tcMar>
              <w:top w:w="0" w:type="dxa"/>
              <w:left w:w="0" w:type="dxa"/>
              <w:bottom w:w="0" w:type="dxa"/>
              <w:right w:w="0" w:type="dxa"/>
            </w:tcMar>
            <w:vAlign w:val="center"/>
          </w:tcPr>
          <w:p w14:paraId="1ED1648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Rotavirus, General, human, avian and ruminant fecal markers</w:t>
            </w:r>
          </w:p>
        </w:tc>
        <w:tc>
          <w:tcPr>
            <w:tcW w:w="716" w:type="dxa"/>
            <w:tcBorders>
              <w:bottom w:val="single" w:sz="4" w:space="0" w:color="666666"/>
            </w:tcBorders>
            <w:shd w:val="clear" w:color="auto" w:fill="FFFFFF"/>
            <w:tcMar>
              <w:top w:w="0" w:type="dxa"/>
              <w:left w:w="0" w:type="dxa"/>
              <w:bottom w:w="0" w:type="dxa"/>
              <w:right w:w="0" w:type="dxa"/>
            </w:tcMar>
            <w:vAlign w:val="center"/>
          </w:tcPr>
          <w:p w14:paraId="620A696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qPCR</w:t>
            </w:r>
          </w:p>
        </w:tc>
        <w:tc>
          <w:tcPr>
            <w:tcW w:w="543" w:type="dxa"/>
            <w:tcBorders>
              <w:bottom w:val="single" w:sz="4" w:space="0" w:color="666666"/>
            </w:tcBorders>
            <w:shd w:val="clear" w:color="auto" w:fill="FFFFFF"/>
            <w:tcMar>
              <w:top w:w="0" w:type="dxa"/>
              <w:left w:w="0" w:type="dxa"/>
              <w:bottom w:w="0" w:type="dxa"/>
              <w:right w:w="0" w:type="dxa"/>
            </w:tcMar>
            <w:vAlign w:val="center"/>
          </w:tcPr>
          <w:p w14:paraId="447A96DE"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1,497</w:t>
            </w:r>
          </w:p>
        </w:tc>
      </w:tr>
      <w:tr w:rsidR="003C2175" w14:paraId="162C97CF" w14:textId="77777777">
        <w:trPr>
          <w:cantSplit/>
          <w:jc w:val="center"/>
        </w:trPr>
        <w:tc>
          <w:tcPr>
            <w:tcW w:w="6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AE097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7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ACC0C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2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6CDA9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A276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16-35 months</w:t>
            </w:r>
          </w:p>
        </w:tc>
        <w:tc>
          <w:tcPr>
            <w:tcW w:w="5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96406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5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31B32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Fuhrmeister et al. 2020</w:t>
            </w:r>
          </w:p>
        </w:tc>
        <w:tc>
          <w:tcPr>
            <w:tcW w:w="19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B2525B"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Stored drinking water, child and mother hands, soil</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0E449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Pathogenic E. coli, norovirus, Giardia</w:t>
            </w:r>
          </w:p>
        </w:tc>
        <w:tc>
          <w:tcPr>
            <w:tcW w:w="7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699B3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qPCR</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7532D9"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2,606</w:t>
            </w:r>
          </w:p>
        </w:tc>
      </w:tr>
      <w:tr w:rsidR="003C2175" w14:paraId="36DD21F6" w14:textId="77777777">
        <w:trPr>
          <w:cantSplit/>
          <w:jc w:val="center"/>
        </w:trPr>
        <w:tc>
          <w:tcPr>
            <w:tcW w:w="6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C8A60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7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9665D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2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CD8FEB"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1707CE"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 years</w:t>
            </w:r>
          </w:p>
        </w:tc>
        <w:tc>
          <w:tcPr>
            <w:tcW w:w="5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93571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5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80942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Kwong et al. 2021</w:t>
            </w:r>
          </w:p>
        </w:tc>
        <w:tc>
          <w:tcPr>
            <w:tcW w:w="19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C14A2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Courtyard soil</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45AE4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Soil-transmitted helminths</w:t>
            </w:r>
          </w:p>
        </w:tc>
        <w:tc>
          <w:tcPr>
            <w:tcW w:w="7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3BAEE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Microscopy</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B207A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1,396</w:t>
            </w:r>
          </w:p>
        </w:tc>
      </w:tr>
      <w:tr w:rsidR="003C2175" w14:paraId="12CF4487" w14:textId="77777777">
        <w:trPr>
          <w:cantSplit/>
          <w:jc w:val="center"/>
        </w:trPr>
        <w:tc>
          <w:tcPr>
            <w:tcW w:w="6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6CA7FE"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WASH Benefits Kenya</w:t>
            </w:r>
          </w:p>
        </w:tc>
        <w:tc>
          <w:tcPr>
            <w:tcW w:w="7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759C0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Cluster-randomized trial</w:t>
            </w:r>
          </w:p>
        </w:tc>
        <w:tc>
          <w:tcPr>
            <w:tcW w:w="12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EEBF4E"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2E179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 years</w:t>
            </w:r>
          </w:p>
        </w:tc>
        <w:tc>
          <w:tcPr>
            <w:tcW w:w="5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B9FE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Rural Kenya</w:t>
            </w:r>
          </w:p>
        </w:tc>
        <w:tc>
          <w:tcPr>
            <w:tcW w:w="5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41FC4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Steinbaum et al. 2019</w:t>
            </w:r>
          </w:p>
        </w:tc>
        <w:tc>
          <w:tcPr>
            <w:tcW w:w="19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7A20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Courtyard soil</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8EF06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Soil-transmitted helminths</w:t>
            </w:r>
          </w:p>
        </w:tc>
        <w:tc>
          <w:tcPr>
            <w:tcW w:w="7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A8A85B"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Microscopy</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4F933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2,107</w:t>
            </w:r>
          </w:p>
        </w:tc>
      </w:tr>
      <w:tr w:rsidR="003C2175" w14:paraId="469CFCDE" w14:textId="77777777">
        <w:trPr>
          <w:cantSplit/>
          <w:jc w:val="center"/>
        </w:trPr>
        <w:tc>
          <w:tcPr>
            <w:tcW w:w="6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84B49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MapSan</w:t>
            </w:r>
          </w:p>
        </w:tc>
        <w:tc>
          <w:tcPr>
            <w:tcW w:w="7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105AD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Controlled before-and-after study</w:t>
            </w:r>
          </w:p>
        </w:tc>
        <w:tc>
          <w:tcPr>
            <w:tcW w:w="12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7907F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Latrine upgrades</w:t>
            </w:r>
          </w:p>
        </w:tc>
        <w:tc>
          <w:tcPr>
            <w:tcW w:w="1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32D11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 year</w:t>
            </w:r>
          </w:p>
        </w:tc>
        <w:tc>
          <w:tcPr>
            <w:tcW w:w="5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8B403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Urban Mozambique</w:t>
            </w:r>
          </w:p>
        </w:tc>
        <w:tc>
          <w:tcPr>
            <w:tcW w:w="5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B129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Holcomb et al. 2020</w:t>
            </w:r>
          </w:p>
        </w:tc>
        <w:tc>
          <w:tcPr>
            <w:tcW w:w="19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74DC7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Source and stored water, household and latrine soil, food, flies caught in latrine and kitchen</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3A57C9"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Panel of 17 enteropathogens, human and avian fecal markers</w:t>
            </w:r>
          </w:p>
        </w:tc>
        <w:tc>
          <w:tcPr>
            <w:tcW w:w="7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46875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qPCR</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C3263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1,081</w:t>
            </w:r>
          </w:p>
        </w:tc>
      </w:tr>
      <w:tr w:rsidR="003C2175" w14:paraId="372CB151" w14:textId="77777777">
        <w:trPr>
          <w:cantSplit/>
          <w:jc w:val="center"/>
        </w:trPr>
        <w:tc>
          <w:tcPr>
            <w:tcW w:w="6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9DAD0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Gram Vikas</w:t>
            </w:r>
          </w:p>
        </w:tc>
        <w:tc>
          <w:tcPr>
            <w:tcW w:w="79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040AB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Matched cohort study</w:t>
            </w:r>
          </w:p>
        </w:tc>
        <w:tc>
          <w:tcPr>
            <w:tcW w:w="12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1AC24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Latrine upgrades, piped water</w:t>
            </w:r>
          </w:p>
        </w:tc>
        <w:tc>
          <w:tcPr>
            <w:tcW w:w="1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9CDEF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~6-10 years</w:t>
            </w:r>
          </w:p>
        </w:tc>
        <w:tc>
          <w:tcPr>
            <w:tcW w:w="51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21644B"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Rural India</w:t>
            </w:r>
          </w:p>
        </w:tc>
        <w:tc>
          <w:tcPr>
            <w:tcW w:w="5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11798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Reese et al. 2017</w:t>
            </w:r>
          </w:p>
        </w:tc>
        <w:tc>
          <w:tcPr>
            <w:tcW w:w="19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70C3B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Source and stored water </w:t>
            </w:r>
          </w:p>
        </w:tc>
        <w:tc>
          <w:tcPr>
            <w:tcW w:w="16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10B40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V. cholerae, Shigella </w:t>
            </w:r>
          </w:p>
        </w:tc>
        <w:tc>
          <w:tcPr>
            <w:tcW w:w="7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D7FA29"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Slide agglutination serotyping</w:t>
            </w:r>
          </w:p>
        </w:tc>
        <w:tc>
          <w:tcPr>
            <w:tcW w:w="54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A4F3E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3,452</w:t>
            </w:r>
          </w:p>
        </w:tc>
      </w:tr>
      <w:tr w:rsidR="003C2175" w14:paraId="7F834202" w14:textId="77777777">
        <w:trPr>
          <w:cantSplit/>
          <w:jc w:val="center"/>
        </w:trPr>
        <w:tc>
          <w:tcPr>
            <w:tcW w:w="68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89B3B3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lastRenderedPageBreak/>
              <w:t>Total Sanitation Campaign</w:t>
            </w:r>
          </w:p>
        </w:tc>
        <w:tc>
          <w:tcPr>
            <w:tcW w:w="79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63B1E6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Cluster-randomized trial</w:t>
            </w:r>
          </w:p>
        </w:tc>
        <w:tc>
          <w:tcPr>
            <w:tcW w:w="126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508EC3E"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Latrine upgrades</w:t>
            </w:r>
          </w:p>
        </w:tc>
        <w:tc>
          <w:tcPr>
            <w:tcW w:w="133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25BD62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 year</w:t>
            </w:r>
          </w:p>
        </w:tc>
        <w:tc>
          <w:tcPr>
            <w:tcW w:w="51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834330B"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Rural India</w:t>
            </w:r>
          </w:p>
        </w:tc>
        <w:tc>
          <w:tcPr>
            <w:tcW w:w="58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5971DC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Odagiri et al. 2016</w:t>
            </w:r>
          </w:p>
        </w:tc>
        <w:tc>
          <w:tcPr>
            <w:tcW w:w="196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5DA9EB"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Source water</w:t>
            </w:r>
          </w:p>
        </w:tc>
        <w:tc>
          <w:tcPr>
            <w:tcW w:w="166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14C5B4F"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V. cholerae, rotavirus, adenovirus,general, human, and animal fecal markers</w:t>
            </w:r>
          </w:p>
        </w:tc>
        <w:tc>
          <w:tcPr>
            <w:tcW w:w="71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957D5B7"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qPCR, microscopy</w:t>
            </w:r>
          </w:p>
        </w:tc>
        <w:tc>
          <w:tcPr>
            <w:tcW w:w="54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9AEBC8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60</w:t>
            </w:r>
          </w:p>
        </w:tc>
      </w:tr>
    </w:tbl>
    <w:p w14:paraId="6988450E" w14:textId="77777777" w:rsidR="003C2175" w:rsidRDefault="00855D45" w:rsidP="00236DDF">
      <w:pPr>
        <w:pStyle w:val="Heading3"/>
      </w:pPr>
      <w:bookmarkStart w:id="3" w:name="X1324efc45516fe552b6653cdfce5a0b37b386db"/>
      <w:bookmarkEnd w:id="2"/>
      <w:r>
        <w:t>Table 2. Mean (SD) abundances by study arm and adjusted abundance differences between intervention and control arms. Means are log10 transformed concentrations for MST markers, and are mean egg counts for soil transmitted helminths (</w:t>
      </w:r>
      <w:r>
        <w:rPr>
          <w:i/>
          <w:iCs/>
        </w:rPr>
        <w:t>Ascaris</w:t>
      </w:r>
      <w:r>
        <w:t xml:space="preserve"> and </w:t>
      </w:r>
      <w:r>
        <w:rPr>
          <w:i/>
          <w:iCs/>
        </w:rPr>
        <w:t>Trichuris</w:t>
      </w:r>
      <w:r>
        <w:t>).</w:t>
      </w:r>
    </w:p>
    <w:tbl>
      <w:tblPr>
        <w:tblW w:w="0" w:type="auto"/>
        <w:jc w:val="center"/>
        <w:tblLayout w:type="fixed"/>
        <w:tblLook w:val="0420" w:firstRow="1" w:lastRow="0" w:firstColumn="0" w:lastColumn="0" w:noHBand="0" w:noVBand="1"/>
      </w:tblPr>
      <w:tblGrid>
        <w:gridCol w:w="1773"/>
        <w:gridCol w:w="1350"/>
        <w:gridCol w:w="1260"/>
        <w:gridCol w:w="900"/>
        <w:gridCol w:w="1610"/>
        <w:gridCol w:w="1008"/>
        <w:gridCol w:w="1008"/>
        <w:gridCol w:w="1008"/>
        <w:gridCol w:w="1008"/>
        <w:gridCol w:w="1008"/>
      </w:tblGrid>
      <w:tr w:rsidR="00236DDF" w14:paraId="3B443EB3" w14:textId="77777777" w:rsidTr="00236DDF">
        <w:trPr>
          <w:cantSplit/>
          <w:tblHeader/>
          <w:jc w:val="center"/>
        </w:trPr>
        <w:tc>
          <w:tcPr>
            <w:tcW w:w="17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CE0D84"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Study</w:t>
            </w:r>
          </w:p>
        </w:tc>
        <w:tc>
          <w:tcPr>
            <w:tcW w:w="13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E95C38"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Sample</w:t>
            </w:r>
          </w:p>
        </w:tc>
        <w:tc>
          <w:tcPr>
            <w:tcW w:w="12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838CF7"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Target</w:t>
            </w:r>
          </w:p>
        </w:tc>
        <w:tc>
          <w:tcPr>
            <w:tcW w:w="9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C3912F"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N</w:t>
            </w:r>
          </w:p>
        </w:tc>
        <w:tc>
          <w:tcPr>
            <w:tcW w:w="16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A58D6B"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 in ROQ</w:t>
            </w:r>
          </w:p>
        </w:tc>
        <w:tc>
          <w:tcPr>
            <w:tcW w:w="10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2F1771"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Control mean, median (SD)</w:t>
            </w:r>
          </w:p>
        </w:tc>
        <w:tc>
          <w:tcPr>
            <w:tcW w:w="10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6A30E29"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Intervention mean, median (SD)</w:t>
            </w:r>
          </w:p>
        </w:tc>
        <w:tc>
          <w:tcPr>
            <w:tcW w:w="10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631900"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Difference (95% CI)</w:t>
            </w:r>
          </w:p>
        </w:tc>
        <w:tc>
          <w:tcPr>
            <w:tcW w:w="10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C31A9A"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P value</w:t>
            </w:r>
          </w:p>
        </w:tc>
        <w:tc>
          <w:tcPr>
            <w:tcW w:w="100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E03454" w14:textId="77777777" w:rsidR="003C2175" w:rsidRDefault="00855D45" w:rsidP="00236DDF">
            <w:pPr>
              <w:spacing w:before="100" w:after="100" w:line="240" w:lineRule="auto"/>
              <w:ind w:left="100" w:right="100" w:firstLine="0"/>
            </w:pPr>
            <w:r>
              <w:rPr>
                <w:rFonts w:ascii="Arial" w:eastAsia="Arial" w:hAnsi="Arial" w:cs="Arial"/>
                <w:b/>
                <w:color w:val="000000"/>
                <w:sz w:val="16"/>
                <w:szCs w:val="16"/>
              </w:rPr>
              <w:t>Wilcoxon P value</w:t>
            </w:r>
          </w:p>
        </w:tc>
      </w:tr>
      <w:tr w:rsidR="00236DDF" w14:paraId="66A6891F" w14:textId="77777777" w:rsidTr="00236DDF">
        <w:trPr>
          <w:cantSplit/>
          <w:jc w:val="center"/>
        </w:trPr>
        <w:tc>
          <w:tcPr>
            <w:tcW w:w="1773" w:type="dxa"/>
            <w:tcBorders>
              <w:bottom w:val="single" w:sz="4" w:space="0" w:color="666666"/>
            </w:tcBorders>
            <w:shd w:val="clear" w:color="auto" w:fill="FFFFFF"/>
            <w:tcMar>
              <w:top w:w="0" w:type="dxa"/>
              <w:left w:w="0" w:type="dxa"/>
              <w:bottom w:w="0" w:type="dxa"/>
              <w:right w:w="0" w:type="dxa"/>
            </w:tcMar>
            <w:vAlign w:val="center"/>
          </w:tcPr>
          <w:p w14:paraId="44263E1B"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Fuhrmeister 2020</w:t>
            </w:r>
          </w:p>
        </w:tc>
        <w:tc>
          <w:tcPr>
            <w:tcW w:w="1350" w:type="dxa"/>
            <w:tcBorders>
              <w:bottom w:val="single" w:sz="4" w:space="0" w:color="666666"/>
            </w:tcBorders>
            <w:shd w:val="clear" w:color="auto" w:fill="FFFFFF"/>
            <w:tcMar>
              <w:top w:w="0" w:type="dxa"/>
              <w:left w:w="0" w:type="dxa"/>
              <w:bottom w:w="0" w:type="dxa"/>
              <w:right w:w="0" w:type="dxa"/>
            </w:tcMar>
            <w:vAlign w:val="center"/>
          </w:tcPr>
          <w:p w14:paraId="0A296CE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Child hand rinse</w:t>
            </w:r>
          </w:p>
        </w:tc>
        <w:tc>
          <w:tcPr>
            <w:tcW w:w="1260" w:type="dxa"/>
            <w:tcBorders>
              <w:bottom w:val="single" w:sz="4" w:space="0" w:color="666666"/>
            </w:tcBorders>
            <w:shd w:val="clear" w:color="auto" w:fill="FFFFFF"/>
            <w:tcMar>
              <w:top w:w="0" w:type="dxa"/>
              <w:left w:w="0" w:type="dxa"/>
              <w:bottom w:w="0" w:type="dxa"/>
              <w:right w:w="0" w:type="dxa"/>
            </w:tcMar>
            <w:vAlign w:val="center"/>
          </w:tcPr>
          <w:p w14:paraId="72446EC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Animal (BacCow)</w:t>
            </w:r>
          </w:p>
        </w:tc>
        <w:tc>
          <w:tcPr>
            <w:tcW w:w="900" w:type="dxa"/>
            <w:tcBorders>
              <w:bottom w:val="single" w:sz="4" w:space="0" w:color="666666"/>
            </w:tcBorders>
            <w:shd w:val="clear" w:color="auto" w:fill="FFFFFF"/>
            <w:tcMar>
              <w:top w:w="0" w:type="dxa"/>
              <w:left w:w="0" w:type="dxa"/>
              <w:bottom w:w="0" w:type="dxa"/>
              <w:right w:w="0" w:type="dxa"/>
            </w:tcMar>
            <w:vAlign w:val="center"/>
          </w:tcPr>
          <w:p w14:paraId="465AA85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365</w:t>
            </w:r>
          </w:p>
        </w:tc>
        <w:tc>
          <w:tcPr>
            <w:tcW w:w="1610" w:type="dxa"/>
            <w:tcBorders>
              <w:bottom w:val="single" w:sz="4" w:space="0" w:color="666666"/>
            </w:tcBorders>
            <w:shd w:val="clear" w:color="auto" w:fill="FFFFFF"/>
            <w:tcMar>
              <w:top w:w="0" w:type="dxa"/>
              <w:left w:w="0" w:type="dxa"/>
              <w:bottom w:w="0" w:type="dxa"/>
              <w:right w:w="0" w:type="dxa"/>
            </w:tcMar>
            <w:vAlign w:val="center"/>
          </w:tcPr>
          <w:p w14:paraId="1EF9597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75.9</w:t>
            </w:r>
          </w:p>
        </w:tc>
        <w:tc>
          <w:tcPr>
            <w:tcW w:w="1008" w:type="dxa"/>
            <w:tcBorders>
              <w:bottom w:val="single" w:sz="4" w:space="0" w:color="666666"/>
            </w:tcBorders>
            <w:shd w:val="clear" w:color="auto" w:fill="FFFFFF"/>
            <w:tcMar>
              <w:top w:w="0" w:type="dxa"/>
              <w:left w:w="0" w:type="dxa"/>
              <w:bottom w:w="0" w:type="dxa"/>
              <w:right w:w="0" w:type="dxa"/>
            </w:tcMar>
            <w:vAlign w:val="center"/>
          </w:tcPr>
          <w:p w14:paraId="5EE9083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3.6, 3.9 (1.4)</w:t>
            </w:r>
          </w:p>
        </w:tc>
        <w:tc>
          <w:tcPr>
            <w:tcW w:w="1008" w:type="dxa"/>
            <w:tcBorders>
              <w:bottom w:val="single" w:sz="4" w:space="0" w:color="666666"/>
            </w:tcBorders>
            <w:shd w:val="clear" w:color="auto" w:fill="FFFFFF"/>
            <w:tcMar>
              <w:top w:w="0" w:type="dxa"/>
              <w:left w:w="0" w:type="dxa"/>
              <w:bottom w:w="0" w:type="dxa"/>
              <w:right w:w="0" w:type="dxa"/>
            </w:tcMar>
            <w:vAlign w:val="center"/>
          </w:tcPr>
          <w:p w14:paraId="2CEDCAE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3.4, 3.8 (1.4)</w:t>
            </w:r>
          </w:p>
        </w:tc>
        <w:tc>
          <w:tcPr>
            <w:tcW w:w="1008" w:type="dxa"/>
            <w:tcBorders>
              <w:bottom w:val="single" w:sz="4" w:space="0" w:color="666666"/>
            </w:tcBorders>
            <w:shd w:val="clear" w:color="auto" w:fill="FFFFFF"/>
            <w:tcMar>
              <w:top w:w="0" w:type="dxa"/>
              <w:left w:w="0" w:type="dxa"/>
              <w:bottom w:w="0" w:type="dxa"/>
              <w:right w:w="0" w:type="dxa"/>
            </w:tcMar>
            <w:vAlign w:val="center"/>
          </w:tcPr>
          <w:p w14:paraId="398CCE7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-0.17 (-0.47 0.12)</w:t>
            </w:r>
          </w:p>
        </w:tc>
        <w:tc>
          <w:tcPr>
            <w:tcW w:w="1008" w:type="dxa"/>
            <w:tcBorders>
              <w:bottom w:val="single" w:sz="4" w:space="0" w:color="666666"/>
            </w:tcBorders>
            <w:shd w:val="clear" w:color="auto" w:fill="FFFFFF"/>
            <w:tcMar>
              <w:top w:w="0" w:type="dxa"/>
              <w:left w:w="0" w:type="dxa"/>
              <w:bottom w:w="0" w:type="dxa"/>
              <w:right w:w="0" w:type="dxa"/>
            </w:tcMar>
            <w:vAlign w:val="center"/>
          </w:tcPr>
          <w:p w14:paraId="69DA667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0.25</w:t>
            </w:r>
          </w:p>
        </w:tc>
        <w:tc>
          <w:tcPr>
            <w:tcW w:w="1008" w:type="dxa"/>
            <w:tcBorders>
              <w:bottom w:val="single" w:sz="4" w:space="0" w:color="666666"/>
            </w:tcBorders>
            <w:shd w:val="clear" w:color="auto" w:fill="FFFFFF"/>
            <w:tcMar>
              <w:top w:w="0" w:type="dxa"/>
              <w:left w:w="0" w:type="dxa"/>
              <w:bottom w:w="0" w:type="dxa"/>
              <w:right w:w="0" w:type="dxa"/>
            </w:tcMar>
            <w:vAlign w:val="center"/>
          </w:tcPr>
          <w:p w14:paraId="7A99503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0.17</w:t>
            </w:r>
          </w:p>
        </w:tc>
      </w:tr>
      <w:tr w:rsidR="00236DDF" w14:paraId="459E2062" w14:textId="77777777" w:rsidTr="00236DDF">
        <w:trPr>
          <w:cantSplit/>
          <w:jc w:val="center"/>
        </w:trPr>
        <w:tc>
          <w:tcPr>
            <w:tcW w:w="17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E746F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99A63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Mother's hand rinse</w:t>
            </w:r>
          </w:p>
        </w:tc>
        <w:tc>
          <w:tcPr>
            <w:tcW w:w="12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89EF2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Animal (BacCow)</w:t>
            </w:r>
          </w:p>
        </w:tc>
        <w:tc>
          <w:tcPr>
            <w:tcW w:w="9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A7C7CF"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725</w:t>
            </w:r>
          </w:p>
        </w:tc>
        <w:tc>
          <w:tcPr>
            <w:tcW w:w="1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A955F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66.5</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530799"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3.3, 3.8 (1.4)</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7348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3, 3.7 (1.5)</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86DE8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-0.28 (-0.49 -0.07)</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12F54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0.01</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5936F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0.01</w:t>
            </w:r>
          </w:p>
        </w:tc>
      </w:tr>
      <w:tr w:rsidR="00236DDF" w14:paraId="09099257" w14:textId="77777777" w:rsidTr="00236DDF">
        <w:trPr>
          <w:cantSplit/>
          <w:jc w:val="center"/>
        </w:trPr>
        <w:tc>
          <w:tcPr>
            <w:tcW w:w="17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4D1F19"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Holcomb 2020</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AEF79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Latrine soil</w:t>
            </w:r>
          </w:p>
        </w:tc>
        <w:tc>
          <w:tcPr>
            <w:tcW w:w="12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5C6EB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Human (M. smithii)</w:t>
            </w:r>
          </w:p>
        </w:tc>
        <w:tc>
          <w:tcPr>
            <w:tcW w:w="9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0F16D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113</w:t>
            </w:r>
          </w:p>
        </w:tc>
        <w:tc>
          <w:tcPr>
            <w:tcW w:w="1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EB8209"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51.3</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E83D8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6.7, 6.5 (0.6)</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D4EF7"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6.5, 6.3 (0.5)</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B3B4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-0.14 (-0.38 0.11)</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BE4C6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0.27</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856F3F"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0.58</w:t>
            </w:r>
          </w:p>
        </w:tc>
      </w:tr>
      <w:tr w:rsidR="00236DDF" w14:paraId="25E86AF8" w14:textId="77777777" w:rsidTr="00236DDF">
        <w:trPr>
          <w:cantSplit/>
          <w:jc w:val="center"/>
        </w:trPr>
        <w:tc>
          <w:tcPr>
            <w:tcW w:w="17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3FCDE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Capone 2021 in prep</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CAD688" w14:textId="77777777" w:rsidR="003C2175" w:rsidRDefault="003C2175" w:rsidP="00236DDF">
            <w:pPr>
              <w:spacing w:before="100" w:after="100" w:line="240" w:lineRule="auto"/>
              <w:ind w:left="100" w:right="100" w:firstLine="0"/>
            </w:pPr>
          </w:p>
        </w:tc>
        <w:tc>
          <w:tcPr>
            <w:tcW w:w="12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95016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Human (BacHum)</w:t>
            </w:r>
          </w:p>
        </w:tc>
        <w:tc>
          <w:tcPr>
            <w:tcW w:w="9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64097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173</w:t>
            </w:r>
          </w:p>
        </w:tc>
        <w:tc>
          <w:tcPr>
            <w:tcW w:w="1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CBD86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77.5</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3A781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3.8, 3.8 (1.3)</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1D971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4, 4.2 (0.9)</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3A490F"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0.14 (-0.19 0.47)</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11C06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0.41</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0E33D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0.07</w:t>
            </w:r>
          </w:p>
        </w:tc>
      </w:tr>
      <w:tr w:rsidR="00236DDF" w14:paraId="116A7284" w14:textId="77777777" w:rsidTr="00236DDF">
        <w:trPr>
          <w:cantSplit/>
          <w:jc w:val="center"/>
        </w:trPr>
        <w:tc>
          <w:tcPr>
            <w:tcW w:w="17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5C833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Steinbaum 2019</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237827"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House soil</w:t>
            </w:r>
          </w:p>
        </w:tc>
        <w:tc>
          <w:tcPr>
            <w:tcW w:w="12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C5447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Ascaris</w:t>
            </w:r>
          </w:p>
        </w:tc>
        <w:tc>
          <w:tcPr>
            <w:tcW w:w="9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E049F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2,101</w:t>
            </w:r>
          </w:p>
        </w:tc>
        <w:tc>
          <w:tcPr>
            <w:tcW w:w="1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828689"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100.0</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700EA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2.2, 0 (18.8)</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EE470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1.4, 0 (9.3)</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2799C7"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0.65 (0.33 1.28)</w:t>
            </w:r>
            <w:r>
              <w:rPr>
                <w:rFonts w:ascii="Arial" w:eastAsia="Arial" w:hAnsi="Arial" w:cs="Arial"/>
                <w:color w:val="000000"/>
                <w:sz w:val="20"/>
                <w:szCs w:val="20"/>
                <w:vertAlign w:val="superscript"/>
              </w:rPr>
              <w:t>a</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43570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0.21</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6DE157"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0.33</w:t>
            </w:r>
          </w:p>
        </w:tc>
      </w:tr>
      <w:tr w:rsidR="00236DDF" w14:paraId="520F1C6F" w14:textId="77777777" w:rsidTr="00236DDF">
        <w:trPr>
          <w:cantSplit/>
          <w:jc w:val="center"/>
        </w:trPr>
        <w:tc>
          <w:tcPr>
            <w:tcW w:w="17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B7F65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73216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2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D5618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Trichuris</w:t>
            </w:r>
          </w:p>
        </w:tc>
        <w:tc>
          <w:tcPr>
            <w:tcW w:w="9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0B749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2,102</w:t>
            </w:r>
          </w:p>
        </w:tc>
        <w:tc>
          <w:tcPr>
            <w:tcW w:w="1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8400E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100.0</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2334B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0.2, 0 (1.8)</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A972E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0.2, 0 (1)</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A99A2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0.73 (0.36 1.48)</w:t>
            </w:r>
            <w:r>
              <w:rPr>
                <w:rFonts w:ascii="Arial" w:eastAsia="Arial" w:hAnsi="Arial" w:cs="Arial"/>
                <w:color w:val="000000"/>
                <w:sz w:val="20"/>
                <w:szCs w:val="20"/>
                <w:vertAlign w:val="superscript"/>
              </w:rPr>
              <w:t>a</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8A9CD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0.38</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B07898"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0.39</w:t>
            </w:r>
          </w:p>
        </w:tc>
      </w:tr>
      <w:tr w:rsidR="00236DDF" w14:paraId="23C108BB" w14:textId="77777777" w:rsidTr="00236DDF">
        <w:trPr>
          <w:cantSplit/>
          <w:jc w:val="center"/>
        </w:trPr>
        <w:tc>
          <w:tcPr>
            <w:tcW w:w="177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C2B786"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Kwong 2021</w:t>
            </w:r>
          </w:p>
        </w:tc>
        <w:tc>
          <w:tcPr>
            <w:tcW w:w="13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076A6B"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House soil</w:t>
            </w:r>
          </w:p>
        </w:tc>
        <w:tc>
          <w:tcPr>
            <w:tcW w:w="126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A6370"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Ascaris</w:t>
            </w:r>
          </w:p>
        </w:tc>
        <w:tc>
          <w:tcPr>
            <w:tcW w:w="9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158DF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1,423</w:t>
            </w:r>
          </w:p>
        </w:tc>
        <w:tc>
          <w:tcPr>
            <w:tcW w:w="1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F4F5A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100.0</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800FB4"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2.3, 0.7 (6.7)</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E7740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2.2, 0.6 (6.9)</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5A683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0.96 (0.68 1.37)</w:t>
            </w:r>
            <w:r>
              <w:rPr>
                <w:rFonts w:ascii="Arial" w:eastAsia="Arial" w:hAnsi="Arial" w:cs="Arial"/>
                <w:color w:val="000000"/>
                <w:sz w:val="20"/>
                <w:szCs w:val="20"/>
                <w:vertAlign w:val="superscript"/>
              </w:rPr>
              <w:t>a</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DBB2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0.84</w:t>
            </w:r>
          </w:p>
        </w:tc>
        <w:tc>
          <w:tcPr>
            <w:tcW w:w="100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E0F26C"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0.50</w:t>
            </w:r>
          </w:p>
        </w:tc>
      </w:tr>
      <w:tr w:rsidR="00236DDF" w14:paraId="65CFE986" w14:textId="77777777" w:rsidTr="00236DDF">
        <w:trPr>
          <w:cantSplit/>
          <w:jc w:val="center"/>
        </w:trPr>
        <w:tc>
          <w:tcPr>
            <w:tcW w:w="177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F78AC33"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35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372F83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w:t>
            </w:r>
          </w:p>
        </w:tc>
        <w:tc>
          <w:tcPr>
            <w:tcW w:w="126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CA85D9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Trichuris</w:t>
            </w:r>
          </w:p>
        </w:tc>
        <w:tc>
          <w:tcPr>
            <w:tcW w:w="90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1A87DA"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1,423</w:t>
            </w:r>
          </w:p>
        </w:tc>
        <w:tc>
          <w:tcPr>
            <w:tcW w:w="161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EDA798E"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100.0</w:t>
            </w:r>
          </w:p>
        </w:tc>
        <w:tc>
          <w:tcPr>
            <w:tcW w:w="100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E7621BD"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1.6, 0.4 (5)</w:t>
            </w:r>
          </w:p>
        </w:tc>
        <w:tc>
          <w:tcPr>
            <w:tcW w:w="100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4F931E5"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2, 0.4 (5)</w:t>
            </w:r>
          </w:p>
        </w:tc>
        <w:tc>
          <w:tcPr>
            <w:tcW w:w="100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6FBD6B1"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1.21 (0.86 1.71)</w:t>
            </w:r>
            <w:r>
              <w:rPr>
                <w:rFonts w:ascii="Arial" w:eastAsia="Arial" w:hAnsi="Arial" w:cs="Arial"/>
                <w:color w:val="000000"/>
                <w:sz w:val="20"/>
                <w:szCs w:val="20"/>
                <w:vertAlign w:val="superscript"/>
              </w:rPr>
              <w:t>a</w:t>
            </w:r>
          </w:p>
        </w:tc>
        <w:tc>
          <w:tcPr>
            <w:tcW w:w="100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667F622"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0.27</w:t>
            </w:r>
          </w:p>
        </w:tc>
        <w:tc>
          <w:tcPr>
            <w:tcW w:w="100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D5A21CF" w14:textId="77777777" w:rsidR="003C2175" w:rsidRDefault="00855D45" w:rsidP="00236DDF">
            <w:pPr>
              <w:spacing w:before="100" w:after="100" w:line="240" w:lineRule="auto"/>
              <w:ind w:left="100" w:right="100" w:firstLine="0"/>
            </w:pPr>
            <w:r>
              <w:rPr>
                <w:rFonts w:ascii="Arial" w:eastAsia="Arial" w:hAnsi="Arial" w:cs="Arial"/>
                <w:color w:val="000000"/>
                <w:sz w:val="16"/>
                <w:szCs w:val="16"/>
              </w:rPr>
              <w:t>0.19</w:t>
            </w:r>
          </w:p>
        </w:tc>
      </w:tr>
    </w:tbl>
    <w:p w14:paraId="743EA606" w14:textId="77777777" w:rsidR="003C2175" w:rsidRDefault="00855D45" w:rsidP="00236DDF">
      <w:pPr>
        <w:pStyle w:val="FirstParagraph"/>
      </w:pPr>
      <w:r>
        <w:t>ROQ: Range of quantification; SD: Standard deviation; CI: Confidence interval; Wilcoxon P-value: Non-parametric Wilcoxon rank sum test P-value.</w:t>
      </w:r>
    </w:p>
    <w:p w14:paraId="06DD860A" w14:textId="7B6BEE4B" w:rsidR="001F4C83" w:rsidRDefault="00855D45" w:rsidP="00236DDF">
      <w:pPr>
        <w:pStyle w:val="BodyText"/>
        <w:sectPr w:rsidR="001F4C83" w:rsidSect="001F4C83">
          <w:pgSz w:w="16848" w:h="11952" w:orient="landscape"/>
          <w:pgMar w:top="720" w:right="720" w:bottom="720" w:left="720" w:header="720" w:footer="720" w:gutter="720"/>
          <w:cols w:space="720"/>
          <w:docGrid w:linePitch="299"/>
        </w:sectPr>
      </w:pPr>
      <w:r>
        <w:rPr>
          <w:vertAlign w:val="superscript"/>
        </w:rPr>
        <w:t>a</w:t>
      </w:r>
      <w:r>
        <w:t xml:space="preserve"> Marks ratio estimates from negative binomial models</w:t>
      </w:r>
    </w:p>
    <w:p w14:paraId="7FE94726" w14:textId="58EE0ECE" w:rsidR="003C2175" w:rsidRDefault="00855D45" w:rsidP="00236DDF">
      <w:pPr>
        <w:pStyle w:val="Heading2"/>
      </w:pPr>
      <w:bookmarkStart w:id="4" w:name="supplementary-figures"/>
      <w:bookmarkEnd w:id="1"/>
      <w:bookmarkEnd w:id="3"/>
      <w:r>
        <w:lastRenderedPageBreak/>
        <w:t>Supplementary Figures</w:t>
      </w:r>
      <w:r>
        <w:rPr>
          <w:noProof/>
        </w:rPr>
        <w:drawing>
          <wp:inline distT="0" distB="0" distL="0" distR="0" wp14:anchorId="77D30CA7" wp14:editId="76994E90">
            <wp:extent cx="5943600" cy="914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82550" cy="127000"/>
                    </a:xfrm>
                    <a:prstGeom prst="rect">
                      <a:avLst/>
                    </a:prstGeom>
                    <a:noFill/>
                  </pic:spPr>
                </pic:pic>
              </a:graphicData>
            </a:graphic>
          </wp:inline>
        </w:drawing>
      </w:r>
    </w:p>
    <w:p w14:paraId="335B7750" w14:textId="77777777" w:rsidR="003C2175" w:rsidRDefault="00855D45" w:rsidP="00236DDF">
      <w:pPr>
        <w:pStyle w:val="FirstParagraph"/>
        <w:ind w:firstLine="0"/>
      </w:pPr>
      <w:r>
        <w:rPr>
          <w:b/>
          <w:bCs/>
        </w:rPr>
        <w:t>Figure S1.</w:t>
      </w:r>
      <w:r>
        <w:t xml:space="preserve"> Forest plots of intervention effects on the prevalence of specific pathogens.</w:t>
      </w:r>
    </w:p>
    <w:p w14:paraId="56FD114D" w14:textId="77777777" w:rsidR="003C2175" w:rsidRDefault="00855D45" w:rsidP="00236DDF">
      <w:pPr>
        <w:pStyle w:val="Figure"/>
        <w:ind w:firstLine="0"/>
      </w:pPr>
      <w:r>
        <w:rPr>
          <w:noProof/>
        </w:rPr>
        <w:lastRenderedPageBreak/>
        <w:drawing>
          <wp:inline distT="0" distB="0" distL="0" distR="0" wp14:anchorId="7267D9BA" wp14:editId="1518B8AC">
            <wp:extent cx="594360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82550" cy="114300"/>
                    </a:xfrm>
                    <a:prstGeom prst="rect">
                      <a:avLst/>
                    </a:prstGeom>
                    <a:noFill/>
                  </pic:spPr>
                </pic:pic>
              </a:graphicData>
            </a:graphic>
          </wp:inline>
        </w:drawing>
      </w:r>
    </w:p>
    <w:p w14:paraId="458D9DA0" w14:textId="4057B56E" w:rsidR="003C2175" w:rsidRDefault="00855D45" w:rsidP="00236DDF">
      <w:pPr>
        <w:pStyle w:val="BodyText"/>
        <w:ind w:firstLine="0"/>
      </w:pPr>
      <w:r>
        <w:rPr>
          <w:b/>
          <w:bCs/>
        </w:rPr>
        <w:t>Figure S2.</w:t>
      </w:r>
      <w:r>
        <w:t xml:space="preserve"> Forest plots of intervention effects on the prevalence of specific MST markers.</w:t>
      </w:r>
    </w:p>
    <w:p w14:paraId="64E4D71E" w14:textId="75443C0A" w:rsidR="003C2175" w:rsidRDefault="006856B5" w:rsidP="00236DDF">
      <w:pPr>
        <w:pStyle w:val="Figure"/>
        <w:ind w:firstLine="0"/>
      </w:pPr>
      <w:r>
        <w:rPr>
          <w:noProof/>
        </w:rPr>
        <w:lastRenderedPageBreak/>
        <w:drawing>
          <wp:inline distT="0" distB="0" distL="0" distR="0" wp14:anchorId="55C0458A" wp14:editId="4C38AD5A">
            <wp:extent cx="5943600" cy="45720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pic:cNvPicPr>
                  </pic:nvPicPr>
                  <pic:blipFill>
                    <a:blip r:embed="rId11"/>
                    <a:srcRect/>
                    <a:stretch>
                      <a:fillRect/>
                    </a:stretch>
                  </pic:blipFill>
                  <pic:spPr bwMode="auto">
                    <a:xfrm>
                      <a:off x="0" y="0"/>
                      <a:ext cx="5943600" cy="4572000"/>
                    </a:xfrm>
                    <a:prstGeom prst="rect">
                      <a:avLst/>
                    </a:prstGeom>
                    <a:noFill/>
                  </pic:spPr>
                </pic:pic>
              </a:graphicData>
            </a:graphic>
          </wp:inline>
        </w:drawing>
      </w:r>
    </w:p>
    <w:p w14:paraId="3A1D8B7E" w14:textId="77777777" w:rsidR="003C2175" w:rsidRDefault="00855D45" w:rsidP="00236DDF">
      <w:pPr>
        <w:pStyle w:val="BodyText"/>
        <w:ind w:firstLine="0"/>
      </w:pPr>
      <w:r>
        <w:rPr>
          <w:b/>
          <w:bCs/>
        </w:rPr>
        <w:t>Figure S3.</w:t>
      </w:r>
      <w:r>
        <w:t xml:space="preserve"> 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 “*”, P &lt; 0.01 = “**”, P &lt; 0.001 = “***”).</w:t>
      </w:r>
    </w:p>
    <w:p w14:paraId="1A7D2257" w14:textId="77777777" w:rsidR="003C2175" w:rsidRDefault="00855D45" w:rsidP="00236DDF">
      <w:pPr>
        <w:pStyle w:val="Figure"/>
        <w:ind w:firstLine="0"/>
      </w:pPr>
      <w:r>
        <w:rPr>
          <w:noProof/>
        </w:rPr>
        <w:lastRenderedPageBreak/>
        <w:drawing>
          <wp:inline distT="0" distB="0" distL="0" distR="0" wp14:anchorId="6DDC280D" wp14:editId="31F95D7B">
            <wp:extent cx="59436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2"/>
                    <a:srcRect/>
                    <a:stretch>
                      <a:fillRect/>
                    </a:stretch>
                  </pic:blipFill>
                  <pic:spPr bwMode="auto">
                    <a:xfrm>
                      <a:off x="0" y="0"/>
                      <a:ext cx="82550" cy="63500"/>
                    </a:xfrm>
                    <a:prstGeom prst="rect">
                      <a:avLst/>
                    </a:prstGeom>
                    <a:noFill/>
                  </pic:spPr>
                </pic:pic>
              </a:graphicData>
            </a:graphic>
          </wp:inline>
        </w:drawing>
      </w:r>
    </w:p>
    <w:p w14:paraId="4D9B149C" w14:textId="77777777" w:rsidR="003C2175" w:rsidRDefault="00855D45" w:rsidP="00236DDF">
      <w:pPr>
        <w:pStyle w:val="BodyText"/>
        <w:ind w:firstLine="0"/>
      </w:pPr>
      <w:r>
        <w:rPr>
          <w:b/>
          <w:bCs/>
        </w:rPr>
        <w:t>Figure S4.</w:t>
      </w:r>
      <w:r>
        <w:t xml:space="preserve"> 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 “*”, P &lt; 0.01 = “**”, P &lt; 0.001 = “***”).</w:t>
      </w:r>
    </w:p>
    <w:p w14:paraId="51727691" w14:textId="77777777" w:rsidR="003C2175" w:rsidRDefault="00855D45" w:rsidP="00236DDF">
      <w:pPr>
        <w:pStyle w:val="Figure"/>
        <w:ind w:firstLine="0"/>
      </w:pPr>
      <w:r>
        <w:rPr>
          <w:noProof/>
        </w:rPr>
        <w:lastRenderedPageBreak/>
        <w:drawing>
          <wp:inline distT="0" distB="0" distL="0" distR="0" wp14:anchorId="4683FABF" wp14:editId="50373AAA">
            <wp:extent cx="59436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3"/>
                    <a:srcRect/>
                    <a:stretch>
                      <a:fillRect/>
                    </a:stretch>
                  </pic:blipFill>
                  <pic:spPr bwMode="auto">
                    <a:xfrm>
                      <a:off x="0" y="0"/>
                      <a:ext cx="82550" cy="63500"/>
                    </a:xfrm>
                    <a:prstGeom prst="rect">
                      <a:avLst/>
                    </a:prstGeom>
                    <a:noFill/>
                  </pic:spPr>
                </pic:pic>
              </a:graphicData>
            </a:graphic>
          </wp:inline>
        </w:drawing>
      </w:r>
    </w:p>
    <w:p w14:paraId="2F3B86F9" w14:textId="77777777" w:rsidR="003C2175" w:rsidRDefault="00855D45" w:rsidP="00236DDF">
      <w:pPr>
        <w:pStyle w:val="BodyText"/>
        <w:ind w:firstLine="0"/>
      </w:pPr>
      <w:r>
        <w:rPr>
          <w:b/>
          <w:bCs/>
        </w:rPr>
        <w:t>Figure S5.</w:t>
      </w:r>
      <w:r>
        <w:t xml:space="preserve"> Forest plots of intervention effects on any enteropathogen in any type of environmental samples , stratified by whether the pathogen is zoonotically transmitted.</w:t>
      </w:r>
    </w:p>
    <w:p w14:paraId="19B5C052" w14:textId="77777777" w:rsidR="003C2175" w:rsidRDefault="00855D45" w:rsidP="00236DDF">
      <w:pPr>
        <w:pStyle w:val="Figure"/>
        <w:ind w:firstLine="0"/>
      </w:pPr>
      <w:r>
        <w:rPr>
          <w:noProof/>
        </w:rPr>
        <w:lastRenderedPageBreak/>
        <w:drawing>
          <wp:inline distT="0" distB="0" distL="0" distR="0" wp14:anchorId="71D27E52" wp14:editId="33450594">
            <wp:extent cx="5943600" cy="640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
                    <a:srcRect/>
                    <a:stretch>
                      <a:fillRect/>
                    </a:stretch>
                  </pic:blipFill>
                  <pic:spPr bwMode="auto">
                    <a:xfrm>
                      <a:off x="0" y="0"/>
                      <a:ext cx="82550" cy="88900"/>
                    </a:xfrm>
                    <a:prstGeom prst="rect">
                      <a:avLst/>
                    </a:prstGeom>
                    <a:noFill/>
                  </pic:spPr>
                </pic:pic>
              </a:graphicData>
            </a:graphic>
          </wp:inline>
        </w:drawing>
      </w:r>
    </w:p>
    <w:p w14:paraId="6C9FD6AA" w14:textId="77777777" w:rsidR="003C2175" w:rsidRDefault="00855D45" w:rsidP="00236DDF">
      <w:pPr>
        <w:pStyle w:val="BodyText"/>
        <w:ind w:firstLine="0"/>
      </w:pPr>
      <w:r>
        <w:rPr>
          <w:b/>
          <w:bCs/>
        </w:rPr>
        <w:t>Figure S6.</w:t>
      </w:r>
      <w:r>
        <w:t xml:space="preserve"> 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w:t>
      </w:r>
    </w:p>
    <w:p w14:paraId="4AFB1F88" w14:textId="3E2C7EA1" w:rsidR="003C2175" w:rsidRDefault="00AE2D4E" w:rsidP="00236DDF">
      <w:pPr>
        <w:pStyle w:val="Figure"/>
        <w:ind w:firstLine="0"/>
      </w:pPr>
      <w:r>
        <w:rPr>
          <w:noProof/>
        </w:rPr>
        <w:lastRenderedPageBreak/>
        <w:drawing>
          <wp:inline distT="0" distB="0" distL="0" distR="0" wp14:anchorId="4C02AD72" wp14:editId="1DC4C8C8">
            <wp:extent cx="5943600" cy="640080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pic:cNvPicPr>
                  </pic:nvPicPr>
                  <pic:blipFill>
                    <a:blip r:embed="rId14"/>
                    <a:srcRect/>
                    <a:stretch>
                      <a:fillRect/>
                    </a:stretch>
                  </pic:blipFill>
                  <pic:spPr bwMode="auto">
                    <a:xfrm>
                      <a:off x="0" y="0"/>
                      <a:ext cx="5943600" cy="6400800"/>
                    </a:xfrm>
                    <a:prstGeom prst="rect">
                      <a:avLst/>
                    </a:prstGeom>
                    <a:noFill/>
                  </pic:spPr>
                </pic:pic>
              </a:graphicData>
            </a:graphic>
          </wp:inline>
        </w:drawing>
      </w:r>
    </w:p>
    <w:p w14:paraId="1EF59447" w14:textId="77777777" w:rsidR="003C2175" w:rsidRDefault="00855D45" w:rsidP="00236DDF">
      <w:pPr>
        <w:pStyle w:val="BodyText"/>
        <w:ind w:firstLine="0"/>
      </w:pPr>
      <w:r>
        <w:rPr>
          <w:b/>
          <w:bCs/>
        </w:rPr>
        <w:t>Figure S7.</w:t>
      </w:r>
      <w:r>
        <w:t xml:space="preserve"> Forest plots of unadjusted intervention effects on the prevalence of any MST marker or type of MST marker (human or animal MST markers) in different types of environmental samples. Point estimates and confidence intervals are printed next to pooled estimates.</w:t>
      </w:r>
    </w:p>
    <w:p w14:paraId="4E462289" w14:textId="77777777" w:rsidR="003C2175" w:rsidRDefault="00855D45" w:rsidP="00236DDF">
      <w:pPr>
        <w:pStyle w:val="Figure"/>
      </w:pPr>
      <w:r>
        <w:rPr>
          <w:noProof/>
        </w:rPr>
        <w:lastRenderedPageBreak/>
        <w:drawing>
          <wp:inline distT="0" distB="0" distL="0" distR="0" wp14:anchorId="16EF6F87" wp14:editId="7A965E83">
            <wp:extent cx="5943600"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5"/>
                    <a:srcRect/>
                    <a:stretch>
                      <a:fillRect/>
                    </a:stretch>
                  </pic:blipFill>
                  <pic:spPr bwMode="auto">
                    <a:xfrm>
                      <a:off x="0" y="0"/>
                      <a:ext cx="82550" cy="38100"/>
                    </a:xfrm>
                    <a:prstGeom prst="rect">
                      <a:avLst/>
                    </a:prstGeom>
                    <a:noFill/>
                  </pic:spPr>
                </pic:pic>
              </a:graphicData>
            </a:graphic>
          </wp:inline>
        </w:drawing>
      </w:r>
    </w:p>
    <w:p w14:paraId="73A7CB31" w14:textId="77777777" w:rsidR="003C2175" w:rsidRDefault="00855D45" w:rsidP="00236DDF">
      <w:pPr>
        <w:pStyle w:val="Figure"/>
      </w:pPr>
      <w:r>
        <w:rPr>
          <w:noProof/>
        </w:rPr>
        <w:drawing>
          <wp:inline distT="0" distB="0" distL="0" distR="0" wp14:anchorId="75B4CAF0" wp14:editId="33DA4310">
            <wp:extent cx="5943600" cy="274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6"/>
                    <a:srcRect/>
                    <a:stretch>
                      <a:fillRect/>
                    </a:stretch>
                  </pic:blipFill>
                  <pic:spPr bwMode="auto">
                    <a:xfrm>
                      <a:off x="0" y="0"/>
                      <a:ext cx="82550" cy="38100"/>
                    </a:xfrm>
                    <a:prstGeom prst="rect">
                      <a:avLst/>
                    </a:prstGeom>
                    <a:noFill/>
                  </pic:spPr>
                </pic:pic>
              </a:graphicData>
            </a:graphic>
          </wp:inline>
        </w:drawing>
      </w:r>
    </w:p>
    <w:p w14:paraId="072B0673" w14:textId="77777777" w:rsidR="003C2175" w:rsidRDefault="00855D45" w:rsidP="00236DDF">
      <w:pPr>
        <w:pStyle w:val="Figure"/>
      </w:pPr>
      <w:r>
        <w:rPr>
          <w:noProof/>
        </w:rPr>
        <w:drawing>
          <wp:inline distT="0" distB="0" distL="0" distR="0" wp14:anchorId="574B899D" wp14:editId="07EB2CD9">
            <wp:extent cx="59436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7"/>
                    <a:srcRect/>
                    <a:stretch>
                      <a:fillRect/>
                    </a:stretch>
                  </pic:blipFill>
                  <pic:spPr bwMode="auto">
                    <a:xfrm>
                      <a:off x="0" y="0"/>
                      <a:ext cx="82550" cy="38100"/>
                    </a:xfrm>
                    <a:prstGeom prst="rect">
                      <a:avLst/>
                    </a:prstGeom>
                    <a:noFill/>
                  </pic:spPr>
                </pic:pic>
              </a:graphicData>
            </a:graphic>
          </wp:inline>
        </w:drawing>
      </w:r>
    </w:p>
    <w:p w14:paraId="18A30FC5" w14:textId="77777777" w:rsidR="003C2175" w:rsidRDefault="00855D45" w:rsidP="00236DDF">
      <w:pPr>
        <w:pStyle w:val="Figure"/>
      </w:pPr>
      <w:r>
        <w:rPr>
          <w:noProof/>
        </w:rPr>
        <w:lastRenderedPageBreak/>
        <w:drawing>
          <wp:inline distT="0" distB="0" distL="0" distR="0" wp14:anchorId="64242805" wp14:editId="5A202194">
            <wp:extent cx="5943600"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8"/>
                    <a:srcRect/>
                    <a:stretch>
                      <a:fillRect/>
                    </a:stretch>
                  </pic:blipFill>
                  <pic:spPr bwMode="auto">
                    <a:xfrm>
                      <a:off x="0" y="0"/>
                      <a:ext cx="82550" cy="38100"/>
                    </a:xfrm>
                    <a:prstGeom prst="rect">
                      <a:avLst/>
                    </a:prstGeom>
                    <a:noFill/>
                  </pic:spPr>
                </pic:pic>
              </a:graphicData>
            </a:graphic>
          </wp:inline>
        </w:drawing>
      </w:r>
    </w:p>
    <w:p w14:paraId="42A0AF90" w14:textId="77777777" w:rsidR="003C2175" w:rsidRDefault="00855D45" w:rsidP="00236DDF">
      <w:pPr>
        <w:pStyle w:val="Figure"/>
      </w:pPr>
      <w:r>
        <w:rPr>
          <w:noProof/>
        </w:rPr>
        <w:drawing>
          <wp:inline distT="0" distB="0" distL="0" distR="0" wp14:anchorId="1DB51BD6" wp14:editId="47F997E4">
            <wp:extent cx="59436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9"/>
                    <a:srcRect/>
                    <a:stretch>
                      <a:fillRect/>
                    </a:stretch>
                  </pic:blipFill>
                  <pic:spPr bwMode="auto">
                    <a:xfrm>
                      <a:off x="0" y="0"/>
                      <a:ext cx="82550" cy="38100"/>
                    </a:xfrm>
                    <a:prstGeom prst="rect">
                      <a:avLst/>
                    </a:prstGeom>
                    <a:noFill/>
                  </pic:spPr>
                </pic:pic>
              </a:graphicData>
            </a:graphic>
          </wp:inline>
        </w:drawing>
      </w:r>
    </w:p>
    <w:p w14:paraId="297C0D97" w14:textId="77777777" w:rsidR="003C2175" w:rsidRDefault="00855D45" w:rsidP="00236DDF">
      <w:pPr>
        <w:pStyle w:val="BodyText"/>
      </w:pPr>
      <w:r>
        <w:rPr>
          <w:b/>
          <w:bCs/>
        </w:rPr>
        <w:t>Figure S8.</w:t>
      </w:r>
      <w:r>
        <w:t xml:space="preserve"> Distributions of log-10 transformed abundance outcomes. Black vertical lines mark the means, and dashed lines mark the medians.</w:t>
      </w:r>
      <w:bookmarkEnd w:id="4"/>
    </w:p>
    <w:sectPr w:rsidR="003C2175" w:rsidSect="001F4C83">
      <w:pgSz w:w="11952" w:h="16848"/>
      <w:pgMar w:top="720" w:right="720" w:bottom="720" w:left="720" w:header="720" w:footer="720" w:gutter="72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682C4" w14:textId="77777777" w:rsidR="00F056F9" w:rsidRDefault="00F056F9">
      <w:pPr>
        <w:spacing w:after="0" w:line="240" w:lineRule="auto"/>
      </w:pPr>
      <w:r>
        <w:separator/>
      </w:r>
    </w:p>
  </w:endnote>
  <w:endnote w:type="continuationSeparator" w:id="0">
    <w:p w14:paraId="205FE47D" w14:textId="77777777" w:rsidR="00F056F9" w:rsidRDefault="00F05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11F91" w14:textId="77777777" w:rsidR="00F056F9" w:rsidRDefault="00F056F9">
      <w:r>
        <w:separator/>
      </w:r>
    </w:p>
  </w:footnote>
  <w:footnote w:type="continuationSeparator" w:id="0">
    <w:p w14:paraId="6C0040A2" w14:textId="77777777" w:rsidR="00F056F9" w:rsidRDefault="00F05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5AA00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C2175"/>
    <w:rsid w:val="001F4C83"/>
    <w:rsid w:val="00236DDF"/>
    <w:rsid w:val="003C2175"/>
    <w:rsid w:val="006856B5"/>
    <w:rsid w:val="006F7A9E"/>
    <w:rsid w:val="00855D45"/>
    <w:rsid w:val="00AE2D4E"/>
    <w:rsid w:val="00C33D49"/>
    <w:rsid w:val="00CF0376"/>
    <w:rsid w:val="00F056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FAE6"/>
  <w15:docId w15:val="{E35618C6-C230-4F96-B7D6-A980D24B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13</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Effect of water, sanitation, and hygiene interventions on enteropathogen detection in the environment: an individual-data meta-analysis</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enteropathogen detection in the environment: an individual-data meta-analysis</dc:title>
  <dc:subject/>
  <dc:creator>Figures and tables</dc:creator>
  <cp:keywords/>
  <dc:description/>
  <cp:lastModifiedBy>Andrew Mertens</cp:lastModifiedBy>
  <cp:revision>2</cp:revision>
  <dcterms:created xsi:type="dcterms:W3CDTF">2022-03-15T23:11:00Z</dcterms:created>
  <dcterms:modified xsi:type="dcterms:W3CDTF">2022-03-16T16:36:00Z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