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p>
      <w:r>
        <w:br w:type="page"/>
      </w:r>
    </w:p>
    <w:bookmarkStart w:id="29"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Search terms were combined with</w:t>
      </w:r>
      <w:r>
        <w:t xml:space="preserve"> </w:t>
      </w:r>
      <w:r>
        <w:t xml:space="preserve">“</w:t>
      </w:r>
      <w:r>
        <w:t xml:space="preserve">OR</w:t>
      </w:r>
      <w:r>
        <w:t xml:space="preserve">”</w:t>
      </w:r>
      <w:r>
        <w:t xml:space="preserve"> </w:t>
      </w:r>
      <w:r>
        <w:t xml:space="preserve">within columns and with</w:t>
      </w:r>
      <w:r>
        <w:t xml:space="preserve"> </w:t>
      </w:r>
      <w:r>
        <w:t xml:space="preserve">“</w:t>
      </w:r>
      <w:r>
        <w:t xml:space="preserve">AND</w:t>
      </w:r>
      <w:r>
        <w:t xml:space="preserve">”</w:t>
      </w:r>
      <w:r>
        <w:t xml:space="preserve"> </w:t>
      </w:r>
      <w:r>
        <w:t xml:space="preserve">across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p>
      <w:r>
        <w:br w:type="page"/>
      </w:r>
    </w:p>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
        <w:tblLook w:firstRow="0" w:lastRow="0" w:firstColumn="0" w:lastColumn="0" w:noHBand="0" w:noVBand="0" w:val="0000"/>
      </w:tblPr>
      <w:tblGrid>
        <w:gridCol w:w="7920"/>
      </w:tblGrid>
      <w:tr>
        <w:tc>
          <w:tcPr/>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p>
      <w:r>
        <w:br w:type="page"/>
      </w:r>
    </w:p>
    <w:bookmarkEnd w:id="21"/>
    <w:bookmarkStart w:id="22" w:name="table-s3.-prisma-checklist"/>
    <w:p>
      <w:pPr>
        <w:pStyle w:val="Heading2"/>
      </w:pPr>
      <w:r>
        <w:t xml:space="preserve">Table S3. PRISMA Checklist</w:t>
      </w:r>
    </w:p>
    <w:p>
      <w:pPr>
        <w:pStyle w:val="FirstParagraph"/>
      </w:pPr>
      <w:r>
        <w:t xml:space="preserve">(See separate attachment)</w:t>
      </w:r>
    </w:p>
    <w:p>
      <w:r>
        <w:br w:type="page"/>
      </w:r>
    </w:p>
    <w:bookmarkEnd w:id="22"/>
    <w:bookmarkStart w:id="23" w:name="X2df3aded8033aa37ca084e6b1034569f6c5d0fd"/>
    <w:p>
      <w:pPr>
        <w:pStyle w:val="Heading2"/>
      </w:pPr>
      <w:r>
        <w:t xml:space="preserve">Table S4. Risk of bias based on modified Newcastle-Ottawa scale</w:t>
      </w:r>
    </w:p>
    <w:p>
      <w:pPr>
        <w:pStyle w:val="FirstParagraph"/>
      </w:pPr>
      <w:r>
        <w:t xml:space="preserve">Stars are given for low risk of bias in each category, up to a total of nine stars. Scoring details are in the footnotes.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1"/>
        <w:gridCol w:w="3577"/>
        <w:gridCol w:w="567"/>
        <w:gridCol w:w="806"/>
        <w:gridCol w:w="1539"/>
        <w:gridCol w:w="1004"/>
        <w:gridCol w:w="607"/>
        <w:gridCol w:w="1524"/>
        <w:gridCol w:w="615"/>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Selection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Response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Follow-up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Misclassification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assessment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measurement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Bias in 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selection bias, which refers to systematic differences between baseline characteristics of the groups that are compared?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response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due to missing follow-up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risk of households not receiving the intervention being misclassified as having received it, or vice versa?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arising from how the outcome was assessed?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ascertainment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f</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that analysis was not appropriately adjusted for clustering and/or confounding, if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g</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number of stars (x/9 possible stars).</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Clasen T, et al. Effectiveness of a rural sanitation programme on diarrhoea, soil-transmitted helminth infection, and child malnutrition in Odisha, India: a cluster-randomised trial. Lancet Glob Health. 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possible (86% of possible weeks are reported weeks)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adjusted for clustering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Luby, S.P. et al.. Effects of water quality, sanitation, handwashing, and nutritional interventions on diarrhoea and child growth in rural Bangladesh: a cluster 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94% complete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Null, C. et al., Effects of water quality, sanitation, handwashing, and nutritional interventions on diarrhoea and child growth in rural Kenya: a cluster-randomised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&lt;1%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and there are some baseline differences between intervention and control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Knee, J. et al. Effects of an urban sanitation intervention on childhood enteric infection and diarrhea in Maputo, Mozambique: A controlled before-and-after trial. eLife 2011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bl>
    <w:p>
      <w:pPr>
        <w:pStyle w:val="BodyText"/>
      </w:pPr>
      <w:r>
        <w:rPr>
          <w:vertAlign w:val="superscript"/>
        </w:rPr>
        <w:t xml:space="preserve">a</w:t>
      </w:r>
      <w:r>
        <w:t xml:space="preserve"> </w:t>
      </w:r>
      <w:r>
        <w:t xml:space="preserve">RCTs receive 1 star, unless evidence of selection bias (e.g. randomisation procedures not followed). Meaningful differences between groups at baseline in RCTs receive 0 stars. Rates of declining to participate &gt;10% receive 0 stars. Non- or quasi-randomised studies receive 0 stars.</w:t>
      </w:r>
    </w:p>
    <w:p>
      <w:pPr>
        <w:pStyle w:val="BodyText"/>
      </w:pPr>
      <w:r>
        <w:rPr>
          <w:vertAlign w:val="superscript"/>
        </w:rPr>
        <w:t xml:space="preserve">b</w:t>
      </w:r>
      <w:r>
        <w:t xml:space="preserve"> </w:t>
      </w:r>
      <w:r>
        <w:t xml:space="preserve">If intervention recipient was not blinded to intervention status, 0 stars.</w:t>
      </w:r>
    </w:p>
    <w:p>
      <w:pPr>
        <w:pStyle w:val="BodyText"/>
      </w:pPr>
      <w:r>
        <w:rPr>
          <w:vertAlign w:val="superscript"/>
        </w:rPr>
        <w:t xml:space="preserve">c</w:t>
      </w:r>
      <w:r>
        <w:t xml:space="preserve"> </w:t>
      </w:r>
      <w:r>
        <w:t xml:space="preserve">&lt;10% receives 1 star, greater than or equal to 10% receives 0 stars.</w:t>
      </w:r>
    </w:p>
    <w:p>
      <w:pPr>
        <w:pStyle w:val="BodyText"/>
      </w:pPr>
      <w:r>
        <w:rPr>
          <w:vertAlign w:val="superscript"/>
        </w:rPr>
        <w:t xml:space="preserve">d</w:t>
      </w:r>
      <w:r>
        <w:t xml:space="preserve"> </w:t>
      </w:r>
      <w:r>
        <w:t xml:space="preserve">Interventions delivered at the household/individual level receive 1 star. Interventions delivered at the community level that missed a substantial, i.e. greater than or equal to 10%, proportion of the target population receive 0 stars, including when there is insufficient information to verify whether this is the case. Interventions with substantial risk of contamination (control households receiving intervention) receive 0 stars.</w:t>
      </w:r>
    </w:p>
    <w:p>
      <w:pPr>
        <w:pStyle w:val="BodyText"/>
      </w:pPr>
      <w:r>
        <w:rPr>
          <w:vertAlign w:val="superscript"/>
        </w:rPr>
        <w:t xml:space="preserve">e</w:t>
      </w:r>
      <w:r>
        <w:t xml:space="preserve"> </w:t>
      </w:r>
      <w:r>
        <w:t xml:space="preserve">Parent / person recall (=0 stars). Fieldworker assessed (=1 star). Physician/microbiologically assessed (=2 stars)</w:t>
      </w:r>
    </w:p>
    <w:p>
      <w:pPr>
        <w:pStyle w:val="BodyText"/>
      </w:pPr>
      <w:r>
        <w:rPr>
          <w:vertAlign w:val="superscript"/>
        </w:rPr>
        <w:t xml:space="preserve">f</w:t>
      </w:r>
      <w:r>
        <w:t xml:space="preserve"> </w:t>
      </w:r>
      <w:r>
        <w:t xml:space="preserve">If outcome measurement staff were not blinded to intervention status, 0 stars.</w:t>
      </w:r>
    </w:p>
    <w:p>
      <w:pPr>
        <w:pStyle w:val="BodyText"/>
      </w:pPr>
      <w:r>
        <w:rPr>
          <w:vertAlign w:val="superscript"/>
        </w:rPr>
        <w:t xml:space="preserve">g</w:t>
      </w:r>
      <w:r>
        <w:t xml:space="preserve"> </w:t>
      </w:r>
      <w:r>
        <w:t xml:space="preserve">Scoring is based on losing stars (max. 2). Individual RCTs with baseline balance on covariates are unlikely to require adjustment (=2 stars). Cluster-RCTs and non-randomised trials may require adjustment for clustering (-1 star if not done). RCTs or cRCTs may require adjustment for covariates, with justification (-1 star if not done). Non-randomised studies require adjustment for covariates (-1 star if not done), but also adequate justification for covariate selection (-1 star if not included), and there can be too few or too many covariates.</w:t>
      </w:r>
    </w:p>
    <w:p>
      <w:r>
        <w:br w:type="page"/>
      </w:r>
    </w:p>
    <w:bookmarkEnd w:id="23"/>
    <w:bookmarkStart w:id="24" w:name="X56380ea45dbfde29ace7c825e473267a4cf9e73"/>
    <w:p>
      <w:pPr>
        <w:pStyle w:val="Heading2"/>
      </w:pPr>
      <w:r>
        <w:t xml:space="preserve">Table S5.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0"/>
        <w:gridCol w:w="2214"/>
        <w:gridCol w:w="2416"/>
        <w:gridCol w:w="2513"/>
        <w:gridCol w:w="204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(0.03, 2.19)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 (0.51, 12.42)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(0.68, 1.13)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 (0.6,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(0.84,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 (0.4, 11.05)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(0.56, 1.42)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 (0.1, 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(0.41,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(0.18, 3.36)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 (0.21,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 (0.67,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62.1% (886/1426)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(798/1426)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(0.91, 1.15)</w:t>
            </w:r>
          </w:p>
        </w:tc>
      </w:tr>
    </w:tbl>
    <w:p>
      <w:r>
        <w:br w:type="page"/>
      </w:r>
    </w:p>
    <w:bookmarkEnd w:id="24"/>
    <w:bookmarkStart w:id="25" w:name="X296fc680738b3dc44ab5764cdaad88d9129e4bd"/>
    <w:p>
      <w:pPr>
        <w:pStyle w:val="Heading2"/>
      </w:pPr>
      <w:r>
        <w:t xml:space="preserve">Table S6.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09"/>
        <w:gridCol w:w="2290"/>
        <w:gridCol w:w="2217"/>
        <w:gridCol w:w="2599"/>
        <w:gridCol w:w="2004"/>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(0.89,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(0.76, 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 (0.37, 1.36)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(0.43, 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(0.76, 1.27)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(0.85, 1.12)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(0.5, 1.75)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(0.16,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(0.94, 1.04)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(0.91, 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(0.57, 5.18)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(0.51, 1.52)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(0.36, 1.55)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 (0.49, 1.34)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(0.62, 2.73)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 (11/86)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 (62/86)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p>
      <w:r>
        <w:br w:type="page"/>
      </w:r>
    </w:p>
    <w:bookmarkEnd w:id="25"/>
    <w:bookmarkStart w:id="26" w:name="table-s7."/>
    <w:p>
      <w:pPr>
        <w:pStyle w:val="Heading2"/>
      </w:pPr>
      <w:r>
        <w:t xml:space="preserve">Table S7.</w:t>
      </w:r>
    </w:p>
    <w:p>
      <w:pPr>
        <w:pStyle w:val="FirstParagraph"/>
      </w:pPr>
      <w:r>
        <w:t xml:space="preserve">Unadjusted and adjusted results by study, sample type, and aggregated variables for pathogen targets (any pathogen, any bacteria, any viruses, any protozoa, any STH).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7"/>
        <w:gridCol w:w="903"/>
        <w:gridCol w:w="829"/>
        <w:gridCol w:w="1289"/>
        <w:gridCol w:w="1322"/>
        <w:gridCol w:w="1077"/>
        <w:gridCol w:w="1109"/>
        <w:gridCol w:w="1169"/>
        <w:gridCol w:w="1649"/>
        <w:gridCol w:w="1202"/>
        <w:gridCol w:w="1595"/>
        <w:gridCol w:w="108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PR=0.65 (95% CI: 0.33, 1.28)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 (95% CI: 0.21, 1.19)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PR=0.57 (95% CI: 0.28,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PR=0.37 (95% CI: 0.16,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0.72,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0.38, 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0.24,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0.32,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0.28,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PR=1.23 (95% CI: 0.63,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PR=1.22 (95% CI: 0.63, 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0.47, 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PR=1.06 (95% CI: 0.45,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PR=0.75 (95% CI: 0.35,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PR=0.77 (95% CI: 0.35, 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p>
      <w:r>
        <w:br w:type="page"/>
      </w:r>
    </w:p>
    <w:bookmarkEnd w:id="26"/>
    <w:bookmarkStart w:id="27" w:name="table-s8."/>
    <w:p>
      <w:pPr>
        <w:pStyle w:val="Heading2"/>
      </w:pPr>
      <w:r>
        <w:t xml:space="preserve">Table S8.</w:t>
      </w:r>
    </w:p>
    <w:p>
      <w:pPr>
        <w:pStyle w:val="FirstParagraph"/>
      </w:pPr>
      <w:r>
        <w:t xml:space="preserve">Unadjusted and adjusted results by study, sample type, and aggregated variables for MST targets (any MST, any general MST, any human MST, any animal MST).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2"/>
        <w:gridCol w:w="1364"/>
        <w:gridCol w:w="804"/>
        <w:gridCol w:w="1250"/>
        <w:gridCol w:w="1282"/>
        <w:gridCol w:w="1044"/>
        <w:gridCol w:w="1076"/>
        <w:gridCol w:w="1134"/>
        <w:gridCol w:w="1599"/>
        <w:gridCol w:w="1166"/>
        <w:gridCol w:w="1494"/>
        <w:gridCol w:w="105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PR=0.82 (95% CI: 0.62,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0.65,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0.62,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0.63,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0.67,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0.8,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0.82,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0.57,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PR=1.19 (95% CI: 0.87,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PR=1.24 (95% CI: 0.91,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0.5,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PR=1.12 (95% CI: 0.83, 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PR=0.72 (95% CI: 0.48,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PR=1.31 (95% CI: 0.78, 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0.72,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PR=1.18 (95% CI: 0.7,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0.62,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bl>
    <w:p>
      <w:r>
        <w:br w:type="page"/>
      </w:r>
    </w:p>
    <w:bookmarkEnd w:id="27"/>
    <w:bookmarkStart w:id="28" w:name="table-s9."/>
    <w:p>
      <w:pPr>
        <w:pStyle w:val="Heading2"/>
      </w:pPr>
      <w:r>
        <w:t xml:space="preserve">Table S9.</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60"/>
        <w:gridCol w:w="1331"/>
        <w:gridCol w:w="943"/>
        <w:gridCol w:w="1127"/>
        <w:gridCol w:w="1331"/>
        <w:gridCol w:w="1035"/>
        <w:gridCol w:w="967"/>
        <w:gridCol w:w="1398"/>
        <w:gridCol w:w="1331"/>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2022 in prep.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27"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w:t>
              <w:br/>
              <w:t xml:space="preserve">wealth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861 (40.9%)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 (25.6%)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 (25.4%)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Medium-low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 (21.1%)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439 (20.8%)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(31.6%)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343 (24.6%)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Medium-high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402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(21.5%)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 (25.1%)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 (24.7%)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403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 (25.5%)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 (22.7%)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(23.9%)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347 (24.9%)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people</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 (29.0%)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335 (56.1%)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 (56.1%)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 (40.0%)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1149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 (37.5%)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 (27.0%)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528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(92.0%)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(94.7%)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 (60.1%)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(71.9%)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(39.9%)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 (32.9%)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1414 (67.1%)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 (98.7%)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1373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 (52.1%)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952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 (29.8%)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444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 (40.1%)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 (48.3%)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0.110 (0.128)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0.150 (0.206)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(0.212)</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 (14.4%)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1095 (52.0%)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511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 (32.2%)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(46.7%)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 (54.9%)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740 (53.0%)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ownership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0.956 (0.206)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0.423 (0.495)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0.899 (0.302)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0.955 (0.208)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0.896 (0.307)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0.966 (0.183)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0.982 (0.132)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0.968 (0.177)</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2019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 (26.4%)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(84.3%)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 (67.0%)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1027 (73.6%)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 (92.8%)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1999 (94.9%)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 (87.8%)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1253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 (97.5%)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(47.1%)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1958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 (52.9%)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 (58.8%)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 (95.5%)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(96.5%)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812 (58.2%)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(2.5%)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bl>
    <w:bookmarkEnd w:id="28"/>
    <w:bookmarkEnd w:id="29"/>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2023-01-05T05:16:22Z</dcterms:created>
  <dcterms:modified xsi:type="dcterms:W3CDTF">2023-01-05T05:16:22Z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