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on</w:t>
      </w:r>
      <w:r>
        <w:t xml:space="preserve"> </w:t>
      </w:r>
      <w:r>
        <w:t xml:space="preserve">diarrhea,</w:t>
      </w:r>
      <w:r>
        <w:t xml:space="preserve"> </w:t>
      </w:r>
      <w:r>
        <w:t xml:space="preserve">child</w:t>
      </w:r>
      <w:r>
        <w:t xml:space="preserve"> </w:t>
      </w:r>
      <w:r>
        <w:t xml:space="preserve">growth,</w:t>
      </w:r>
      <w:r>
        <w:t xml:space="preserve"> </w:t>
      </w:r>
      <w:r>
        <w:t xml:space="preserve">and</w:t>
      </w:r>
      <w:r>
        <w:t xml:space="preserve"> </w:t>
      </w:r>
      <w:r>
        <w:t xml:space="preserve">enteric</w:t>
      </w:r>
      <w:r>
        <w:t xml:space="preserve"> </w:t>
      </w:r>
      <w:r>
        <w:t xml:space="preserve">infections:</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Ayse</w:t>
      </w:r>
      <w:r>
        <w:t xml:space="preserve"> </w:t>
      </w:r>
      <w:r>
        <w:t xml:space="preserve">Ercumen</w:t>
      </w:r>
    </w:p>
    <w:bookmarkStart w:id="20" w:name="notes"/>
    <w:p>
      <w:pPr>
        <w:pStyle w:val="Heading1"/>
      </w:pPr>
      <w:r>
        <w:t xml:space="preserve">Notes</w:t>
      </w:r>
    </w:p>
    <w:p>
      <w:pPr>
        <w:numPr>
          <w:ilvl w:val="0"/>
          <w:numId w:val="1001"/>
        </w:numPr>
        <w:pStyle w:val="Compact"/>
      </w:pPr>
      <w:r>
        <w:t xml:space="preserve">Due to sparsity, consider moving all MST results to the appendix</w:t>
      </w:r>
    </w:p>
    <w:p>
      <w:pPr>
        <w:numPr>
          <w:ilvl w:val="0"/>
          <w:numId w:val="1001"/>
        </w:numPr>
        <w:pStyle w:val="Compact"/>
      </w:pPr>
      <w:r>
        <w:t xml:space="preserve">Note serious sparsity in Fuhrmeister as almost all samples were taken after health samples</w:t>
      </w:r>
    </w:p>
    <w:p>
      <w:pPr>
        <w:numPr>
          <w:ilvl w:val="0"/>
          <w:numId w:val="1001"/>
        </w:numPr>
        <w:pStyle w:val="Compact"/>
      </w:pPr>
      <w:r>
        <w:t xml:space="preserve">Consider changing requirements to allow for anthropometry outcomes taken within 1-month after env. outcomes (3 months?) because there isn’t the reverse causation concern as for with diarrhea.</w:t>
      </w:r>
    </w:p>
    <w:p>
      <w:pPr>
        <w:numPr>
          <w:ilvl w:val="0"/>
          <w:numId w:val="1001"/>
        </w:numPr>
        <w:pStyle w:val="Compact"/>
      </w:pPr>
      <w:r>
        <w:t xml:space="preserve">As most of the primary results are null, do you think keeping the aims separate as 2 different manuscripts still makes sense? Combining into one manuscript would lead to a very long supplementary material, but could have just a few main figures with some more targeted presentations of results.</w:t>
      </w:r>
    </w:p>
    <w:p>
      <w:pPr>
        <w:numPr>
          <w:ilvl w:val="0"/>
          <w:numId w:val="1001"/>
        </w:numPr>
        <w:pStyle w:val="Compact"/>
      </w:pPr>
      <w:r>
        <w:t xml:space="preserve">Aim 3 analysis- I don’t see any contrast that is significant in both manuscripts. Could estimate just for any sample/any target?</w:t>
      </w:r>
    </w:p>
    <w:p>
      <w:pPr>
        <w:numPr>
          <w:ilvl w:val="0"/>
          <w:numId w:val="1001"/>
        </w:numPr>
        <w:pStyle w:val="Compact"/>
      </w:pPr>
      <w:r>
        <w:t xml:space="preserve">Should we add a sensitivity analysis imposing a time between samples and anthro measures?… I’ve included baseline samples so there could be a long gap in some cases.</w:t>
      </w:r>
    </w:p>
    <w:bookmarkEnd w:id="20"/>
    <w:bookmarkStart w:id="21" w:name="abstract"/>
    <w:p>
      <w:pPr>
        <w:pStyle w:val="Heading1"/>
      </w:pPr>
      <w:r>
        <w:t xml:space="preserve">Abstract</w:t>
      </w:r>
    </w:p>
    <w:p>
      <w:pPr>
        <w:pStyle w:val="FirstParagraph"/>
      </w:pPr>
      <w:r>
        <w:t xml:space="preserve">(to write)</w:t>
      </w:r>
    </w:p>
    <w:bookmarkEnd w:id="21"/>
    <w:bookmarkStart w:id="22" w:name="background"/>
    <w:p>
      <w:pPr>
        <w:pStyle w:val="Heading1"/>
      </w:pPr>
      <w:r>
        <w:t xml:space="preserve">Background</w:t>
      </w:r>
    </w:p>
    <w:bookmarkEnd w:id="22"/>
    <w:bookmarkStart w:id="23" w:name="methods"/>
    <w:p>
      <w:pPr>
        <w:pStyle w:val="Heading1"/>
      </w:pPr>
      <w:r>
        <w:t xml:space="preserve">Methods</w:t>
      </w:r>
    </w:p>
    <w:p>
      <w:pPr>
        <w:numPr>
          <w:ilvl w:val="0"/>
          <w:numId w:val="1002"/>
        </w:numPr>
        <w:pStyle w:val="Compact"/>
      </w:pPr>
      <w:r>
        <w:t xml:space="preserve">Prescreening</w:t>
      </w:r>
    </w:p>
    <w:p>
      <w:pPr>
        <w:numPr>
          <w:ilvl w:val="0"/>
          <w:numId w:val="1002"/>
        </w:numPr>
        <w:pStyle w:val="Compact"/>
      </w:pPr>
      <w:r>
        <w:t xml:space="preserve">Clustering</w:t>
      </w:r>
    </w:p>
    <w:p>
      <w:pPr>
        <w:numPr>
          <w:ilvl w:val="0"/>
          <w:numId w:val="1002"/>
        </w:numPr>
        <w:pStyle w:val="Compact"/>
      </w:pPr>
      <w:r>
        <w:t xml:space="preserve">Handling multiple rounds</w:t>
      </w:r>
    </w:p>
    <w:p>
      <w:pPr>
        <w:numPr>
          <w:ilvl w:val="0"/>
          <w:numId w:val="1002"/>
        </w:numPr>
        <w:pStyle w:val="Compact"/>
      </w:pPr>
      <w:r>
        <w:t xml:space="preserve">Handling time- 3 months for diarrhea</w:t>
      </w:r>
    </w:p>
    <w:p>
      <w:pPr>
        <w:numPr>
          <w:ilvl w:val="0"/>
          <w:numId w:val="1002"/>
        </w:numPr>
        <w:pStyle w:val="Compact"/>
      </w:pPr>
      <w:r>
        <w:t xml:space="preserve">Covariate adjustment set:</w:t>
      </w:r>
    </w:p>
    <w:p>
      <w:pPr>
        <w:numPr>
          <w:ilvl w:val="1"/>
          <w:numId w:val="1003"/>
        </w:numPr>
        <w:pStyle w:val="Compact"/>
      </w:pPr>
      <w:r>
        <w:t xml:space="preserve">Child sex</w:t>
      </w:r>
    </w:p>
    <w:p>
      <w:pPr>
        <w:numPr>
          <w:ilvl w:val="1"/>
          <w:numId w:val="1003"/>
        </w:numPr>
        <w:pStyle w:val="Compact"/>
      </w:pPr>
      <w:r>
        <w:t xml:space="preserve">Child age</w:t>
      </w:r>
    </w:p>
    <w:p>
      <w:pPr>
        <w:numPr>
          <w:ilvl w:val="1"/>
          <w:numId w:val="1003"/>
        </w:numPr>
        <w:pStyle w:val="Compact"/>
      </w:pPr>
      <w:r>
        <w:t xml:space="preserve">Treatment arm</w:t>
      </w:r>
    </w:p>
    <w:p>
      <w:pPr>
        <w:numPr>
          <w:ilvl w:val="1"/>
          <w:numId w:val="1003"/>
        </w:numPr>
        <w:pStyle w:val="Compact"/>
      </w:pPr>
      <w:r>
        <w:t xml:space="preserve">Household food security</w:t>
      </w:r>
    </w:p>
    <w:p>
      <w:pPr>
        <w:numPr>
          <w:ilvl w:val="1"/>
          <w:numId w:val="1003"/>
        </w:numPr>
        <w:pStyle w:val="Compact"/>
      </w:pPr>
      <w:r>
        <w:t xml:space="preserve">Maternal age</w:t>
      </w:r>
    </w:p>
    <w:p>
      <w:pPr>
        <w:numPr>
          <w:ilvl w:val="1"/>
          <w:numId w:val="1003"/>
        </w:numPr>
        <w:pStyle w:val="Compact"/>
      </w:pPr>
      <w:r>
        <w:t xml:space="preserve">Maternal education</w:t>
      </w:r>
    </w:p>
    <w:p>
      <w:pPr>
        <w:numPr>
          <w:ilvl w:val="1"/>
          <w:numId w:val="1003"/>
        </w:numPr>
        <w:pStyle w:val="Compact"/>
      </w:pPr>
      <w:r>
        <w:t xml:space="preserve">Asset-based household wealth</w:t>
      </w:r>
    </w:p>
    <w:p>
      <w:pPr>
        <w:numPr>
          <w:ilvl w:val="1"/>
          <w:numId w:val="1003"/>
        </w:numPr>
        <w:pStyle w:val="Compact"/>
      </w:pPr>
      <w:r>
        <w:t xml:space="preserve">Number people in the household</w:t>
      </w:r>
    </w:p>
    <w:p>
      <w:pPr>
        <w:numPr>
          <w:ilvl w:val="1"/>
          <w:numId w:val="1003"/>
        </w:numPr>
        <w:pStyle w:val="Compact"/>
      </w:pPr>
      <w:r>
        <w:t xml:space="preserve">Number of rooms</w:t>
      </w:r>
    </w:p>
    <w:p>
      <w:pPr>
        <w:numPr>
          <w:ilvl w:val="1"/>
          <w:numId w:val="1003"/>
        </w:numPr>
        <w:pStyle w:val="Compact"/>
      </w:pPr>
      <w:r>
        <w:t xml:space="preserve">Household construction (walls, floor)</w:t>
      </w:r>
    </w:p>
    <w:p>
      <w:pPr>
        <w:numPr>
          <w:ilvl w:val="1"/>
          <w:numId w:val="1003"/>
        </w:numPr>
        <w:pStyle w:val="Compact"/>
      </w:pPr>
      <w:r>
        <w:t xml:space="preserve">Electrification</w:t>
      </w:r>
    </w:p>
    <w:p>
      <w:pPr>
        <w:numPr>
          <w:ilvl w:val="1"/>
          <w:numId w:val="1003"/>
        </w:numPr>
        <w:pStyle w:val="Compact"/>
      </w:pPr>
      <w:r>
        <w:t xml:space="preserve">Parent works in agriculture</w:t>
      </w:r>
    </w:p>
    <w:p>
      <w:pPr>
        <w:numPr>
          <w:ilvl w:val="1"/>
          <w:numId w:val="1003"/>
        </w:numPr>
        <w:pStyle w:val="Compact"/>
      </w:pPr>
      <w:r>
        <w:t xml:space="preserve">Owns land</w:t>
      </w:r>
    </w:p>
    <w:bookmarkEnd w:id="23"/>
    <w:bookmarkStart w:id="24" w:name="results"/>
    <w:p>
      <w:pPr>
        <w:pStyle w:val="Heading1"/>
      </w:pPr>
      <w:r>
        <w:t xml:space="preserve">Results</w:t>
      </w:r>
    </w:p>
    <w:p>
      <w:pPr>
        <w:numPr>
          <w:ilvl w:val="0"/>
          <w:numId w:val="1004"/>
        </w:numPr>
        <w:pStyle w:val="Compact"/>
      </w:pPr>
      <w:r>
        <w:t xml:space="preserve">Studies included</w:t>
      </w:r>
    </w:p>
    <w:p>
      <w:pPr>
        <w:numPr>
          <w:ilvl w:val="0"/>
          <w:numId w:val="1005"/>
        </w:numPr>
        <w:pStyle w:val="Compact"/>
      </w:pPr>
      <w:r>
        <w:t xml:space="preserve">The WASH Benefits Bangladesh trial10</w:t>
      </w:r>
    </w:p>
    <w:p>
      <w:pPr>
        <w:numPr>
          <w:ilvl w:val="0"/>
          <w:numId w:val="1005"/>
        </w:numPr>
        <w:pStyle w:val="Compact"/>
      </w:pPr>
      <w:r>
        <w:t xml:space="preserve">The WASH Benefits Kenya trial10</w:t>
      </w:r>
    </w:p>
    <w:p>
      <w:pPr>
        <w:numPr>
          <w:ilvl w:val="0"/>
          <w:numId w:val="1005"/>
        </w:numPr>
        <w:pStyle w:val="Compact"/>
      </w:pPr>
      <w:r>
        <w:t xml:space="preserve">The MapSan trial in Mozambique11</w:t>
      </w:r>
      <w:r>
        <w:br/>
      </w:r>
    </w:p>
    <w:p>
      <w:pPr>
        <w:numPr>
          <w:ilvl w:val="0"/>
          <w:numId w:val="1005"/>
        </w:numPr>
        <w:pStyle w:val="Compact"/>
      </w:pPr>
      <w:r>
        <w:t xml:space="preserve">The Gram Vikas matched cohort study in India12</w:t>
      </w:r>
    </w:p>
    <w:p>
      <w:pPr>
        <w:numPr>
          <w:ilvl w:val="0"/>
          <w:numId w:val="1005"/>
        </w:numPr>
        <w:pStyle w:val="Compact"/>
      </w:pPr>
      <w:r>
        <w:t xml:space="preserve">Total Sanitation Campaign trial in India13</w:t>
      </w:r>
    </w:p>
    <w:p>
      <w:pPr>
        <w:numPr>
          <w:ilvl w:val="0"/>
          <w:numId w:val="1006"/>
        </w:numPr>
        <w:pStyle w:val="Compact"/>
      </w:pPr>
      <w:r>
        <w:t xml:space="preserve">Data from each study (Targets, methods of)</w:t>
      </w:r>
    </w:p>
    <w:p>
      <w:pPr>
        <w:numPr>
          <w:ilvl w:val="0"/>
          <w:numId w:val="1006"/>
        </w:numPr>
        <w:pStyle w:val="Compact"/>
      </w:pPr>
      <w:r>
        <w:t xml:space="preserve">Number of outcomes for each study, number of samples</w:t>
      </w:r>
    </w:p>
    <w:p>
      <w:pPr>
        <w:numPr>
          <w:ilvl w:val="0"/>
          <w:numId w:val="1006"/>
        </w:numPr>
        <w:pStyle w:val="Compact"/>
      </w:pPr>
      <w:r>
        <w:t xml:space="preserve">Prevalences for primary outcomes</w:t>
      </w:r>
    </w:p>
    <w:p>
      <w:pPr>
        <w:numPr>
          <w:ilvl w:val="0"/>
          <w:numId w:val="1006"/>
        </w:numPr>
        <w:pStyle w:val="Compact"/>
      </w:pPr>
      <w:r>
        <w:t xml:space="preserve">PR’s</w:t>
      </w:r>
    </w:p>
    <w:p>
      <w:pPr>
        <w:numPr>
          <w:ilvl w:val="0"/>
          <w:numId w:val="1006"/>
        </w:numPr>
        <w:pStyle w:val="Compact"/>
      </w:pPr>
      <w:r>
        <w:t xml:space="preserve">Abundance results</w:t>
      </w:r>
    </w:p>
    <w:p>
      <w:pPr>
        <w:numPr>
          <w:ilvl w:val="0"/>
          <w:numId w:val="1006"/>
        </w:numPr>
        <w:pStyle w:val="Compact"/>
      </w:pPr>
      <w:r>
        <w:t xml:space="preserve">Note no possible estimates of any-MST’s and diarrhea due to sparsity (too few positives in households with children with diarrhea, or too many positives)</w:t>
      </w:r>
    </w:p>
    <w:bookmarkEnd w:id="24"/>
    <w:bookmarkStart w:id="25" w:name="discussion"/>
    <w:p>
      <w:pPr>
        <w:pStyle w:val="Heading1"/>
      </w:pPr>
      <w:r>
        <w:t xml:space="preserve">Discussion</w:t>
      </w:r>
    </w:p>
    <w:p>
      <w:pPr>
        <w:numPr>
          <w:ilvl w:val="0"/>
          <w:numId w:val="1007"/>
        </w:numPr>
        <w:pStyle w:val="Compact"/>
      </w:pPr>
      <w:r>
        <w:t xml:space="preserve">Limitations</w:t>
      </w:r>
    </w:p>
    <w:p>
      <w:pPr>
        <w:numPr>
          <w:ilvl w:val="1"/>
          <w:numId w:val="1008"/>
        </w:numPr>
        <w:pStyle w:val="Compact"/>
      </w:pPr>
      <w:r>
        <w:t xml:space="preserve">Sparse in many categories</w:t>
      </w:r>
    </w:p>
    <w:bookmarkEnd w:id="25"/>
    <w:bookmarkStart w:id="32" w:name="figures"/>
    <w:p>
      <w:pPr>
        <w:pStyle w:val="Heading1"/>
      </w:pPr>
      <w:r>
        <w:t xml:space="preserve">Figures</w:t>
      </w:r>
    </w:p>
    <w:p>
      <w:pPr>
        <w:pStyle w:val="FirstParagraph"/>
      </w:pPr>
      <w:r>
        <w:drawing>
          <wp:inline>
            <wp:extent cx="8229600" cy="4114800"/>
            <wp:effectExtent b="0" l="0" r="0" t="0"/>
            <wp:docPr descr="" title="" id="1" name="Picture"/>
            <a:graphic>
              <a:graphicData uri="http://schemas.openxmlformats.org/drawingml/2006/picture">
                <pic:pic>
                  <pic:nvPicPr>
                    <pic:cNvPr descr="Aim2_manuscript_files/figure-docx/unnamed-chunk-2-1.png" id="0" name="Picture"/>
                    <pic:cNvPicPr>
                      <a:picLocks noChangeArrowheads="1" noChangeAspect="1"/>
                    </pic:cNvPicPr>
                  </pic:nvPicPr>
                  <pic:blipFill>
                    <a:blip r:embed="rId26"/>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Forest plots of the effects of any enteropathogen or any MST presence on diarrhea risk in different samples of environmental samples. Pooled estimates are presented when there are four or more study-specific estimates for a specific sample and target combination.</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3-1.png" id="0" name="Picture"/>
                    <pic:cNvPicPr>
                      <a:picLocks noChangeArrowheads="1" noChangeAspect="1"/>
                    </pic:cNvPicPr>
                  </pic:nvPicPr>
                  <pic:blipFill>
                    <a:blip r:embed="rId27"/>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2.</w:t>
      </w:r>
      <w:r>
        <w:t xml:space="preserve"> </w:t>
      </w:r>
      <w:r>
        <w:t xml:space="preserve">haz</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4-1.png" id="0" name="Picture"/>
                    <pic:cNvPicPr>
                      <a:picLocks noChangeArrowheads="1" noChangeAspect="1"/>
                    </pic:cNvPicPr>
                  </pic:nvPicPr>
                  <pic:blipFill>
                    <a:blip r:embed="rId28"/>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3.</w:t>
      </w:r>
      <w:r>
        <w:t xml:space="preserve"> </w:t>
      </w:r>
      <w:r>
        <w:t xml:space="preserve">diar-MST</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5-1.png" id="0" name="Picture"/>
                    <pic:cNvPicPr>
                      <a:picLocks noChangeArrowheads="1" noChangeAspect="1"/>
                    </pic:cNvPicPr>
                  </pic:nvPicPr>
                  <pic:blipFill>
                    <a:blip r:embed="rId29"/>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4.</w:t>
      </w:r>
      <w:r>
        <w:t xml:space="preserve"> </w:t>
      </w:r>
      <w:r>
        <w:t xml:space="preserve">diar-pathogens</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6-1.png" id="0" name="Picture"/>
                    <pic:cNvPicPr>
                      <a:picLocks noChangeArrowheads="1" noChangeAspect="1"/>
                    </pic:cNvPicPr>
                  </pic:nvPicPr>
                  <pic:blipFill>
                    <a:blip r:embed="rId30"/>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5.</w:t>
      </w:r>
      <w:r>
        <w:t xml:space="preserve"> </w:t>
      </w:r>
      <w:r>
        <w:t xml:space="preserve">haz-MST</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7-1.png" id="0" name="Picture"/>
                    <pic:cNvPicPr>
                      <a:picLocks noChangeArrowheads="1" noChangeAspect="1"/>
                    </pic:cNvPicPr>
                  </pic:nvPicPr>
                  <pic:blipFill>
                    <a:blip r:embed="rId31"/>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Figure 6.</w:t>
      </w:r>
      <w:r>
        <w:t xml:space="preserve"> </w:t>
      </w:r>
      <w:r>
        <w:t xml:space="preserve">haz-pathogens</w:t>
      </w:r>
    </w:p>
    <w:bookmarkEnd w:id="32"/>
    <w:bookmarkStart w:id="33" w:name="tables"/>
    <w:p>
      <w:pPr>
        <w:pStyle w:val="Heading1"/>
      </w:pPr>
      <w:r>
        <w:t xml:space="preserve">Tables</w:t>
      </w:r>
    </w:p>
    <w:bookmarkEnd w:id="33"/>
    <w:bookmarkStart w:id="43" w:name="supplimentary-figures"/>
    <w:p>
      <w:pPr>
        <w:pStyle w:val="Heading1"/>
      </w:pPr>
      <w:r>
        <w:t xml:space="preserve">Supplimentary Figures</w:t>
      </w:r>
    </w:p>
    <w:p>
      <w:pPr>
        <w:pStyle w:val="FirstParagraph"/>
      </w:pPr>
      <w:r>
        <w:drawing>
          <wp:inline>
            <wp:extent cx="8229600" cy="4114800"/>
            <wp:effectExtent b="0" l="0" r="0" t="0"/>
            <wp:docPr descr="" title="" id="1" name="Picture"/>
            <a:graphic>
              <a:graphicData uri="http://schemas.openxmlformats.org/drawingml/2006/picture">
                <pic:pic>
                  <pic:nvPicPr>
                    <pic:cNvPr descr="Aim2_manuscript_files/figure-docx/unnamed-chunk-8-1.png" id="0" name="Picture"/>
                    <pic:cNvPicPr>
                      <a:picLocks noChangeArrowheads="1" noChangeAspect="1"/>
                    </pic:cNvPicPr>
                  </pic:nvPicPr>
                  <pic:blipFill>
                    <a:blip r:embed="rId34"/>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Weight-for-height</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9-1.png" id="0" name="Picture"/>
                    <pic:cNvPicPr>
                      <a:picLocks noChangeArrowheads="1" noChangeAspect="1"/>
                    </pic:cNvPicPr>
                  </pic:nvPicPr>
                  <pic:blipFill>
                    <a:blip r:embed="rId35"/>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Weight-for-height</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0-1.png" id="0" name="Picture"/>
                    <pic:cNvPicPr>
                      <a:picLocks noChangeArrowheads="1" noChangeAspect="1"/>
                    </pic:cNvPicPr>
                  </pic:nvPicPr>
                  <pic:blipFill>
                    <a:blip r:embed="rId36"/>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Weight-for-height</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1-1.png" id="0" name="Picture"/>
                    <pic:cNvPicPr>
                      <a:picLocks noChangeArrowheads="1" noChangeAspect="1"/>
                    </pic:cNvPicPr>
                  </pic:nvPicPr>
                  <pic:blipFill>
                    <a:blip r:embed="rId37"/>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Weight-for-age</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2-1.png" id="0" name="Picture"/>
                    <pic:cNvPicPr>
                      <a:picLocks noChangeArrowheads="1" noChangeAspect="1"/>
                    </pic:cNvPicPr>
                  </pic:nvPicPr>
                  <pic:blipFill>
                    <a:blip r:embed="rId38"/>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Weight-for-age</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3-1.png" id="0" name="Picture"/>
                    <pic:cNvPicPr>
                      <a:picLocks noChangeArrowheads="1" noChangeAspect="1"/>
                    </pic:cNvPicPr>
                  </pic:nvPicPr>
                  <pic:blipFill>
                    <a:blip r:embed="rId39"/>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Weight-for-age</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4-1.png" id="0" name="Picture"/>
                    <pic:cNvPicPr>
                      <a:picLocks noChangeArrowheads="1" noChangeAspect="1"/>
                    </pic:cNvPicPr>
                  </pic:nvPicPr>
                  <pic:blipFill>
                    <a:blip r:embed="rId40"/>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Stunting</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5-1.png" id="0" name="Picture"/>
                    <pic:cNvPicPr>
                      <a:picLocks noChangeArrowheads="1" noChangeAspect="1"/>
                    </pic:cNvPicPr>
                  </pic:nvPicPr>
                  <pic:blipFill>
                    <a:blip r:embed="rId41"/>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Wasting</w:t>
      </w:r>
    </w:p>
    <w:p>
      <w:pPr>
        <w:pStyle w:val="BodyText"/>
      </w:pPr>
      <w:r>
        <w:drawing>
          <wp:inline>
            <wp:extent cx="8229600" cy="4114800"/>
            <wp:effectExtent b="0" l="0" r="0" t="0"/>
            <wp:docPr descr="" title="" id="1" name="Picture"/>
            <a:graphic>
              <a:graphicData uri="http://schemas.openxmlformats.org/drawingml/2006/picture">
                <pic:pic>
                  <pic:nvPicPr>
                    <pic:cNvPr descr="Aim2_manuscript_files/figure-docx/unnamed-chunk-16-1.png" id="0" name="Picture"/>
                    <pic:cNvPicPr>
                      <a:picLocks noChangeArrowheads="1" noChangeAspect="1"/>
                    </pic:cNvPicPr>
                  </pic:nvPicPr>
                  <pic:blipFill>
                    <a:blip r:embed="rId42"/>
                    <a:stretch>
                      <a:fillRect/>
                    </a:stretch>
                  </pic:blipFill>
                  <pic:spPr bwMode="auto">
                    <a:xfrm>
                      <a:off x="0" y="0"/>
                      <a:ext cx="8229600" cy="4114800"/>
                    </a:xfrm>
                    <a:prstGeom prst="rect">
                      <a:avLst/>
                    </a:prstGeom>
                    <a:noFill/>
                    <a:ln w="9525">
                      <a:noFill/>
                      <a:headEnd/>
                      <a:tailEnd/>
                    </a:ln>
                  </pic:spPr>
                </pic:pic>
              </a:graphicData>
            </a:graphic>
          </wp:inline>
        </w:drawing>
      </w:r>
    </w:p>
    <w:p>
      <w:pPr>
        <w:pStyle w:val="BodyText"/>
      </w:pPr>
      <w:r>
        <w:rPr>
          <w:bCs/>
          <w:b/>
        </w:rPr>
        <w:t xml:space="preserve">Supplementary Figure 1.</w:t>
      </w:r>
      <w:r>
        <w:t xml:space="preserve"> </w:t>
      </w:r>
      <w:r>
        <w:t xml:space="preserve">Underweight</w:t>
      </w:r>
    </w:p>
    <w:bookmarkEnd w:id="43"/>
    <w:bookmarkStart w:id="44" w:name="references"/>
    <w:p>
      <w:pPr>
        <w:pStyle w:val="Heading1"/>
      </w:pPr>
      <w:r>
        <w:t xml:space="preserve">References</w:t>
      </w:r>
    </w:p>
    <w:bookmarkEnd w:id="44"/>
    <w:sectPr w:rsidR="00244230" w:rsidRPr="00244230" w:rsidSect="0027406B">
      <w:pgSz w:w="15840" w:h="12240" w:orient="landscape"/>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180" w:after="180" w:line="259" w:lineRule="auto"/>
        <w:ind w:firstLine="7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8B"/>
  </w:style>
  <w:style w:type="paragraph" w:styleId="Heading1">
    <w:name w:val="heading 1"/>
    <w:basedOn w:val="Normal"/>
    <w:next w:val="Normal"/>
    <w:link w:val="Heading1Char"/>
    <w:uiPriority w:val="9"/>
    <w:qFormat/>
    <w:rsid w:val="00BF7D8B"/>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F7D8B"/>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F7D8B"/>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BF7D8B"/>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BF7D8B"/>
    <w:pPr>
      <w:keepNext/>
      <w:keepLines/>
      <w:numPr>
        <w:ilvl w:val="4"/>
        <w:numId w:val="1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BF7D8B"/>
    <w:pPr>
      <w:keepNext/>
      <w:keepLines/>
      <w:numPr>
        <w:ilvl w:val="5"/>
        <w:numId w:val="1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BF7D8B"/>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D8B"/>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D8B"/>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BF7D8B"/>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F7D8B"/>
    <w:pPr>
      <w:numPr>
        <w:ilvl w:val="1"/>
      </w:numPr>
      <w:ind w:firstLine="720"/>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F7D8B"/>
    <w:pPr>
      <w:spacing w:after="200" w:line="240" w:lineRule="auto"/>
    </w:pPr>
    <w:rPr>
      <w:i/>
      <w:iCs/>
      <w:color w:val="1F497D"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i/>
      <w:iCs/>
      <w:color w:val="1F497D" w:themeColor="text2"/>
      <w:sz w:val="18"/>
      <w:szCs w:val="18"/>
    </w:rPr>
  </w:style>
  <w:style w:type="character" w:customStyle="1" w:styleId="VerbatimChar">
    <w:name w:val="Verbatim Char"/>
    <w:basedOn w:val="CaptionChar"/>
    <w:link w:val="SourceCode"/>
    <w:rPr>
      <w:rFonts w:ascii="Consolas" w:hAnsi="Consolas"/>
      <w:i/>
      <w:iCs/>
      <w:color w:val="1F497D" w:themeColor="text2"/>
      <w:sz w:val="22"/>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BF7D8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1F497D"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1F497D" w:themeColor="text2"/>
      <w:sz w:val="22"/>
      <w:szCs w:val="18"/>
      <w:shd w:val="clear" w:color="auto" w:fill="F8F8F8"/>
    </w:rPr>
  </w:style>
  <w:style w:type="character" w:customStyle="1" w:styleId="ExtensionTok">
    <w:name w:val="ExtensionTok"/>
    <w:basedOn w:val="VerbatimChar"/>
    <w:rPr>
      <w:rFonts w:ascii="Consolas" w:hAnsi="Consolas"/>
      <w:i/>
      <w:iCs/>
      <w:color w:val="1F497D"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1F497D"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1F497D" w:themeColor="text2"/>
      <w:sz w:val="22"/>
      <w:szCs w:val="18"/>
      <w:shd w:val="clear" w:color="auto" w:fill="F8F8F8"/>
    </w:rPr>
  </w:style>
  <w:style w:type="character" w:customStyle="1" w:styleId="Heading1Char">
    <w:name w:val="Heading 1 Char"/>
    <w:basedOn w:val="DefaultParagraphFont"/>
    <w:link w:val="Heading1"/>
    <w:uiPriority w:val="9"/>
    <w:rsid w:val="00BF7D8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F7D8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BF7D8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BF7D8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BF7D8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BF7D8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BF7D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D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D8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BF7D8B"/>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BF7D8B"/>
    <w:rPr>
      <w:color w:val="5A5A5A" w:themeColor="text1" w:themeTint="A5"/>
      <w:spacing w:val="10"/>
    </w:rPr>
  </w:style>
  <w:style w:type="character" w:styleId="Strong">
    <w:name w:val="Strong"/>
    <w:basedOn w:val="DefaultParagraphFont"/>
    <w:uiPriority w:val="22"/>
    <w:qFormat/>
    <w:rsid w:val="00BF7D8B"/>
    <w:rPr>
      <w:b/>
      <w:bCs/>
      <w:color w:val="000000" w:themeColor="text1"/>
    </w:rPr>
  </w:style>
  <w:style w:type="character" w:styleId="Emphasis">
    <w:name w:val="Emphasis"/>
    <w:basedOn w:val="DefaultParagraphFont"/>
    <w:uiPriority w:val="20"/>
    <w:qFormat/>
    <w:rsid w:val="00BF7D8B"/>
    <w:rPr>
      <w:i/>
      <w:iCs/>
      <w:color w:val="auto"/>
    </w:rPr>
  </w:style>
  <w:style w:type="paragraph" w:styleId="NoSpacing">
    <w:name w:val="No Spacing"/>
    <w:uiPriority w:val="1"/>
    <w:qFormat/>
    <w:rsid w:val="00BF7D8B"/>
    <w:pPr>
      <w:spacing w:after="0" w:line="240" w:lineRule="auto"/>
    </w:pPr>
  </w:style>
  <w:style w:type="paragraph" w:styleId="Quote">
    <w:name w:val="Quote"/>
    <w:basedOn w:val="Normal"/>
    <w:next w:val="Normal"/>
    <w:link w:val="QuoteChar"/>
    <w:uiPriority w:val="29"/>
    <w:qFormat/>
    <w:rsid w:val="00BF7D8B"/>
    <w:pPr>
      <w:spacing w:before="160"/>
      <w:ind w:left="720" w:right="720"/>
    </w:pPr>
    <w:rPr>
      <w:i/>
      <w:iCs/>
      <w:color w:val="000000" w:themeColor="text1"/>
    </w:rPr>
  </w:style>
  <w:style w:type="character" w:customStyle="1" w:styleId="QuoteChar">
    <w:name w:val="Quote Char"/>
    <w:basedOn w:val="DefaultParagraphFont"/>
    <w:link w:val="Quote"/>
    <w:uiPriority w:val="29"/>
    <w:rsid w:val="00BF7D8B"/>
    <w:rPr>
      <w:i/>
      <w:iCs/>
      <w:color w:val="000000" w:themeColor="text1"/>
    </w:rPr>
  </w:style>
  <w:style w:type="paragraph" w:styleId="IntenseQuote">
    <w:name w:val="Intense Quote"/>
    <w:basedOn w:val="Normal"/>
    <w:next w:val="Normal"/>
    <w:link w:val="IntenseQuoteChar"/>
    <w:uiPriority w:val="30"/>
    <w:qFormat/>
    <w:rsid w:val="00BF7D8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7D8B"/>
    <w:rPr>
      <w:color w:val="000000" w:themeColor="text1"/>
      <w:shd w:val="clear" w:color="auto" w:fill="F2F2F2" w:themeFill="background1" w:themeFillShade="F2"/>
    </w:rPr>
  </w:style>
  <w:style w:type="character" w:styleId="SubtleEmphasis">
    <w:name w:val="Subtle Emphasis"/>
    <w:basedOn w:val="DefaultParagraphFont"/>
    <w:uiPriority w:val="19"/>
    <w:qFormat/>
    <w:rsid w:val="00BF7D8B"/>
    <w:rPr>
      <w:i/>
      <w:iCs/>
      <w:color w:val="404040" w:themeColor="text1" w:themeTint="BF"/>
    </w:rPr>
  </w:style>
  <w:style w:type="character" w:styleId="IntenseEmphasis">
    <w:name w:val="Intense Emphasis"/>
    <w:basedOn w:val="DefaultParagraphFont"/>
    <w:uiPriority w:val="21"/>
    <w:qFormat/>
    <w:rsid w:val="00BF7D8B"/>
    <w:rPr>
      <w:b/>
      <w:bCs/>
      <w:i/>
      <w:iCs/>
      <w:caps/>
    </w:rPr>
  </w:style>
  <w:style w:type="character" w:styleId="SubtleReference">
    <w:name w:val="Subtle Reference"/>
    <w:basedOn w:val="DefaultParagraphFont"/>
    <w:uiPriority w:val="31"/>
    <w:qFormat/>
    <w:rsid w:val="00BF7D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7D8B"/>
    <w:rPr>
      <w:b/>
      <w:bCs/>
      <w:smallCaps/>
      <w:u w:val="single"/>
    </w:rPr>
  </w:style>
  <w:style w:type="character" w:styleId="BookTitle">
    <w:name w:val="Book Title"/>
    <w:basedOn w:val="DefaultParagraphFont"/>
    <w:uiPriority w:val="33"/>
    <w:qFormat/>
    <w:rsid w:val="00BF7D8B"/>
    <w:rPr>
      <w:b w:val="0"/>
      <w:bCs w:val="0"/>
      <w:smallCaps/>
      <w:spacing w:val="5"/>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pathogens in the environment on diarrhea, child growth, and enteric infections: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Ayse Ercumen</dc:creator>
  <cp:keywords/>
  <dcterms:created xsi:type="dcterms:W3CDTF">2021-06-01T05:03:45Z</dcterms:created>
  <dcterms:modified xsi:type="dcterms:W3CDTF">2021-06-01T05:03:45Z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