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pathogens</w:t>
      </w:r>
      <w:r>
        <w:t xml:space="preserve"> </w:t>
      </w:r>
      <w:r>
        <w:t xml:space="preserve">in</w:t>
      </w:r>
      <w:r>
        <w:t xml:space="preserve"> </w:t>
      </w:r>
      <w:r>
        <w:t xml:space="preserve">the</w:t>
      </w:r>
      <w:r>
        <w:t xml:space="preserve"> </w:t>
      </w:r>
      <w:r>
        <w:t xml:space="preserve">environment</w:t>
      </w:r>
      <w:r>
        <w:t xml:space="preserve"> </w:t>
      </w:r>
      <w:r>
        <w:t xml:space="preserve">on</w:t>
      </w:r>
      <w:r>
        <w:t xml:space="preserve"> </w:t>
      </w:r>
      <w:r>
        <w:t xml:space="preserve">diarrhea,</w:t>
      </w:r>
      <w:r>
        <w:t xml:space="preserve"> </w:t>
      </w:r>
      <w:r>
        <w:t xml:space="preserve">child</w:t>
      </w:r>
      <w:r>
        <w:t xml:space="preserve"> </w:t>
      </w:r>
      <w:r>
        <w:t xml:space="preserve">growth,</w:t>
      </w:r>
      <w:r>
        <w:t xml:space="preserve"> </w:t>
      </w:r>
      <w:r>
        <w:t xml:space="preserve">and</w:t>
      </w:r>
      <w:r>
        <w:t xml:space="preserve"> </w:t>
      </w:r>
      <w:r>
        <w:t xml:space="preserve">enteric</w:t>
      </w:r>
      <w:r>
        <w:t xml:space="preserve"> </w:t>
      </w:r>
      <w:r>
        <w:t xml:space="preserve">infections:</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Ayse</w:t>
      </w:r>
      <w:r>
        <w:t xml:space="preserve"> </w:t>
      </w:r>
      <w:r>
        <w:t xml:space="preserve">Ercumen</w:t>
      </w:r>
    </w:p>
    <w:bookmarkStart w:id="20" w:name="abstract"/>
    <w:p>
      <w:pPr>
        <w:pStyle w:val="Heading1"/>
      </w:pPr>
      <w:r>
        <w:t xml:space="preserve">Abstract</w:t>
      </w:r>
    </w:p>
    <w:p>
      <w:pPr>
        <w:pStyle w:val="FirstParagraph"/>
      </w:pPr>
      <w:r>
        <w:t xml:space="preserve">(to write)</w:t>
      </w:r>
    </w:p>
    <w:bookmarkEnd w:id="20"/>
    <w:bookmarkStart w:id="21" w:name="background"/>
    <w:p>
      <w:pPr>
        <w:pStyle w:val="Heading1"/>
      </w:pPr>
      <w:r>
        <w:t xml:space="preserve">Background</w:t>
      </w:r>
    </w:p>
    <w:bookmarkEnd w:id="21"/>
    <w:bookmarkStart w:id="22" w:name="methods"/>
    <w:p>
      <w:pPr>
        <w:pStyle w:val="Heading1"/>
      </w:pPr>
      <w:r>
        <w:t xml:space="preserve">Methods</w:t>
      </w:r>
    </w:p>
    <w:p>
      <w:pPr>
        <w:numPr>
          <w:ilvl w:val="0"/>
          <w:numId w:val="1001"/>
        </w:numPr>
        <w:pStyle w:val="Compact"/>
      </w:pPr>
      <w:r>
        <w:t xml:space="preserve">Prescreening</w:t>
      </w:r>
    </w:p>
    <w:p>
      <w:pPr>
        <w:numPr>
          <w:ilvl w:val="0"/>
          <w:numId w:val="1001"/>
        </w:numPr>
        <w:pStyle w:val="Compact"/>
      </w:pPr>
      <w:r>
        <w:t xml:space="preserve">Clustering</w:t>
      </w:r>
    </w:p>
    <w:p>
      <w:pPr>
        <w:numPr>
          <w:ilvl w:val="0"/>
          <w:numId w:val="1001"/>
        </w:numPr>
        <w:pStyle w:val="Compact"/>
      </w:pPr>
      <w:r>
        <w:t xml:space="preserve">Handling multiple rounds</w:t>
      </w:r>
    </w:p>
    <w:bookmarkEnd w:id="22"/>
    <w:bookmarkStart w:id="23" w:name="results"/>
    <w:p>
      <w:pPr>
        <w:pStyle w:val="Heading1"/>
      </w:pPr>
      <w:r>
        <w:t xml:space="preserve">Results</w:t>
      </w:r>
    </w:p>
    <w:p>
      <w:pPr>
        <w:numPr>
          <w:ilvl w:val="0"/>
          <w:numId w:val="1002"/>
        </w:numPr>
        <w:pStyle w:val="Compact"/>
      </w:pPr>
      <w:r>
        <w:t xml:space="preserve">Studies included</w:t>
      </w:r>
    </w:p>
    <w:p>
      <w:pPr>
        <w:numPr>
          <w:ilvl w:val="0"/>
          <w:numId w:val="1003"/>
        </w:numPr>
        <w:pStyle w:val="Compact"/>
      </w:pPr>
      <w:r>
        <w:t xml:space="preserve">The WASH Benefits Bangladesh trial10</w:t>
      </w:r>
    </w:p>
    <w:p>
      <w:pPr>
        <w:numPr>
          <w:ilvl w:val="0"/>
          <w:numId w:val="1003"/>
        </w:numPr>
        <w:pStyle w:val="Compact"/>
      </w:pPr>
      <w:r>
        <w:t xml:space="preserve">The WASH Benefits Kenya trial10</w:t>
      </w:r>
    </w:p>
    <w:p>
      <w:pPr>
        <w:numPr>
          <w:ilvl w:val="0"/>
          <w:numId w:val="1003"/>
        </w:numPr>
        <w:pStyle w:val="Compact"/>
      </w:pPr>
      <w:r>
        <w:t xml:space="preserve">The MapSan trial in Mozambique11</w:t>
      </w:r>
      <w:r>
        <w:br/>
      </w:r>
    </w:p>
    <w:p>
      <w:pPr>
        <w:numPr>
          <w:ilvl w:val="0"/>
          <w:numId w:val="1003"/>
        </w:numPr>
        <w:pStyle w:val="Compact"/>
      </w:pPr>
      <w:r>
        <w:t xml:space="preserve">The Gram Vikas matched cohort study in India12</w:t>
      </w:r>
    </w:p>
    <w:p>
      <w:pPr>
        <w:numPr>
          <w:ilvl w:val="0"/>
          <w:numId w:val="1003"/>
        </w:numPr>
        <w:pStyle w:val="Compact"/>
      </w:pPr>
      <w:r>
        <w:t xml:space="preserve">Total Sanitation Campaign trial in India13</w:t>
      </w:r>
    </w:p>
    <w:p>
      <w:pPr>
        <w:numPr>
          <w:ilvl w:val="0"/>
          <w:numId w:val="1004"/>
        </w:numPr>
        <w:pStyle w:val="Compact"/>
      </w:pPr>
      <w:r>
        <w:t xml:space="preserve">Data from each study (Targets, methods of)</w:t>
      </w:r>
    </w:p>
    <w:p>
      <w:pPr>
        <w:numPr>
          <w:ilvl w:val="0"/>
          <w:numId w:val="1004"/>
        </w:numPr>
        <w:pStyle w:val="Compact"/>
      </w:pPr>
      <w:r>
        <w:t xml:space="preserve">Number of outcomes for each study, number of samples</w:t>
      </w:r>
    </w:p>
    <w:p>
      <w:pPr>
        <w:numPr>
          <w:ilvl w:val="0"/>
          <w:numId w:val="1004"/>
        </w:numPr>
        <w:pStyle w:val="Compact"/>
      </w:pPr>
      <w:r>
        <w:t xml:space="preserve">Prevalences for primary outcomes</w:t>
      </w:r>
    </w:p>
    <w:p>
      <w:pPr>
        <w:numPr>
          <w:ilvl w:val="0"/>
          <w:numId w:val="1004"/>
        </w:numPr>
        <w:pStyle w:val="Compact"/>
      </w:pPr>
      <w:r>
        <w:t xml:space="preserve">PR’s</w:t>
      </w:r>
    </w:p>
    <w:p>
      <w:pPr>
        <w:numPr>
          <w:ilvl w:val="0"/>
          <w:numId w:val="1004"/>
        </w:numPr>
        <w:pStyle w:val="Compact"/>
      </w:pPr>
      <w:r>
        <w:t xml:space="preserve">Abundance results</w:t>
      </w:r>
    </w:p>
    <w:bookmarkEnd w:id="23"/>
    <w:bookmarkStart w:id="24" w:name="discussion"/>
    <w:p>
      <w:pPr>
        <w:pStyle w:val="Heading1"/>
      </w:pPr>
      <w:r>
        <w:t xml:space="preserve">Discussion</w:t>
      </w:r>
    </w:p>
    <w:p>
      <w:pPr>
        <w:numPr>
          <w:ilvl w:val="0"/>
          <w:numId w:val="1005"/>
        </w:numPr>
        <w:pStyle w:val="Compact"/>
      </w:pPr>
      <w:r>
        <w:t xml:space="preserve">Limitations</w:t>
      </w:r>
    </w:p>
    <w:p>
      <w:pPr>
        <w:numPr>
          <w:ilvl w:val="1"/>
          <w:numId w:val="1006"/>
        </w:numPr>
        <w:pStyle w:val="Compact"/>
      </w:pPr>
      <w:r>
        <w:t xml:space="preserve">Sparse in many categories</w:t>
      </w:r>
    </w:p>
    <w:bookmarkEnd w:id="24"/>
    <w:bookmarkStart w:id="27" w:name="figures"/>
    <w:p>
      <w:pPr>
        <w:pStyle w:val="Heading1"/>
      </w:pPr>
      <w:r>
        <w:t xml:space="preserve">Figures</w:t>
      </w:r>
    </w:p>
    <w:p>
      <w:pPr>
        <w:pStyle w:val="FirstParagraph"/>
      </w:pPr>
      <w:r>
        <w:drawing>
          <wp:inline>
            <wp:extent cx="8229600" cy="4114800"/>
            <wp:effectExtent b="0" l="0" r="0" t="0"/>
            <wp:docPr descr="" title="" id="1" name="Picture"/>
            <a:graphic>
              <a:graphicData uri="http://schemas.openxmlformats.org/drawingml/2006/picture">
                <pic:pic>
                  <pic:nvPicPr>
                    <pic:cNvPr descr="Aim2_manuscript_files/figure-docx/unnamed-chunk-2-1.png" id="0" name="Picture"/>
                    <pic:cNvPicPr>
                      <a:picLocks noChangeArrowheads="1" noChangeAspect="1"/>
                    </pic:cNvPicPr>
                  </pic:nvPicPr>
                  <pic:blipFill>
                    <a:blip r:embed="rId25"/>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Forest plots of the effects of any enteropathogen or any MST presence on diarrhea risk in different samples of environmental samples. Pooled estimates are presented when there are four or more study-specific estimates for a specific sample and target combination.</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3-1.png" id="0" name="Picture"/>
                    <pic:cNvPicPr>
                      <a:picLocks noChangeArrowheads="1" noChangeAspect="1"/>
                    </pic:cNvPicPr>
                  </pic:nvPicPr>
                  <pic:blipFill>
                    <a:blip r:embed="rId26"/>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haz</w:t>
      </w:r>
    </w:p>
    <w:bookmarkEnd w:id="27"/>
    <w:bookmarkStart w:id="28" w:name="tables"/>
    <w:p>
      <w:pPr>
        <w:pStyle w:val="Heading1"/>
      </w:pPr>
      <w:r>
        <w:t xml:space="preserve">Tables</w:t>
      </w:r>
    </w:p>
    <w:bookmarkEnd w:id="28"/>
    <w:bookmarkStart w:id="29" w:name="supplimentary-figures"/>
    <w:p>
      <w:pPr>
        <w:pStyle w:val="Heading1"/>
      </w:pPr>
      <w:r>
        <w:t xml:space="preserve">Supplimentary Figures</w:t>
      </w:r>
    </w:p>
    <w:bookmarkEnd w:id="29"/>
    <w:bookmarkStart w:id="30" w:name="references"/>
    <w:p>
      <w:pPr>
        <w:pStyle w:val="Heading1"/>
      </w:pPr>
      <w:r>
        <w:t xml:space="preserve">References</w:t>
      </w:r>
    </w:p>
    <w:bookmarkEnd w:id="30"/>
    <w:sectPr w:rsidR="00244230" w:rsidRPr="00244230" w:rsidSect="0027406B">
      <w:pgSz w:w="15840" w:h="12240" w:orient="landscape"/>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7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2"/>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180" w:after="180" w:line="259" w:lineRule="auto"/>
        <w:ind w:firstLine="7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8B"/>
  </w:style>
  <w:style w:type="paragraph" w:styleId="Heading1">
    <w:name w:val="heading 1"/>
    <w:basedOn w:val="Normal"/>
    <w:next w:val="Normal"/>
    <w:link w:val="Heading1Char"/>
    <w:uiPriority w:val="9"/>
    <w:qFormat/>
    <w:rsid w:val="00BF7D8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F7D8B"/>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F7D8B"/>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F7D8B"/>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BF7D8B"/>
    <w:pPr>
      <w:keepNext/>
      <w:keepLines/>
      <w:numPr>
        <w:ilvl w:val="4"/>
        <w:numId w:val="1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BF7D8B"/>
    <w:pPr>
      <w:keepNext/>
      <w:keepLines/>
      <w:numPr>
        <w:ilvl w:val="5"/>
        <w:numId w:val="1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BF7D8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D8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D8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BF7D8B"/>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F7D8B"/>
    <w:pPr>
      <w:numPr>
        <w:ilvl w:val="1"/>
      </w:numPr>
      <w:ind w:firstLine="720"/>
    </w:pPr>
    <w:rPr>
      <w:color w:val="5A5A5A" w:themeColor="text1" w:themeTint="A5"/>
      <w:spacing w:val="1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7D8B"/>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rPr>
      <w:i/>
      <w:iCs/>
      <w:color w:val="4F81BD" w:themeColor="accent1"/>
      <w:sz w:val="18"/>
      <w:szCs w:val="18"/>
    </w:rPr>
  </w:style>
  <w:style w:type="paragraph" w:styleId="TOCHeading">
    <w:name w:val="TOC Heading"/>
    <w:basedOn w:val="Heading1"/>
    <w:next w:val="Normal"/>
    <w:uiPriority w:val="39"/>
    <w:unhideWhenUsed/>
    <w:qFormat/>
    <w:rsid w:val="00BF7D8B"/>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F497D"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F497D" w:themeColor="text2"/>
      <w:sz w:val="22"/>
      <w:szCs w:val="18"/>
      <w:shd w:val="clear" w:color="auto" w:fill="F8F8F8"/>
    </w:rPr>
  </w:style>
  <w:style w:type="character" w:customStyle="1" w:styleId="ExtensionTok">
    <w:name w:val="ExtensionTok"/>
    <w:basedOn w:val="VerbatimChar"/>
    <w:rPr>
      <w:rFonts w:ascii="Consolas" w:hAnsi="Consolas"/>
      <w:i/>
      <w:iCs/>
      <w:color w:val="1F497D"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F497D"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F497D" w:themeColor="text2"/>
      <w:sz w:val="22"/>
      <w:szCs w:val="18"/>
      <w:shd w:val="clear" w:color="auto" w:fill="F8F8F8"/>
    </w:rPr>
  </w:style>
  <w:style w:type="character" w:customStyle="1" w:styleId="Heading1Char">
    <w:name w:val="Heading 1 Char"/>
    <w:basedOn w:val="DefaultParagraphFont"/>
    <w:link w:val="Heading1"/>
    <w:uiPriority w:val="9"/>
    <w:rsid w:val="00BF7D8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F7D8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F7D8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F7D8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BF7D8B"/>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BF7D8B"/>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BF7D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D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D8B"/>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BF7D8B"/>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BF7D8B"/>
    <w:rPr>
      <w:color w:val="5A5A5A" w:themeColor="text1" w:themeTint="A5"/>
      <w:spacing w:val="10"/>
    </w:rPr>
  </w:style>
  <w:style w:type="character" w:styleId="Strong">
    <w:name w:val="Strong"/>
    <w:basedOn w:val="DefaultParagraphFont"/>
    <w:uiPriority w:val="22"/>
    <w:qFormat/>
    <w:rsid w:val="00BF7D8B"/>
    <w:rPr>
      <w:b/>
      <w:bCs/>
      <w:color w:val="000000" w:themeColor="text1"/>
    </w:rPr>
  </w:style>
  <w:style w:type="character" w:styleId="Emphasis">
    <w:name w:val="Emphasis"/>
    <w:basedOn w:val="DefaultParagraphFont"/>
    <w:uiPriority w:val="20"/>
    <w:qFormat/>
    <w:rsid w:val="00BF7D8B"/>
    <w:rPr>
      <w:i/>
      <w:iCs/>
      <w:color w:val="auto"/>
    </w:rPr>
  </w:style>
  <w:style w:type="paragraph" w:styleId="NoSpacing">
    <w:name w:val="No Spacing"/>
    <w:uiPriority w:val="1"/>
    <w:qFormat/>
    <w:rsid w:val="00BF7D8B"/>
    <w:pPr>
      <w:spacing w:after="0" w:line="240" w:lineRule="auto"/>
    </w:pPr>
  </w:style>
  <w:style w:type="paragraph" w:styleId="Quote">
    <w:name w:val="Quote"/>
    <w:basedOn w:val="Normal"/>
    <w:next w:val="Normal"/>
    <w:link w:val="QuoteChar"/>
    <w:uiPriority w:val="29"/>
    <w:qFormat/>
    <w:rsid w:val="00BF7D8B"/>
    <w:pPr>
      <w:spacing w:before="160"/>
      <w:ind w:left="720" w:right="720"/>
    </w:pPr>
    <w:rPr>
      <w:i/>
      <w:iCs/>
      <w:color w:val="000000" w:themeColor="text1"/>
    </w:rPr>
  </w:style>
  <w:style w:type="character" w:customStyle="1" w:styleId="QuoteChar">
    <w:name w:val="Quote Char"/>
    <w:basedOn w:val="DefaultParagraphFont"/>
    <w:link w:val="Quote"/>
    <w:uiPriority w:val="29"/>
    <w:rsid w:val="00BF7D8B"/>
    <w:rPr>
      <w:i/>
      <w:iCs/>
      <w:color w:val="000000" w:themeColor="text1"/>
    </w:rPr>
  </w:style>
  <w:style w:type="paragraph" w:styleId="IntenseQuote">
    <w:name w:val="Intense Quote"/>
    <w:basedOn w:val="Normal"/>
    <w:next w:val="Normal"/>
    <w:link w:val="IntenseQuoteChar"/>
    <w:uiPriority w:val="30"/>
    <w:qFormat/>
    <w:rsid w:val="00BF7D8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7D8B"/>
    <w:rPr>
      <w:color w:val="000000" w:themeColor="text1"/>
      <w:shd w:val="clear" w:color="auto" w:fill="F2F2F2" w:themeFill="background1" w:themeFillShade="F2"/>
    </w:rPr>
  </w:style>
  <w:style w:type="character" w:styleId="SubtleEmphasis">
    <w:name w:val="Subtle Emphasis"/>
    <w:basedOn w:val="DefaultParagraphFont"/>
    <w:uiPriority w:val="19"/>
    <w:qFormat/>
    <w:rsid w:val="00BF7D8B"/>
    <w:rPr>
      <w:i/>
      <w:iCs/>
      <w:color w:val="404040" w:themeColor="text1" w:themeTint="BF"/>
    </w:rPr>
  </w:style>
  <w:style w:type="character" w:styleId="IntenseEmphasis">
    <w:name w:val="Intense Emphasis"/>
    <w:basedOn w:val="DefaultParagraphFont"/>
    <w:uiPriority w:val="21"/>
    <w:qFormat/>
    <w:rsid w:val="00BF7D8B"/>
    <w:rPr>
      <w:b/>
      <w:bCs/>
      <w:i/>
      <w:iCs/>
      <w:caps/>
    </w:rPr>
  </w:style>
  <w:style w:type="character" w:styleId="SubtleReference">
    <w:name w:val="Subtle Reference"/>
    <w:basedOn w:val="DefaultParagraphFont"/>
    <w:uiPriority w:val="31"/>
    <w:qFormat/>
    <w:rsid w:val="00BF7D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7D8B"/>
    <w:rPr>
      <w:b/>
      <w:bCs/>
      <w:smallCaps/>
      <w:u w:val="single"/>
    </w:rPr>
  </w:style>
  <w:style w:type="character" w:styleId="BookTitle">
    <w:name w:val="Book Title"/>
    <w:basedOn w:val="DefaultParagraphFont"/>
    <w:uiPriority w:val="33"/>
    <w:qFormat/>
    <w:rsid w:val="00BF7D8B"/>
    <w:rPr>
      <w:b w:val="0"/>
      <w:bCs w:val="0"/>
      <w:smallCaps/>
      <w:spacing w:val="5"/>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pathogens in the environment on diarrhea, child growth, and enteric infections: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Ayse Ercumen</dc:creator>
  <cp:keywords/>
  <dcterms:created xsi:type="dcterms:W3CDTF">2021-05-31T05:48:18Z</dcterms:created>
  <dcterms:modified xsi:type="dcterms:W3CDTF">2021-05-31T05:48:18Z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