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25.png" ContentType="image/png"/>
  <Override PartName="/word/media/rId29.png" ContentType="image/png"/>
  <Override PartName="/word/media/rId30.png" ContentType="image/png"/>
  <Override PartName="/word/media/rId31.png" ContentType="image/png"/>
  <Override PartName="/word/media/rId32.png" ContentType="image/png"/>
  <Override PartName="/word/media/rId35.png" ContentType="image/png"/>
  <Override PartName="/word/media/rId21.png" ContentType="image/png"/>
  <Override PartName="/word/media/rId22.png" ContentType="image/png"/>
  <Override PartName="/word/media/rId20.png" ContentType="image/png"/>
  <Override PartName="/word/media/rId33.png" ContentType="image/png"/>
  <Override PartName="/word/media/rId34.png" ContentType="image/png"/>
  <Override PartName="/word/media/rId36.png" ContentType="image/png"/>
  <Override PartName="/word/media/rId41.png" ContentType="image/png"/>
  <Override PartName="/word/media/rId42.png" ContentType="image/png"/>
  <Override PartName="/word/media/rId43.png" ContentType="image/png"/>
  <Override PartName="/word/media/rId24.png" ContentType="image/png"/>
  <Override PartName="/word/media/rId26.png" ContentType="image/png"/>
  <Override PartName="/word/media/rId37.png" ContentType="image/png"/>
  <Override PartName="/word/media/rId38.png" ContentType="image/png"/>
  <Override PartName="/word/media/rId39.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3" w:name="primary-figures"/>
    <w:p>
      <w:pPr>
        <w:pStyle w:val="Heading1"/>
      </w:pPr>
      <w:r>
        <w:t xml:space="preserve">Primary figures</w:t>
      </w:r>
    </w:p>
    <w:p>
      <w:pPr>
        <w:pStyle w:val="FirstParagraph"/>
      </w:pPr>
      <w:r>
        <w:drawing>
          <wp:inline>
            <wp:extent cx="8229600" cy="4937760"/>
            <wp:effectExtent b="0" l="0" r="0" t="0"/>
            <wp:docPr descr="" title="" id="1" name="Picture"/>
            <a:graphic>
              <a:graphicData uri="http://schemas.openxmlformats.org/drawingml/2006/picture">
                <pic:pic>
                  <pic:nvPicPr>
                    <pic:cNvPr descr="WASH-IPD-aim2-figures_files/figure-docx/p_pathogen-1.png" id="0"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pPr>
        <w:pStyle w:val="BodyText"/>
      </w:pPr>
      <w:r>
        <w:drawing>
          <wp:inline>
            <wp:extent cx="8229600" cy="4114800"/>
            <wp:effectExtent b="0" l="0" r="0" t="0"/>
            <wp:docPr descr="" title="" id="1" name="Picture"/>
            <a:graphic>
              <a:graphicData uri="http://schemas.openxmlformats.org/drawingml/2006/picture">
                <pic:pic>
                  <pic:nvPicPr>
                    <pic:cNvPr descr="WASH-IPD-aim2-figures_files/figure-docx/p_diar_1_adj-1.png" id="0" name="Picture"/>
                    <pic:cNvPicPr>
                      <a:picLocks noChangeArrowheads="1" noChangeAspect="1"/>
                    </pic:cNvPicPr>
                  </pic:nvPicPr>
                  <pic:blipFill>
                    <a:blip r:embed="rId21"/>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1" name="Picture"/>
            <a:graphic>
              <a:graphicData uri="http://schemas.openxmlformats.org/drawingml/2006/picture">
                <pic:pic>
                  <pic:nvPicPr>
                    <pic:cNvPr descr="WASH-IPD-aim2-figures_files/figure-docx/p_haz_1_adj-1.png" id="0" name="Picture"/>
                    <pic:cNvPicPr>
                      <a:picLocks noChangeArrowheads="1" noChangeAspect="1"/>
                    </pic:cNvPicPr>
                  </pic:nvPicPr>
                  <pic:blipFill>
                    <a:blip r:embed="rId22"/>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child HAZ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3"/>
    <w:bookmarkStart w:id="44" w:name="supplementary-figures"/>
    <w:p>
      <w:pPr>
        <w:pStyle w:val="Heading1"/>
      </w:pPr>
      <w:r>
        <w:t xml:space="preserve">Supplementary figures</w:t>
      </w:r>
    </w:p>
    <w:p>
      <w:pPr>
        <w:pStyle w:val="FirstParagraph"/>
      </w:pPr>
      <w:r>
        <w:drawing>
          <wp:inline>
            <wp:extent cx="8229600" cy="5349240"/>
            <wp:effectExtent b="0" l="0" r="0" t="0"/>
            <wp:docPr descr="" title="" id="1" name="Picture"/>
            <a:graphic>
              <a:graphicData uri="http://schemas.openxmlformats.org/drawingml/2006/picture">
                <pic:pic>
                  <pic:nvPicPr>
                    <pic:cNvPr descr="WASH-IPD-aim2-figures_files/figure-docx/unnamed-chunk-4-1.png" id="0" name="Picture"/>
                    <pic:cNvPicPr>
                      <a:picLocks noChangeArrowheads="1" noChangeAspect="1"/>
                    </pic:cNvPicPr>
                  </pic:nvPicPr>
                  <pic:blipFill>
                    <a:blip r:embed="rId2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_agg2-1.png" id="0" name="Picture"/>
                    <pic:cNvPicPr>
                      <a:picLocks noChangeArrowheads="1" noChangeAspect="1"/>
                    </pic:cNvPicPr>
                  </pic:nvPicPr>
                  <pic:blipFill>
                    <a:blip r:embed="rId2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w:t>
      </w:r>
      <w:r>
        <w:t xml:space="preserve"> </w:t>
      </w:r>
      <w:r>
        <w:t xml:space="preserve">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unnamed-chunk-5-1.png" id="0" name="Picture"/>
                    <pic:cNvPicPr>
                      <a:picLocks noChangeArrowheads="1" noChangeAspect="1"/>
                    </pic:cNvPicPr>
                  </pic:nvPicPr>
                  <pic:blipFill>
                    <a:blip r:embed="rId2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2-1.png" id="0" name="Picture"/>
                    <pic:cNvPicPr>
                      <a:picLocks noChangeArrowheads="1" noChangeAspect="1"/>
                    </pic:cNvPicPr>
                  </pic:nvPicPr>
                  <pic:blipFill>
                    <a:blip r:embed="rId2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1_abund-1.png" id="0" name="Picture"/>
                    <pic:cNvPicPr>
                      <a:picLocks noChangeArrowheads="1" noChangeAspect="1"/>
                    </pic:cNvPicPr>
                  </pic:nvPicPr>
                  <pic:blipFill>
                    <a:blip r:embed="rId2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_mst-1.png" id="0" name="Picture"/>
                    <pic:cNvPicPr>
                      <a:picLocks noChangeArrowheads="1" noChangeAspect="1"/>
                    </pic:cNvPicPr>
                  </pic:nvPicPr>
                  <pic:blipFill>
                    <a:blip r:embed="rId2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_mst_abund-1.png" id="0" name="Picture"/>
                    <pic:cNvPicPr>
                      <a:picLocks noChangeArrowheads="1" noChangeAspect="1"/>
                    </pic:cNvPicPr>
                  </pic:nvPicPr>
                  <pic:blipFill>
                    <a:blip r:embed="rId3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age_diar_1-1.png" id="0" name="Picture"/>
                    <pic:cNvPicPr>
                      <a:picLocks noChangeArrowheads="1" noChangeAspect="1"/>
                    </pic:cNvPicPr>
                  </pic:nvPicPr>
                  <pic:blipFill>
                    <a:blip r:embed="rId3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Forest plots of associations between child diarrheal disease and any enteropathogen, and any MST markers, in different types of environmental samples, stratified by child age. Grey points mark sparse age strata without estimated relative risks.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age_haz_1-1.png" id="0" name="Picture"/>
                    <pic:cNvPicPr>
                      <a:picLocks noChangeArrowheads="1" noChangeAspect="1"/>
                    </pic:cNvPicPr>
                  </pic:nvPicPr>
                  <pic:blipFill>
                    <a:blip r:embed="rId3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Forest plots of associations between child HAZ and any enteropathogen, and any MST markers, in different types of environmental samples, stratified by child age. Grey points mark sparse age strata without estimated mean differences.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sex_diar_1-1.png" id="0" name="Picture"/>
                    <pic:cNvPicPr>
                      <a:picLocks noChangeArrowheads="1" noChangeAspect="1"/>
                    </pic:cNvPicPr>
                  </pic:nvPicPr>
                  <pic:blipFill>
                    <a:blip r:embed="rId3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Forest plots of associations between child diarrheal disease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sex_haz_1-1.png" id="0" name="Picture"/>
                    <pic:cNvPicPr>
                      <a:picLocks noChangeArrowheads="1" noChangeAspect="1"/>
                    </pic:cNvPicPr>
                  </pic:nvPicPr>
                  <pic:blipFill>
                    <a:blip r:embed="rId3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associations between child HAZ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animals_haz_1-1.png" id="0" name="Picture"/>
                    <pic:cNvPicPr>
                      <a:picLocks noChangeArrowheads="1" noChangeAspect="1"/>
                    </pic:cNvPicPr>
                  </pic:nvPicPr>
                  <pic:blipFill>
                    <a:blip r:embed="rId3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child HAZ and any enteropathogen, and any MST markers, in different types of environmental samples, stratified by whether any animals were present in the compound.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wet_diar_2-1.png" id="0"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relative risks between diarrhea disease and any enteropathogen, and any MST markers, in different types of environmental samples, stratified by whether the diarrheal disease occurred during the wet versus dry season (defined by the 6 months of highest average rainfall).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unnamed-chunk-6-1.png" id="0" name="Picture"/>
                    <pic:cNvPicPr>
                      <a:picLocks noChangeArrowheads="1" noChangeAspect="1"/>
                    </pic:cNvPicPr>
                  </pic:nvPicPr>
                  <pic:blipFill>
                    <a:blip r:embed="rId3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unnamed-chunk-7-1.png" id="0" name="Picture"/>
                    <pic:cNvPicPr>
                      <a:picLocks noChangeArrowheads="1" noChangeAspect="1"/>
                    </pic:cNvPicPr>
                  </pic:nvPicPr>
                  <pic:blipFill>
                    <a:blip r:embed="rId3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8-1.png" id="0" name="Picture"/>
                    <pic:cNvPicPr>
                      <a:picLocks noChangeArrowheads="1" noChangeAspect="1"/>
                    </pic:cNvPicPr>
                  </pic:nvPicPr>
                  <pic:blipFill>
                    <a:blip r:embed="rId39"/>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13.</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9-1.png" id="0" name="Picture"/>
                    <pic:cNvPicPr>
                      <a:picLocks noChangeArrowheads="1" noChangeAspect="1"/>
                    </pic:cNvPicPr>
                  </pic:nvPicPr>
                  <pic:blipFill>
                    <a:blip r:embed="rId4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14.</w:t>
      </w:r>
      <w:r>
        <w:t xml:space="preserve"> </w:t>
      </w:r>
      <w:r>
        <w:t xml:space="preserve">Comparison between associations estimated with and without including potential confounders for the continious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10-1.png" id="0" name="Picture"/>
                    <pic:cNvPicPr>
                      <a:picLocks noChangeArrowheads="1" noChangeAspect="1"/>
                    </pic:cNvPicPr>
                  </pic:nvPicPr>
                  <pic:blipFill>
                    <a:blip r:embed="rId4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11-1.png" id="0" name="Picture"/>
                    <pic:cNvPicPr>
                      <a:picLocks noChangeArrowheads="1" noChangeAspect="1"/>
                    </pic:cNvPicPr>
                  </pic:nvPicPr>
                  <pic:blipFill>
                    <a:blip r:embed="rId42"/>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generalized linear models (GLM) and machine-learning based targeted likelihood estimation models (TMLE) for the height-for-age Z-score outcome.</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12-1.png" id="0" name="Picture"/>
                    <pic:cNvPicPr>
                      <a:picLocks noChangeArrowheads="1" noChangeAspect="1"/>
                    </pic:cNvPicPr>
                  </pic:nvPicPr>
                  <pic:blipFill>
                    <a:blip r:embed="rId43"/>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p>
    <w:bookmarkEnd w:id="44"/>
    <w:bookmarkStart w:id="45" w:name="tables"/>
    <w:p>
      <w:pPr>
        <w:pStyle w:val="Heading1"/>
      </w:pPr>
      <w:r>
        <w:t xml:space="preserve">Tables</w:t>
      </w:r>
    </w:p>
    <w:p>
      <w:pPr>
        <w:pStyle w:val="FirstParagraph"/>
      </w:pPr>
      <w:r>
        <w:rPr>
          <w:bCs/>
          <w:b/>
        </w:rPr>
        <w:t xml:space="preserve">Table 1.</w:t>
      </w:r>
      <w:r>
        <w:t xml:space="preserve"> </w:t>
      </w:r>
      <w:r>
        <w:t xml:space="preserve">Descriptive statistics of child health outcomes by study</w:t>
      </w:r>
      <w:r>
        <w:t xml:space="preserve"> </w:t>
      </w:r>
      <w:commentRangeStart w:id="0"/>
      <w:r>
        <w:t xml:space="preserve">.</w:t>
      </w:r>
      <w:commentRangeEnd w:id="0"/>
      <w:r>
        <w:rPr>
          <w:rStyle w:val="CommentReference"/>
        </w:rPr>
        <w:commentReference w:id="0"/>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20"/>
        <w:gridCol w:w="1254"/>
        <w:gridCol w:w="1019"/>
        <w:gridCol w:w="1096"/>
        <w:gridCol w:w="1277"/>
        <w:gridCol w:w="820"/>
        <w:gridCol w:w="785"/>
        <w:gridCol w:w="1277"/>
        <w:gridCol w:w="844"/>
        <w:gridCol w:w="809"/>
        <w:gridCol w:w="1488"/>
        <w:gridCol w:w="844"/>
        <w:gridCol w:w="809"/>
        <w:gridCol w:w="1259"/>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prevalence</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bookmarkEnd w:id="45"/>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drew" w:date="2021-01-01">
    <w:p>
      <w:pPr>
        <w:pStyle w:val="CommentText"/>
      </w:pPr>
      <w:r>
        <w:rPr>
          <w:rStyle w:val="CommentReference"/>
          <w:annotationRef/>
        </w:rPr>
      </w:r>
      <w:r>
        <w:t xml:space="preserve">Note the very different prevalences of diarrhea in the different WASH Benefits studies. I double checked the numbers, and the difference is a combo of the time of measurement and the big R01 to main study diarrhea prev. difference. Do you think this needs be included in the discussion?</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2022-03-04T22:55:54Z</dcterms:created>
  <dcterms:modified xsi:type="dcterms:W3CDTF">2022-03-04T22:55:54Z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