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5.png" ContentType="image/png"/>
  <Override PartName="/word/media/rId39.png" ContentType="image/png"/>
  <Override PartName="/word/media/rId51.png" ContentType="image/png"/>
  <Override PartName="/word/media/rId54.png" ContentType="image/png"/>
  <Override PartName="/word/media/rId57.png" ContentType="image/png"/>
  <Override PartName="/word/media/rId60.png" ContentType="image/png"/>
  <Override PartName="/word/media/rId69.png" ContentType="image/png"/>
  <Override PartName="/word/media/rId23.png" ContentType="image/png"/>
  <Override PartName="/word/media/rId26.png" ContentType="image/png"/>
  <Override PartName="/word/media/rId20.png" ContentType="image/png"/>
  <Override PartName="/word/media/rId63.png" ContentType="image/png"/>
  <Override PartName="/word/media/rId66.png" ContentType="image/png"/>
  <Override PartName="/word/media/rId72.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3.png" ContentType="image/png"/>
  <Override PartName="/word/media/rId36.png" ContentType="image/png"/>
  <Override PartName="/word/media/rId4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 Starred points indicate P-values &lt; 0.05.</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diarrhoeal disease. The presented prevalence ratios compare diarrhoea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bookmarkEnd w:id="29"/>
    <w:bookmarkStart w:id="96" w:name="supplementary-figures"/>
    <w:p>
      <w:pPr>
        <w:pStyle w:val="Heading1"/>
      </w:pPr>
      <w:r>
        <w:t xml:space="preserve">Supplementary figures</w:t>
      </w:r>
    </w:p>
    <w:p>
      <w:pPr>
        <w:pStyle w:val="FirstParagraph"/>
      </w:pPr>
      <w:r>
        <w:drawing>
          <wp:inline>
            <wp:extent cx="3211103" cy="1834916"/>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34" name="Picture"/>
            <a:graphic>
              <a:graphicData uri="http://schemas.openxmlformats.org/drawingml/2006/picture">
                <pic:pic>
                  <pic:nvPicPr>
                    <pic:cNvPr descr="WASH-IPD-aim2-figures_files/figure-docx/unnamed-chunk-5-1.png" id="35" name="Picture"/>
                    <pic:cNvPicPr>
                      <a:picLocks noChangeArrowheads="1" noChangeAspect="1"/>
                    </pic:cNvPicPr>
                  </pic:nvPicPr>
                  <pic:blipFill>
                    <a:blip r:embed="rId3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WASH intervention effects on child diarrhoeal disease within the subset of children used in the primary analysis who had time-matched diarrhoea observations and environmental samples.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6-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_agg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aggregate measures of environmental contamination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unnamed-chunk-7-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2-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specific pathogens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1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Heatmap of significance and direction of associations between the abundance of specific pathogens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hm_mst-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Heatmap of significance and direction of associations between specific microbial source tracking markers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hm_mst_abund-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Heatmap of significance and direction of associations between the abundance of specific microbial source tracking markers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age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child diarrhoeal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age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sex_diar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diarrhoeal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sex_haz_1-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p_animals_haz_1-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S13.</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p_wet_diar_2-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S14.</w:t>
      </w:r>
      <w:r>
        <w:t xml:space="preserve"> </w:t>
      </w:r>
      <w:r>
        <w:t xml:space="preserve">Forest plots of child diarrhoeal disease prevalence differences between environmental samples with and without any enteropathogen or any MST marker detected, stratified by whether the diarrhoeal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and without including potential confounders for the binary diarrhoea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with and without including potential confounders for the continuous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Comparison between associations estimated with generalized linear models (GLM) and machine-learning based targeted likelihood estimation models (TMLE) for the diarrhoea outcome.</w:t>
      </w:r>
    </w:p>
    <w:p>
      <w:pPr>
        <w:pStyle w:val="BodyText"/>
      </w:pPr>
      <w:r>
        <w:drawing>
          <wp:inline>
            <wp:extent cx="8229600" cy="4937760"/>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S20.</w:t>
      </w:r>
      <w:r>
        <w:t xml:space="preserve"> </w:t>
      </w:r>
      <w:r>
        <w:t xml:space="preserve">Comparison between associations estimated in the primary diarrhoea analysis (diarrhoeal disease occurring after environmental sampling, but no more than 4 months later with associations estimated only using diarrhoeal disease cases within 1 month, or occurring at any time). For the analysis of all diarrhoea, it included diarrhoeal cases, even cases occurring prior to sampling, under the hypothesis that enteropathogen presence at one time is a surrogate variable for general environmental contamination.</w:t>
      </w:r>
    </w:p>
    <w:bookmarkEnd w:id="96"/>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2023-06-09T17:57:46Z</dcterms:created>
  <dcterms:modified xsi:type="dcterms:W3CDTF">2023-06-09T17:57:46Z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