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25.png" ContentType="image/png"/>
  <Override PartName="/word/media/rId29.png" ContentType="image/png"/>
  <Override PartName="/word/media/rId30.png" ContentType="image/png"/>
  <Override PartName="/word/media/rId35.png" ContentType="image/png"/>
  <Override PartName="/word/media/rId36.png" ContentType="image/png"/>
  <Override PartName="/word/media/rId32.png" ContentType="image/png"/>
  <Override PartName="/word/media/rId21.png" ContentType="image/png"/>
  <Override PartName="/word/media/rId22.png" ContentType="image/png"/>
  <Override PartName="/word/media/rId20.png" ContentType="image/png"/>
  <Override PartName="/word/media/rId33.png" ContentType="image/png"/>
  <Override PartName="/word/media/rId34.png" ContentType="image/png"/>
  <Override PartName="/word/media/rId31.png" ContentType="image/png"/>
  <Override PartName="/word/media/rId24.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3" w:name="primary-figures"/>
    <w:p>
      <w:pPr>
        <w:pStyle w:val="Heading1"/>
      </w:pPr>
      <w:r>
        <w:t xml:space="preserve">Primary figures</w:t>
      </w:r>
    </w:p>
    <w:p>
      <w:pPr>
        <w:pStyle w:val="FirstParagraph"/>
      </w:pPr>
      <w:r>
        <w:drawing>
          <wp:inline>
            <wp:extent cx="8229600" cy="4937760"/>
            <wp:effectExtent b="0" l="0" r="0" t="0"/>
            <wp:docPr descr="" title="" id="1" name="Picture"/>
            <a:graphic>
              <a:graphicData uri="http://schemas.openxmlformats.org/drawingml/2006/picture">
                <pic:pic>
                  <pic:nvPicPr>
                    <pic:cNvPr descr="WASH-IPD-aim2-figures_files/figure-docx/p_pathogen-1.png" id="0"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w:t>
      </w:r>
    </w:p>
    <w:p>
      <w:pPr>
        <w:pStyle w:val="BodyText"/>
      </w:pPr>
      <w:r>
        <w:drawing>
          <wp:inline>
            <wp:extent cx="8229600" cy="4114800"/>
            <wp:effectExtent b="0" l="0" r="0" t="0"/>
            <wp:docPr descr="" title="" id="1" name="Picture"/>
            <a:graphic>
              <a:graphicData uri="http://schemas.openxmlformats.org/drawingml/2006/picture">
                <pic:pic>
                  <pic:nvPicPr>
                    <pic:cNvPr descr="WASH-IPD-aim2-figures_files/figure-docx/p_diar_1_adj-1.png" id="0" name="Picture"/>
                    <pic:cNvPicPr>
                      <a:picLocks noChangeArrowheads="1" noChangeAspect="1"/>
                    </pic:cNvPicPr>
                  </pic:nvPicPr>
                  <pic:blipFill>
                    <a:blip r:embed="rId21"/>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child diarrheal disease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1" name="Picture"/>
            <a:graphic>
              <a:graphicData uri="http://schemas.openxmlformats.org/drawingml/2006/picture">
                <pic:pic>
                  <pic:nvPicPr>
                    <pic:cNvPr descr="WASH-IPD-aim2-figures_files/figure-docx/p_haz_1_adj-1.png" id="0" name="Picture"/>
                    <pic:cNvPicPr>
                      <a:picLocks noChangeArrowheads="1" noChangeAspect="1"/>
                    </pic:cNvPicPr>
                  </pic:nvPicPr>
                  <pic:blipFill>
                    <a:blip r:embed="rId22"/>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child HAZ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All estimates are adjusted for potential confounders.</w:t>
      </w:r>
    </w:p>
    <w:bookmarkEnd w:id="23"/>
    <w:bookmarkStart w:id="38" w:name="supplimentary-figures"/>
    <w:p>
      <w:pPr>
        <w:pStyle w:val="Heading1"/>
      </w:pPr>
      <w:r>
        <w:t xml:space="preserve">Supplimentary figures</w:t>
      </w:r>
    </w:p>
    <w:p>
      <w:pPr>
        <w:pStyle w:val="FirstParagraph"/>
      </w:pPr>
      <w:r>
        <w:drawing>
          <wp:inline>
            <wp:extent cx="8229600" cy="5349240"/>
            <wp:effectExtent b="0" l="0" r="0" t="0"/>
            <wp:docPr descr="" title="" id="1" name="Picture"/>
            <a:graphic>
              <a:graphicData uri="http://schemas.openxmlformats.org/drawingml/2006/picture">
                <pic:pic>
                  <pic:nvPicPr>
                    <pic:cNvPr descr="WASH-IPD-aim2-figures_files/figure-docx/unnamed-chunk-4-1.png" id="0" name="Picture"/>
                    <pic:cNvPicPr>
                      <a:picLocks noChangeArrowheads="1" noChangeAspect="1"/>
                    </pic:cNvPicPr>
                  </pic:nvPicPr>
                  <pic:blipFill>
                    <a:blip r:embed="rId2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hm_agg2-1.png" id="0" name="Picture"/>
                    <pic:cNvPicPr>
                      <a:picLocks noChangeArrowheads="1" noChangeAspect="1"/>
                    </pic:cNvPicPr>
                  </pic:nvPicPr>
                  <pic:blipFill>
                    <a:blip r:embed="rId2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w:t>
      </w:r>
      <w:r>
        <w:t xml:space="preserve"> </w:t>
      </w:r>
      <w:commentRangeStart w:id="0"/>
      <w:r>
        <w:t xml:space="preserve">Heatmap</w:t>
      </w:r>
      <w:commentRangeEnd w:id="0"/>
      <w:r>
        <w:rPr>
          <w:rStyle w:val="CommentReference"/>
        </w:rPr>
        <w:commentReference w:id="0"/>
      </w:r>
      <w:r>
        <w:t xml:space="preserve"> </w:t>
      </w:r>
      <w:r>
        <w:t xml:space="preserve">of significance and direction of associations between aggregate measures of environmental contamination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unnamed-chunk-5-1.png" id="0" name="Picture"/>
                    <pic:cNvPicPr>
                      <a:picLocks noChangeArrowheads="1" noChangeAspect="1"/>
                    </pic:cNvPicPr>
                  </pic:nvPicPr>
                  <pic:blipFill>
                    <a:blip r:embed="rId2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hm2-1.png" id="0" name="Picture"/>
                    <pic:cNvPicPr>
                      <a:picLocks noChangeArrowheads="1" noChangeAspect="1"/>
                    </pic:cNvPicPr>
                  </pic:nvPicPr>
                  <pic:blipFill>
                    <a:blip r:embed="rId2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Heatmap of significance and direction of associations between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hm1_abund-1.png" id="0" name="Picture"/>
                    <pic:cNvPicPr>
                      <a:picLocks noChangeArrowheads="1" noChangeAspect="1"/>
                    </pic:cNvPicPr>
                  </pic:nvPicPr>
                  <pic:blipFill>
                    <a:blip r:embed="rId2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Heatmap of significance and direction of associations between the abundance of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hm_mst-1.png" id="0" name="Picture"/>
                    <pic:cNvPicPr>
                      <a:picLocks noChangeArrowheads="1" noChangeAspect="1"/>
                    </pic:cNvPicPr>
                  </pic:nvPicPr>
                  <pic:blipFill>
                    <a:blip r:embed="rId2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hm_mst_abund-1.png" id="0" name="Picture"/>
                    <pic:cNvPicPr>
                      <a:picLocks noChangeArrowheads="1" noChangeAspect="1"/>
                    </pic:cNvPicPr>
                  </pic:nvPicPr>
                  <pic:blipFill>
                    <a:blip r:embed="rId3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the abundance of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All estimates are adjusted for potential confounders.</w:t>
      </w:r>
    </w:p>
    <w:bookmarkStart w:id="37" w:name="subgroup-analysis"/>
    <w:p>
      <w:pPr>
        <w:pStyle w:val="Heading2"/>
      </w:pPr>
      <w:r>
        <w:t xml:space="preserve">Subgroup analysis</w:t>
      </w:r>
    </w:p>
    <w:p>
      <w:pPr>
        <w:pStyle w:val="FirstParagraph"/>
      </w:pPr>
      <w:r>
        <w:drawing>
          <wp:inline>
            <wp:extent cx="8229600" cy="5349240"/>
            <wp:effectExtent b="0" l="0" r="0" t="0"/>
            <wp:docPr descr="" title="" id="1" name="Picture"/>
            <a:graphic>
              <a:graphicData uri="http://schemas.openxmlformats.org/drawingml/2006/picture">
                <pic:pic>
                  <pic:nvPicPr>
                    <pic:cNvPr descr="WASH-IPD-aim2-figures_files/figure-docx/p_wet_diar_2-1.png" id="0" name="Picture"/>
                    <pic:cNvPicPr>
                      <a:picLocks noChangeArrowheads="1" noChangeAspect="1"/>
                    </pic:cNvPicPr>
                  </pic:nvPicPr>
                  <pic:blipFill>
                    <a:blip r:embed="rId3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Forest plots of relative risks between diarrhea disease and any enteropathogen, and any MST markers, in different types of environmental samples, stratified by whether the diarrheal disease occurred during the wet versus dry season (defined by the 6 months of highest average rainfall). Significant effect modification, as determined by the p-values on the regression model interaction term, is marked with asterisks (P &lt; 0.05 = *, P &lt; 0.01 = **, P &lt; 0.001 = ***).</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animals_haz_1-1.png" id="0" name="Picture"/>
                    <pic:cNvPicPr>
                      <a:picLocks noChangeArrowheads="1" noChangeAspect="1"/>
                    </pic:cNvPicPr>
                  </pic:nvPicPr>
                  <pic:blipFill>
                    <a:blip r:embed="rId3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Forest plots of associations between child HAZ and any enteropathogen, and any MST markers, in different types of environmental samples, stratified by whether any animals were present in the compound. Significant effect modification, as determined by the p-values on the regression model interaction term, is marked with asterisks (P &lt; 0.05 = *, P &lt; 0.01 = **, P &lt; 0.001 = ***).</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sex_diar_1-1.png" id="0" name="Picture"/>
                    <pic:cNvPicPr>
                      <a:picLocks noChangeArrowheads="1" noChangeAspect="1"/>
                    </pic:cNvPicPr>
                  </pic:nvPicPr>
                  <pic:blipFill>
                    <a:blip r:embed="rId3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Forest plots of associations between child diarrheal disease and any enteropathogen, and any MST markers, in different types of environmental samples, stratified by child sex. Significant effect modification, as determined by the p-values on the regression model interaction term, is marked with asterisks (P &lt; 0.05 = *, P &lt; 0.01 = **, P &lt; 0.001 = ***).</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sex_haz_1-1.png" id="0" name="Picture"/>
                    <pic:cNvPicPr>
                      <a:picLocks noChangeArrowheads="1" noChangeAspect="1"/>
                    </pic:cNvPicPr>
                  </pic:nvPicPr>
                  <pic:blipFill>
                    <a:blip r:embed="rId3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associations between child HAZ and any enteropathogen, and any MST markers, in different types of environmental samples, stratified by child sex. Significant effect modification, as determined by the p-values on the regression model interaction term, is marked with asterisks (P &lt; 0.05 = *, P &lt; 0.01 = **, P &lt; 0.001 = ***).</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age_diar_1-1.png" id="0" name="Picture"/>
                    <pic:cNvPicPr>
                      <a:picLocks noChangeArrowheads="1" noChangeAspect="1"/>
                    </pic:cNvPicPr>
                  </pic:nvPicPr>
                  <pic:blipFill>
                    <a:blip r:embed="rId3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associations between child diarrheal disease and any enteropathogen, and any MST markers, in different types of environmental samples, stratified by child age.</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age_haz_1-1.png" id="0"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associations between child HAZ and any enteropathogen, and any MST markers, in different types of environmental samples, stratified by child age.</w:t>
      </w:r>
    </w:p>
    <w:bookmarkEnd w:id="37"/>
    <w:bookmarkEnd w:id="38"/>
    <w:bookmarkStart w:id="39" w:name="tables"/>
    <w:p>
      <w:pPr>
        <w:pStyle w:val="Heading1"/>
      </w:pPr>
      <w:r>
        <w:t xml:space="preserve">Tables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20"/>
        <w:gridCol w:w="1254"/>
        <w:gridCol w:w="1019"/>
        <w:gridCol w:w="1096"/>
        <w:gridCol w:w="1277"/>
        <w:gridCol w:w="820"/>
        <w:gridCol w:w="785"/>
        <w:gridCol w:w="1277"/>
        <w:gridCol w:w="844"/>
        <w:gridCol w:w="809"/>
        <w:gridCol w:w="1488"/>
        <w:gridCol w:w="844"/>
        <w:gridCol w:w="809"/>
        <w:gridCol w:w="1259"/>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cases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Diarrhea prevalence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HAZ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HAZ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Stunting prevalence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Underweight prevalence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WHZ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WHZ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Wasting prevalence</w:t>
            </w:r>
          </w:p>
        </w:tc>
      </w:tr>
      <w:tr>
        <w:trPr>
          <w:cantSplit/>
          <w:trHeight w:val="529"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Gram Vikas</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210</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42.2</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576</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7.9</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8.8</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6.2</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Odisha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4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52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8.9</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48"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WBK</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1,852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bl>
    <w:bookmarkEnd w:id="39"/>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Andrew" w:date="2021-01-01">
    <w:p>
      <w:pPr>
        <w:pStyle w:val="CommentText"/>
      </w:pPr>
      <w:r>
        <w:rPr>
          <w:rStyle w:val="CommentReference"/>
          <w:annotationRef/>
        </w:rPr>
      </w:r>
      <w:r>
        <w:t xml:space="preserve">I plan on figuring out how to use formatting of the Y-axis labels (bolding or underlining) to highlight the pooled rows and Any sample types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0" Target="media/rId20.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2022-01-25T19:23:44Z</dcterms:created>
  <dcterms:modified xsi:type="dcterms:W3CDTF">2022-01-25T19:23:44Z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