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abstract"/>
    <w:p>
      <w:pPr>
        <w:pStyle w:val="Heading2"/>
      </w:pPr>
      <w:r>
        <w:t xml:space="preserve">Abstract</w:t>
      </w:r>
    </w:p>
    <w:p>
      <w:pPr>
        <w:pStyle w:val="FirstParagraph"/>
      </w:pPr>
      <w:r>
        <w:rPr>
          <w:bCs/>
          <w:b/>
        </w:rPr>
        <w:t xml:space="preserve">Background:</w:t>
      </w:r>
      <w:r>
        <w:t xml:space="preserve"> </w:t>
      </w:r>
      <w:r>
        <w:t xml:space="preserve">Quantifying the contribution of environmental faecal contamination to child diarrhoea and growth faltering can illuminate causal mechanisms behind the small/null effects on child health in recent water, sanitation and hygiene (WASH) trials. Fecal indicator bacteria (FIB) typically measured in the environment are imperfect proxies for enteropathogens and can come from human or animal faeces, which carry different levels of health risk. Detecting pathogens and host-specific microbial source tracking (MST) markers in the environment may better predict health outcomes.</w:t>
      </w:r>
      <w:r>
        <w:t xml:space="preserve"> </w:t>
      </w:r>
      <w:r>
        <w:t xml:space="preserve">Methods: We conducted a systematic review and individual participant data meta-analysis of WASH intervention studies that measured enteropathogens and/or MST markers in environmental samples and subsequently measured child enteric infections, diarrhoea and height-for-age Z-scores (HAZ). We assessed associations between environmental measurements and child health outcomes using covariate-adjusted regressions with robust standard errors and pooled estimates across studies.</w:t>
      </w:r>
    </w:p>
    <w:p>
      <w:pPr>
        <w:pStyle w:val="BodyText"/>
      </w:pPr>
      <w:r>
        <w:rPr>
          <w:bCs/>
          <w:b/>
        </w:rPr>
        <w:t xml:space="preserve">Findings:</w:t>
      </w:r>
      <w:r>
        <w:t xml:space="preserve"> </w:t>
      </w:r>
      <w:r>
        <w:t xml:space="preserve">We identified and received data from nine eligible publications within five intervention studies. Pathogen detection in environmental samples was associated with increased prevalence of infection with the same pathogen and lower HAZ (</w:t>
      </w:r>
      <m:oMath>
        <m:r>
          <m:t>Δ</m:t>
        </m:r>
      </m:oMath>
      <w:r>
        <w:t xml:space="preserve"> </w:t>
      </w:r>
      <w:r>
        <w:t xml:space="preserve">HAZ=-0.09 (95% CI: -0.17, -0.01)) but not with diarrhoea (prevalence ratio [PR]: 1.17 (95% CI: 0.94, 1.46)). Detection of MST markers was not associated with diarrhoea 1.01 (95% CI: 0.83, 1.24); animal markers: 1.21 (95% CI: 0.53, 2.77)) or HAZ (human markers</w:t>
      </w:r>
      <w:r>
        <w:t xml:space="preserve"> </w:t>
      </w:r>
      <m:oMath>
        <m:r>
          <m:t>Δ</m:t>
        </m:r>
      </m:oMath>
      <w:r>
        <w:t xml:space="preserve"> </w:t>
      </w:r>
      <w:r>
        <w:t xml:space="preserve">HAZ=-0.02 (95% CI: -0.15, 0.11); animal markers:</w:t>
      </w:r>
      <w:r>
        <w:t xml:space="preserve"> </w:t>
      </w:r>
      <m:oMath>
        <m:r>
          <m:t>Δ</m:t>
        </m:r>
      </m:oMath>
      <w:r>
        <w:t xml:space="preserve"> </w:t>
      </w:r>
      <w:r>
        <w:t xml:space="preserve">HAZ=-0.06 (95% CI: -0.29, 0.18)).</w:t>
      </w:r>
    </w:p>
    <w:p>
      <w:pPr>
        <w:pStyle w:val="BodyText"/>
      </w:pPr>
      <w:r>
        <w:rPr>
          <w:bCs/>
          <w:b/>
        </w:rPr>
        <w:t xml:space="preserve">Interpretation:</w:t>
      </w:r>
      <w:r>
        <w:t xml:space="preserve"> </w:t>
      </w:r>
      <w:r>
        <w:t xml:space="preserve">Our findings support a causal chain from faecal contamination to infection to growth faltering. Lack of health associations with most human and animal MST markers suggest a need for better faecal markers. Future studies should incorporate longitudinal and spatial environmental sampling using a combination of FIB, enteropathogens and well-performing MST markers and test for pathogens in stool to examine the theories of change between WASH interventions, faecal contamination and child health.</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are exposed to enteric pathogens from faecal waste via environmentally mediated pathways such as drinking water, hands, food, soil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faecal indicator bacteria (FIB) in the environment. These findings have generated substantial debate about whether basic WASH interventions do not sufficiently reduce environmental pathogen exposure to prevent disease in high-burden settings, or whether environmental faecal contamination from inadequate WASH was not the primary cause of child diarrhoea or growth failure in these populations. Sensitive molecular methods allow simultaneous detection of multiple enteropathogens in environmental samples, and microbial source tracking (MST) methods can ideally help distinguish between human vs. animal faeces which carry different levels of health risk. Assessments using these methods can help illuminate the hypothesized causal chain between WASH improvements, environmental contamination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diarrhoea and growth in children under 5 years old.</w:t>
      </w:r>
    </w:p>
    <w:p>
      <w:pPr>
        <w:pStyle w:val="BodyText"/>
      </w:pPr>
      <w:r>
        <w:rPr>
          <w:bCs/>
          <w:b/>
        </w:rPr>
        <w:t xml:space="preserve">Added value of this study.</w:t>
      </w:r>
      <w:r>
        <w:t xml:space="preserve"> </w:t>
      </w:r>
      <w:r>
        <w:t xml:space="preserve">We obtained data from nine eligible publications reporting findings from five 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 except for avian markers.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p>
    <w:p>
      <w:pPr>
        <w:pStyle w:val="BodyText"/>
      </w:pPr>
      <w:r>
        <w:rPr>
          <w:bCs/>
          <w:b/>
        </w:rPr>
        <w:t xml:space="preserve">Implications of all the available science.</w:t>
      </w:r>
      <w:r>
        <w:t xml:space="preserve"> </w:t>
      </w:r>
      <w:r>
        <w:t xml:space="preserve">Enteropathogen detection in the environment was associated with increased risk of infection with the same pathogen and reduced child growth but not with caregiver-reported diarrhoea. These findings support the causal chain leading from environmental faecal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faecal contamination measurements with current methods only partially explain growth faltering in children, regardless of choice of analytical target. This could be because cross-sectional grab samples do not adequately characterize environmental contamination or capture the frequency and duration of exposure, which determine the internal dose ultimately ingested by children. Future studies should incorporate longitudinal and spatial environmental sampling using a combination of FIB, enteropathogens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were environmentally sampled in each study, leading to data sparsity. Meta-analyses with additional data from future studies may detect associations we missed.</w:t>
      </w:r>
    </w:p>
    <w:bookmarkEnd w:id="21"/>
    <w:bookmarkStart w:id="22" w:name="introduction"/>
    <w:p>
      <w:pPr>
        <w:pStyle w:val="Heading2"/>
      </w:pPr>
      <w:r>
        <w:t xml:space="preserve">Introduction</w:t>
      </w:r>
    </w:p>
    <w:p>
      <w:pPr>
        <w:pStyle w:val="FirstParagraph"/>
      </w:pPr>
      <w:r>
        <w:t xml:space="preserve">In settings with poor water, sanitation and hygiene (WASH) conditions, children are exposed to enteric pathogens through multiple environmentally mediated pathways, such drinking water, food, hands, flies, soil, surfaces and objects. These exposures can lead to gut colonization with pathogens, resulting in asymptomatic carriage, subclinical infection or symptomatic diarrhoeal disease</w:t>
      </w:r>
      <w:r>
        <w:rPr>
          <w:vertAlign w:val="superscript"/>
        </w:rPr>
        <w:t xml:space="preserve">1</w:t>
      </w:r>
      <w:r>
        <w:t xml:space="preserve"> </w:t>
      </w:r>
      <w:r>
        <w:t xml:space="preserve">Both subclinical changes to the gut and symptomatic diarrhoea can lead to nutrient loss and growth failure,</w:t>
      </w:r>
      <w:r>
        <w:rPr>
          <w:vertAlign w:val="superscript"/>
        </w:rPr>
        <w:t xml:space="preserve">1</w:t>
      </w:r>
      <w:r>
        <w:t xml:space="preserve"> </w:t>
      </w:r>
      <w:r>
        <w:t xml:space="preserve">and malnutrition leaves children further vulnerable to diarrhoeal disease through weakened immunity.</w:t>
      </w:r>
      <w:r>
        <w:rPr>
          <w:vertAlign w:val="superscript"/>
        </w:rPr>
        <w:t xml:space="preserve">2,3</w:t>
      </w:r>
      <w:r>
        <w:t xml:space="preserve"> </w:t>
      </w:r>
      <w:r>
        <w:t xml:space="preserve">Diarrhoea caused an estimated 534,000 deaths among children under 5 years in 2017,</w:t>
      </w:r>
      <w:r>
        <w:rPr>
          <w:vertAlign w:val="superscript"/>
        </w:rPr>
        <w:t xml:space="preserve">4</w:t>
      </w:r>
      <w:r>
        <w:t xml:space="preserve">and undernutrition is a leading contributor to child mortality and morbidity globally.</w:t>
      </w:r>
      <w:r>
        <w:rPr>
          <w:vertAlign w:val="superscript"/>
        </w:rPr>
        <w:t xml:space="preserve">5</w:t>
      </w:r>
      <w:r>
        <w:t xml:space="preserve"> </w:t>
      </w:r>
      <w:r>
        <w:t xml:space="preserve">An estimated 62% of diarrhoea deaths and 16% of growth failure among children under 5 years are attributed to faecal exposure from poor WASH.</w:t>
      </w:r>
      <w:r>
        <w:rPr>
          <w:vertAlign w:val="superscript"/>
        </w:rPr>
        <w:t xml:space="preserve">6</w:t>
      </w:r>
      <w:r>
        <w:t xml:space="preserve"> </w:t>
      </w:r>
      <w:r>
        <w:t xml:space="preserve">However, several large, recent trials of household- and community-level WASH interventions found small or null effects on child diarrhoea and growth, which may be because the interventions failed to reduce environmental faecal contamination, or because environmental faecal contamination from inadequate WASH was not the primary cause of child diarrhoea or growth failure in those populations.</w:t>
      </w:r>
      <w:r>
        <w:rPr>
          <w:vertAlign w:val="superscript"/>
        </w:rPr>
        <w:t xml:space="preserve">7–9</w:t>
      </w:r>
      <w:r>
        <w:t xml:space="preserve"> </w:t>
      </w:r>
      <w:r>
        <w:t xml:space="preserve">Faecal contamination in the environment is usually assessed by enumerating faecal indicator bacteria (FIB) such as</w:t>
      </w:r>
      <w:r>
        <w:t xml:space="preserve"> </w:t>
      </w:r>
      <w:r>
        <w:rPr>
          <w:iCs/>
          <w:i/>
        </w:rPr>
        <w:t xml:space="preserve">E. coli</w:t>
      </w:r>
      <w:r>
        <w:t xml:space="preserve">, which have been associated with increased risk of diarrhoea and reduced growth in children.</w:t>
      </w:r>
      <w:r>
        <w:rPr>
          <w:vertAlign w:val="superscript"/>
        </w:rPr>
        <w:t xml:space="preserve">10</w:t>
      </w:r>
      <w:r>
        <w:t xml:space="preserve"> </w:t>
      </w:r>
      <w:r>
        <w:t xml:space="preserve">However, FIB are imperfect proxies of health risk as they can originate from non-faecal sources,</w:t>
      </w:r>
      <w:r>
        <w:rPr>
          <w:vertAlign w:val="superscript"/>
        </w:rPr>
        <w:t xml:space="preserve">11</w:t>
      </w:r>
      <w:r>
        <w:t xml:space="preserve"> </w:t>
      </w:r>
      <w:r>
        <w:t xml:space="preserve">and cannot confirm pathogen presence</w:t>
      </w:r>
      <w:r>
        <w:rPr>
          <w:vertAlign w:val="superscript"/>
        </w:rPr>
        <w:t xml:space="preserve">12</w:t>
      </w:r>
      <w:r>
        <w:t xml:space="preserve"> </w:t>
      </w:r>
      <w:r>
        <w:t xml:space="preserve">or differentiate between human and animal faeces which carry different levels of health risk</w:t>
      </w:r>
      <w:r>
        <w:rPr>
          <w:vertAlign w:val="superscript"/>
        </w:rPr>
        <w:t xml:space="preserve">13</w:t>
      </w:r>
      <w:r>
        <w:t xml:space="preserve"> </w:t>
      </w:r>
      <w:r>
        <w:t xml:space="preserve">Directly measuring enteropathogens in environmental matrices may better capture child exposures to disease-causing organisms and predict health outcomes, and detection of human vs. animal-specific microbial source tracking (MST) markers may indicate health risk of different magnitudes.</w:t>
      </w:r>
      <w:r>
        <w:rPr>
          <w:vertAlign w:val="superscript"/>
        </w:rPr>
        <w:t xml:space="preserve">14</w:t>
      </w:r>
      <w:r>
        <w:t xml:space="preserve"> </w:t>
      </w:r>
      <w:r>
        <w:t xml:space="preserve">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diarrhoea and growth failure in children.</w:t>
      </w:r>
    </w:p>
    <w:bookmarkEnd w:id="22"/>
    <w:bookmarkStart w:id="25" w:name="methods"/>
    <w:p>
      <w:pPr>
        <w:pStyle w:val="Heading2"/>
      </w:pPr>
      <w:r>
        <w:t xml:space="preserve">Methods</w:t>
      </w:r>
    </w:p>
    <w:p>
      <w:pPr>
        <w:pStyle w:val="FirstParagraph"/>
      </w:pPr>
      <w:r>
        <w:t xml:space="preserve">We conducted a systematic search of the PubMed, Embase, CAB Direct Global Health, Agricultural &amp; Environmental Science Database, Web Of Science, and Scopus databases to identify studies that (1) implemented a WASH intervention with a prospective design and concurrent control (i.e., randomised controlled trial, matched cohort, controlled before-and-after study), 2) measured pathogens and/or MST markers in environmental samples, and 3) measured at least one of: pathogen-specific infections, diarrhoea or child anthropometry.</w:t>
      </w:r>
      <w:r>
        <w:rPr>
          <w:vertAlign w:val="superscript"/>
        </w:rPr>
        <w:t xml:space="preserve">15</w:t>
      </w:r>
      <w:r>
        <w:t xml:space="preserve"> </w:t>
      </w:r>
      <w:r>
        <w:t xml:space="preserve">We limited the search to intervention studies to allow assessing intervention effects on environmental contamination as an additional objective.</w:t>
      </w:r>
      <w:r>
        <w:rPr>
          <w:vertAlign w:val="superscript"/>
        </w:rPr>
        <w:t xml:space="preserve">15</w:t>
      </w:r>
      <w:r>
        <w:t xml:space="preserve"> </w:t>
      </w:r>
      <w:r>
        <w:t xml:space="preserve">We excluded studies that only measured FIB. We only included studies published after 2000 to capture more recently advanced pathogen detection methods but did not limit the search to any specific method. The systematic review search strategy and analysis plan were pre-registered on Open Science Framework (</w:t>
      </w:r>
      <w:hyperlink r:id="rId23">
        <w:r>
          <w:rPr>
            <w:rStyle w:val="Hyperlink"/>
          </w:rPr>
          <w:t xml:space="preserve">https://osf.io/8sgzn/</w:t>
        </w:r>
      </w:hyperlink>
      <w:r>
        <w:t xml:space="preserve">). We followed PRISMA guidelines (Table S1) and evaluated bias in studies using an adapted version of the Newcastle-Ottawa scale (Table S2).24 Details on our systematic review have been described elsewhere.</w:t>
      </w:r>
      <w:r>
        <w:rPr>
          <w:vertAlign w:val="superscript"/>
        </w:rPr>
        <w:t xml:space="preserve">15</w:t>
      </w:r>
    </w:p>
    <w:p>
      <w:pPr>
        <w:pStyle w:val="BodyText"/>
      </w:pPr>
      <w:r>
        <w:t xml:space="preserve">Our two primary exposure variables were the prevalence of any enteropathogen or any MST markers in any type of environmental sample. We also tabulated these outcomes separately by sample type (e.g., drinking water, hands rinses). Secondary exposure variables included the prevalence of pathogen types (any viruses, any bacteria, any protozoa, any helminths), the prevalence of MST markers from specific host types (human or animal), and the prevalence and abundance of individual enteropathogens and MST markers. We excluded general MST markers that are not host-specific. Our primary outcomes were the seven-day prevalence of caregiver-reported diarrhoea and height-for-age Z-scores (HAZ) in children. For specific enteropathogens detected in the environment, primary outcomes also included subsequent child infection with the same pathogen ascertained by stool testing. Secondary outcomes included Z-scores for weight-for-age (WAZ) and weight-for-height (WHZ) and the prevalence of stunting, underweight and wasting, defined as Z-scores &lt;-2 for HAZ, WAZ and WHZ, respectively.</w:t>
      </w:r>
      <w:r>
        <w:rPr>
          <w:vertAlign w:val="superscript"/>
        </w:rPr>
        <w:t xml:space="preserve">16</w:t>
      </w:r>
      <w:r>
        <w:t xml:space="preserve"> </w:t>
      </w:r>
      <w:r>
        <w:t xml:space="preserve">For diarrhoea and pathogen-specific infections, we only used environmental samples collected up to four months before health outcomes were assessed; we selected this window empirically to retain the highest number of time-matched pairs of environmental and health measurements from the available data while maintaining a time-ordering window consistent with previous studies on environmental contamination and diarrhoea.</w:t>
      </w:r>
      <w:r>
        <w:rPr>
          <w:vertAlign w:val="superscript"/>
        </w:rPr>
        <w:t xml:space="preserve">17</w:t>
      </w:r>
      <w:r>
        <w:t xml:space="preserve"> </w:t>
      </w:r>
      <w:r>
        <w:t xml:space="preserve">For the growth outcomes, we used data from all environmental samples collected over the child’s lifetime prior to the anthropometry measurement; if there were repeated growth measurements after environmental sampling, we used the measurement taken closest to environmental sampling.</w:t>
      </w:r>
    </w:p>
    <w:p>
      <w:pPr>
        <w:pStyle w:val="BodyText"/>
      </w:pPr>
      <w:r>
        <w:t xml:space="preserve">We examined associations between the environmental exposures and child health outcomes using covariate-adjusted regression models. For binary outcomes, we estimated prevalence ratios (PRs) using modified Poisson regression.</w:t>
      </w:r>
      <w:r>
        <w:rPr>
          <w:vertAlign w:val="superscript"/>
        </w:rPr>
        <w:t xml:space="preserve">18</w:t>
      </w:r>
      <w:r>
        <w:t xml:space="preserve"> </w:t>
      </w:r>
      <w:r>
        <w:t xml:space="preserve">For continuous outcomes, we used linear regression to estimate mean differences. We used the Huber Sandwich Estimator to calculate robust standard errors to account for repeated sampling or clustered designs.</w:t>
      </w:r>
      <w:r>
        <w:rPr>
          <w:vertAlign w:val="superscript"/>
        </w:rPr>
        <w:t xml:space="preserve">19</w:t>
      </w:r>
      <w:r>
        <w:t xml:space="preserve"> </w:t>
      </w:r>
      <w:r>
        <w:t xml:space="preserve">We included child age and asset-based household wealth as adjustment covariates in all models. Other covariates were pre-screened using likelihood ratio tests, and variables associated with the outcome with a p-value &lt;0.2 were included in the model for each outcome. We considered the following variables if they were measured within a given study: study arm, child sex, maternal age, household food security, number of people in household, age and education of primary caregiver in household, number of rooms, construction materials (walls, floor, roof), access to electricity, land ownership and if anyone in the household works in agriculture. Within each study, we only estimated associations when there were</w:t>
      </w:r>
      <w:r>
        <w:t xml:space="preserve"> </w:t>
      </w:r>
      <m:oMath>
        <m:r>
          <m:rPr>
            <m:sty m:val="p"/>
          </m:rPr>
          <m:t>≥</m:t>
        </m:r>
      </m:oMath>
      <w:r>
        <w:t xml:space="preserve"> </w:t>
      </w:r>
      <w:r>
        <w:t xml:space="preserve">5 cases of the binary outcome in the rarest stratum of the exposure. We reported study-specific estimates due to heterogeneity in study settings. For outcomes where data were available from</w:t>
      </w:r>
      <w:r>
        <w:t xml:space="preserve"> </w:t>
      </w:r>
      <m:oMath>
        <m:r>
          <m:rPr>
            <m:sty m:val="p"/>
          </m:rPr>
          <m:t>≥</m:t>
        </m:r>
      </m:oMath>
      <w:r>
        <w:t xml:space="preserve"> </w:t>
      </w:r>
      <w:r>
        <w:t xml:space="preserve">4 studies, we tested for heterogeneity using Cochran’s Q-tests.</w:t>
      </w:r>
      <w:r>
        <w:rPr>
          <w:vertAlign w:val="superscript"/>
        </w:rPr>
        <w:t xml:space="preserve">20</w:t>
      </w:r>
      <w:r>
        <w:t xml:space="preserve"> </w:t>
      </w:r>
      <w:r>
        <w:t xml:space="preserve">We pooled estimates with fixed-effects models if there was no evidence of significant heterogeneity (p-value&gt;0.2), and with random-effects models otherwise.</w:t>
      </w:r>
    </w:p>
    <w:p>
      <w:pPr>
        <w:pStyle w:val="BodyText"/>
      </w:pPr>
      <w:r>
        <w:t xml:space="preserve">We conducted subgroup analyses by child age and sex, animal ownership, season, and study setting. We used the following age groups based on WHO motor milestones: immobile (</w:t>
      </w:r>
      <m:oMath>
        <m:r>
          <m:rPr>
            <m:sty m:val="p"/>
          </m:rPr>
          <m:t>≤</m:t>
        </m:r>
      </m:oMath>
      <w:r>
        <w:t xml:space="preserve"> </w:t>
      </w:r>
      <w:r>
        <w:t xml:space="preserve">254 days), crawling (&gt;254 days - 1 year), walking pre-school-age (1-5 years) and school-age (&gt;5 years).</w:t>
      </w:r>
      <w:r>
        <w:rPr>
          <w:vertAlign w:val="superscript"/>
        </w:rPr>
        <w:t xml:space="preserve">21</w:t>
      </w:r>
      <w:r>
        <w:t xml:space="preserve"> </w:t>
      </w:r>
      <w:r>
        <w:t xml:space="preserve">We defined animal ownership as the reported presence of any domestic animal in the compound. We defined the wet season for each study as the six months of highest average rainfall, obtained from weather records.</w:t>
      </w:r>
      <w:r>
        <w:rPr>
          <w:vertAlign w:val="superscript"/>
        </w:rPr>
        <w:t xml:space="preserve">22</w:t>
      </w:r>
      <w:r>
        <w:t xml:space="preserve"> </w:t>
      </w:r>
      <w:r>
        <w:t xml:space="preserve">We only estimates effects of season on child diarrhoea due to the longer time lag allowed between sampling and anthropometry measurement. We differentiated between rural and urban settings based on descriptions of study location. There was no variation in urbanicity within individual studies; therefore, we separately pooled estimates from urban vs. rural studies and compared estimates with Wald tests. For age, sex, animal presence and season, we assessed additive interactions by calculating prevalence differences (PDs) with linear regression models and evaluating the p-values on interaction terms between indicator variables for the exposures and subgroups.</w:t>
      </w:r>
      <w:r>
        <w:rPr>
          <w:vertAlign w:val="superscript"/>
        </w:rPr>
        <w:t xml:space="preserve">23</w:t>
      </w:r>
      <w:r>
        <w:t xml:space="preserve"> </w:t>
      </w:r>
      <w:r>
        <w:t xml:space="preserve">A p-value &lt;0.2 on the interaction term was considered evidence of effect modification.</w:t>
      </w:r>
    </w:p>
    <w:p>
      <w:pPr>
        <w:pStyle w:val="BodyText"/>
      </w:pPr>
      <w:r>
        <w:t xml:space="preserve">As sensitivity analyses, we compared (1) covariate-adjusted vs. unadjusted estimates, and (2) adjusted estimates from parametric regression models vs. flexible machine-learning based targeted maximum likelihood estimation (TMLE) models.</w:t>
      </w:r>
      <w:r>
        <w:rPr>
          <w:vertAlign w:val="superscript"/>
        </w:rPr>
        <w:t xml:space="preserve">24</w:t>
      </w:r>
      <w:r>
        <w:t xml:space="preserve"> </w:t>
      </w:r>
      <w:r>
        <w:t xml:space="preserve">To assess the impact of our chosen interval between environmental and health measurements, we re-estimated associations using environmental data collected (1) within a month prior to diarrhoea measurements, and (2) at any time with respect to diarrhoea measurements. We also estimated the effect of the WASH interventions on child diarrhoea and HAZ measured within the subset of children with time-matched environmental samples. Analyses were conducted in R 4.0.4. Analysis scripts are publicly available (</w:t>
      </w:r>
      <w:hyperlink r:id="rId24">
        <w:r>
          <w:rPr>
            <w:rStyle w:val="Hyperlink"/>
          </w:rPr>
          <w:t xml:space="preserve">https://github.com/amertens/wash-ipd</w:t>
        </w:r>
      </w:hyperlink>
      <w:r>
        <w:t xml:space="preserve">).</w:t>
      </w:r>
    </w:p>
    <w:bookmarkEnd w:id="25"/>
    <w:bookmarkStart w:id="33" w:name="results"/>
    <w:p>
      <w:pPr>
        <w:pStyle w:val="Heading2"/>
      </w:pPr>
      <w:r>
        <w:t xml:space="preserve">Results</w:t>
      </w:r>
    </w:p>
    <w:bookmarkStart w:id="26" w:name="included-studies"/>
    <w:p>
      <w:pPr>
        <w:pStyle w:val="Heading3"/>
      </w:pPr>
      <w:r>
        <w:t xml:space="preserve">Included studies</w:t>
      </w:r>
    </w:p>
    <w:p>
      <w:pPr>
        <w:pStyle w:val="FirstParagraph"/>
      </w:pPr>
      <w:r>
        <w:t xml:space="preserve">The systematic review was conducted on January 19, 2021 and returned 3,376 publications. Nine eligible studies where the authors agreed to share data were included in our analysis. The nine publications reported findings from five intervention studies: the WASH Benefits Bangladesh and Kenya trials,</w:t>
      </w:r>
      <w:r>
        <w:rPr>
          <w:vertAlign w:val="superscript"/>
        </w:rPr>
        <w:t xml:space="preserve">8,9</w:t>
      </w:r>
      <w:r>
        <w:t xml:space="preserve"> </w:t>
      </w:r>
      <w:r>
        <w:t xml:space="preserve">the Maputo Sanitation (MapSan) trial in Mozambique,</w:t>
      </w:r>
      <w:r>
        <w:rPr>
          <w:vertAlign w:val="superscript"/>
        </w:rPr>
        <w:t xml:space="preserve">25</w:t>
      </w:r>
      <w:r>
        <w:t xml:space="preserve"> </w:t>
      </w:r>
      <w:r>
        <w:t xml:space="preserve">the Gram Vikas study in India,</w:t>
      </w:r>
      <w:r>
        <w:rPr>
          <w:vertAlign w:val="superscript"/>
        </w:rPr>
        <w:t xml:space="preserve">26</w:t>
      </w:r>
      <w:r>
        <w:t xml:space="preserve"> </w:t>
      </w:r>
      <w:r>
        <w:t xml:space="preserve">and the Total Sanitation Campaign (TSC) trial in India.</w:t>
      </w:r>
      <w:r>
        <w:rPr>
          <w:vertAlign w:val="superscript"/>
        </w:rPr>
        <w:t xml:space="preserve">27</w:t>
      </w:r>
      <w:r>
        <w:t xml:space="preserve"> </w:t>
      </w:r>
      <w:r>
        <w:t xml:space="preserve">For the TSC trial, only village-level source water quality data were shared. Individual studies nested within a given trial collected environmental measurements from different subsets of trial participants at different times. Therefore, we report results stratified by publication rather than by parent trial.</w:t>
      </w:r>
      <w:r>
        <w:t xml:space="preserve"> </w:t>
      </w:r>
      <w:r>
        <w:t xml:space="preserve">Studies had moderate risk of bias (3-6 out of 9 points) due to unblinded outcome assessments and caregiver recall of diarrhoea. The Gram Vikas and MapSan studies had higher risk of bias due to higher loss to follow-up and lack of randomization (Table S2). The WASH interventions in the parent trials did not reduce child diarrhoea or growth faltering, except for the WASH Benefits Bangladesh trial where children receiving sanitation, handwashing and combined WASH interventions had lower diarrhoea prevalence.</w:t>
      </w:r>
      <w:r>
        <w:rPr>
          <w:vertAlign w:val="superscript"/>
        </w:rPr>
        <w:t xml:space="preserve">8,25–27</w:t>
      </w:r>
      <w:r>
        <w:t xml:space="preserve"> </w:t>
      </w:r>
      <w:r>
        <w:t xml:space="preserve">Among the subset of children with time-matched environmental data included in our IPD analysis, there was no intervention effects on either child health outcome in any study, except for WASH Benefits Kenya, where HAZ was significantly lower in the intervention arm (Figures S1-2).</w:t>
      </w:r>
      <w:r>
        <w:rPr>
          <w:vertAlign w:val="superscript"/>
        </w:rPr>
        <w:t xml:space="preserve">9</w:t>
      </w:r>
      <w:r>
        <w:t xml:space="preserve"> </w:t>
      </w:r>
      <w:r>
        <w:t xml:space="preserve">The studies reported analysis of various environmental sample types (source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w:t>
      </w:r>
      <w:r>
        <w:t xml:space="preserve"> </w:t>
      </w:r>
      <w:r>
        <w:rPr>
          <w:iCs/>
          <w:i/>
        </w:rPr>
        <w:t xml:space="preserve">E. coli, Vibrio cholerae, Shigella, Campylobacter jejuni/coli, Salmonella, Yersinia, Clostridium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The MST markers included human (HumM2, HF183, BacHum,</w:t>
      </w:r>
      <w:r>
        <w:t xml:space="preserve"> </w:t>
      </w:r>
      <w:r>
        <w:rPr>
          <w:iCs/>
          <w:i/>
        </w:rPr>
        <w:t xml:space="preserve">M. smithii</w:t>
      </w:r>
      <w:r>
        <w:t xml:space="preserve">), animal (BacCan, BacCow), ruminant (BacR) and avian (GFD) fecal markers. The most commonly used method was quantitative polymerase chain reaction (qPCR). Additional details on the study designs, environmental sample collection, and laboratory methods are available elsewhere.</w:t>
      </w:r>
      <w:r>
        <w:rPr>
          <w:vertAlign w:val="superscript"/>
        </w:rPr>
        <w:t xml:space="preserve">15</w:t>
      </w:r>
      <w:r>
        <w:t xml:space="preserve"> </w:t>
      </w:r>
      <w:r>
        <w:t xml:space="preserve">The number of observations with time-matched environmental samples ranged from 89 to 1609 for pathogen-specific infections, 210 to 2036 for diarrhoea and 103 to 1800 for HAZ across studies (Table 1). Pathogen prevalence in children’s stool was 19-87%, and diarrhoea prevalence was 8-26% (Table 1). Mean HAZ ranged from -1.81 to -1.35 (Table 1).</w:t>
      </w:r>
    </w:p>
    <w:bookmarkEnd w:id="26"/>
    <w:bookmarkStart w:id="32" w:name="Xa1d6f8db804a75a8547ef2a782b4100645813fa"/>
    <w:p>
      <w:pPr>
        <w:pStyle w:val="Heading3"/>
      </w:pPr>
      <w:r>
        <w:t xml:space="preserve">Associations between environmental contamination and child health outcomes</w:t>
      </w:r>
    </w:p>
    <w:bookmarkStart w:id="27" w:name="Xf125ee7c66d65408e43fb2a76ac37177135c39d"/>
    <w:p>
      <w:pPr>
        <w:pStyle w:val="Heading4"/>
      </w:pPr>
      <w:r>
        <w:t xml:space="preserve">Associations with pathogen-specific infections</w:t>
      </w:r>
    </w:p>
    <w:p>
      <w:pPr>
        <w:pStyle w:val="FirstParagraph"/>
      </w:pPr>
      <w:r>
        <w:t xml:space="preserve">Detection of a specific enteropathogen in the domestic environment was associated with higher prevalence of subsequent infection with the same pathogen in children; trends were consistent across different enteropathogens and sample types (Figure 1).</w:t>
      </w:r>
      <w:r>
        <w:t xml:space="preserve"> </w:t>
      </w:r>
      <w:r>
        <w:rPr>
          <w:iCs/>
          <w:i/>
        </w:rPr>
        <w:t xml:space="preserve">Clostridium difficile</w:t>
      </w:r>
      <w:r>
        <w:t xml:space="preserve">,</w:t>
      </w:r>
      <w:r>
        <w:t xml:space="preserve"> </w:t>
      </w:r>
      <w:r>
        <w:rPr>
          <w:iCs/>
          <w:i/>
        </w:rPr>
        <w:t xml:space="preserve">Giardia</w:t>
      </w:r>
      <w:r>
        <w:t xml:space="preserve">,</w:t>
      </w:r>
      <w:r>
        <w:t xml:space="preserve"> </w:t>
      </w:r>
      <w:r>
        <w:rPr>
          <w:iCs/>
          <w:i/>
        </w:rPr>
        <w:t xml:space="preserve">Ascaris</w:t>
      </w:r>
      <w:r>
        <w:t xml:space="preserve"> </w:t>
      </w:r>
      <w:r>
        <w:t xml:space="preserve">and</w:t>
      </w:r>
      <w:r>
        <w:t xml:space="preserve"> </w:t>
      </w:r>
      <w:r>
        <w:rPr>
          <w:iCs/>
          <w:i/>
        </w:rPr>
        <w:t xml:space="preserve">Trichuris</w:t>
      </w:r>
      <w:r>
        <w:t xml:space="preserve"> </w:t>
      </w:r>
      <w:r>
        <w:t xml:space="preserve">detected in latrine and courtyard soil were associated with 1.2-6 fold higher prevalence of infection with the same pathogens (Figure 1).</w:t>
      </w:r>
    </w:p>
    <w:bookmarkEnd w:id="27"/>
    <w:bookmarkStart w:id="28" w:name="associations-with-diarrhoea"/>
    <w:p>
      <w:pPr>
        <w:pStyle w:val="Heading4"/>
      </w:pPr>
      <w:r>
        <w:t xml:space="preserve">Associations with diarrhoea</w:t>
      </w:r>
    </w:p>
    <w:p>
      <w:pPr>
        <w:pStyle w:val="FirstParagraph"/>
      </w:pPr>
      <w:r>
        <w:t xml:space="preserve">Presence of any enteropathogen in any type of environmental sample (specifically child hand rinses and soil) was associated with higher diarrhoea prevalence in two studies</w:t>
      </w:r>
      <w:r>
        <w:rPr>
          <w:vertAlign w:val="superscript"/>
        </w:rPr>
        <w:t xml:space="preserve">28,29</w:t>
      </w:r>
      <w:r>
        <w:t xml:space="preserve"> </w:t>
      </w:r>
      <w:r>
        <w:t xml:space="preserve">but not when pooled across studies (pooled PR: 1.17 (95% CI: 0.94, 1.46), Figure 2). Broken down by pathogen group, viruses on child hands and soil-transmitted helminths (STH) in soil</w:t>
      </w:r>
      <w:r>
        <w:rPr>
          <w:vertAlign w:val="superscript"/>
        </w:rPr>
        <w:t xml:space="preserve">29</w:t>
      </w:r>
      <w:r>
        <w:t xml:space="preserve"> </w:t>
      </w:r>
      <w:r>
        <w:t xml:space="preserve">were associated with higher diarrhoea prevalence while bacteria on child hands</w:t>
      </w:r>
      <w:r>
        <w:rPr>
          <w:vertAlign w:val="superscript"/>
        </w:rPr>
        <w:t xml:space="preserve">30</w:t>
      </w:r>
      <w:r>
        <w:t xml:space="preserve"> </w:t>
      </w:r>
      <w:r>
        <w:t xml:space="preserve">and protozoa in soil</w:t>
      </w:r>
      <w:r>
        <w:rPr>
          <w:vertAlign w:val="superscript"/>
        </w:rPr>
        <w:t xml:space="preserve">31</w:t>
      </w:r>
      <w:r>
        <w:t xml:space="preserve"> </w:t>
      </w:r>
      <w:r>
        <w:t xml:space="preserve">were borderline associated with increased diarrhoea; most other associations were null (Figure S3). Most associations between specific pathogens in the environment and diarrhoea were null, but rotavirus on child hands,</w:t>
      </w:r>
      <w:r>
        <w:rPr>
          <w:vertAlign w:val="superscript"/>
        </w:rPr>
        <w:t xml:space="preserve">28</w:t>
      </w:r>
      <w:r>
        <w:t xml:space="preserve"> </w:t>
      </w:r>
      <w:r>
        <w:t xml:space="preserve">Ascaris in household soil,</w:t>
      </w:r>
      <w:r>
        <w:rPr>
          <w:vertAlign w:val="superscript"/>
        </w:rPr>
        <w:t xml:space="preserve">29</w:t>
      </w:r>
      <w:r>
        <w:t xml:space="preserve"> </w:t>
      </w:r>
      <w:r>
        <w:t xml:space="preserve">and Giardia in latrine soil31 were significantly associated with 1.5-2.3 times higher diarrhoea prevalence (Figure S4). Detection of astrovirus in soil</w:t>
      </w:r>
      <w:r>
        <w:rPr>
          <w:vertAlign w:val="superscript"/>
        </w:rPr>
        <w:t xml:space="preserve">32</w:t>
      </w:r>
      <w:r>
        <w:t xml:space="preserve"> </w:t>
      </w:r>
      <w:r>
        <w:t xml:space="preserve">and pathogenic E. coli on child hands</w:t>
      </w:r>
      <w:r>
        <w:rPr>
          <w:vertAlign w:val="superscript"/>
        </w:rPr>
        <w:t xml:space="preserve">30</w:t>
      </w:r>
      <w:r>
        <w:t xml:space="preserve"> </w:t>
      </w:r>
      <w:r>
        <w:t xml:space="preserve">was also borderline associated with increased diarrhoea (Figure S4). Increasing abundance of Ascaris and rotavirus in household soil,</w:t>
      </w:r>
      <w:r>
        <w:rPr>
          <w:vertAlign w:val="superscript"/>
        </w:rPr>
        <w:t xml:space="preserve">28,29,32</w:t>
      </w:r>
      <w:r>
        <w:t xml:space="preserve"> </w:t>
      </w:r>
      <w:r>
        <w:t xml:space="preserve">and rotavirus on child hands</w:t>
      </w:r>
      <w:r>
        <w:rPr>
          <w:vertAlign w:val="superscript"/>
        </w:rPr>
        <w:t xml:space="preserve">28</w:t>
      </w:r>
      <w:r>
        <w:t xml:space="preserve"> </w:t>
      </w:r>
      <w:r>
        <w:t xml:space="preserve">was associated with higher diarrhoea prevalence as well (Figure S5).</w:t>
      </w:r>
    </w:p>
    <w:p>
      <w:pPr>
        <w:pStyle w:val="BodyText"/>
      </w:pPr>
      <w:r>
        <w:t xml:space="preserve">There was no significant association with diarrhoea for the presence of any MST marker (no pooled estimate, Figure 2) or human-specific MST markers (pooled PR: 1.01 (95% CI: 0.83, 1.24), Figure S3) in any sample type. Detection of any animal MST markers in any sample type was associated with 4-fold higher diarrhoea prevalence in one study (PR: 4.32 (95% CI: 2.16, 8.65))</w:t>
      </w:r>
      <w:r>
        <w:rPr>
          <w:vertAlign w:val="superscript"/>
        </w:rPr>
        <w:t xml:space="preserve">33</w:t>
      </w:r>
      <w:r>
        <w:t xml:space="preserve"> </w:t>
      </w:r>
      <w:r>
        <w:t xml:space="preserve">but not pooled across studies (pooled PR: 1.21 (95% CI: 0.53, 2.77), Figure S3). Detection of the avian GFD marker in any sample type was associated with &gt;2-fold higher diarrhoea in the same study,</w:t>
      </w:r>
      <w:r>
        <w:rPr>
          <w:vertAlign w:val="superscript"/>
        </w:rPr>
        <w:t xml:space="preserve">33</w:t>
      </w:r>
      <w:r>
        <w:t xml:space="preserve"> </w:t>
      </w:r>
      <w:r>
        <w:t xml:space="preserve">and the same marker in stored water and on child hands was borderline associated with increased diarrhoea in a different study (Figure S6).</w:t>
      </w:r>
      <w:r>
        <w:rPr>
          <w:vertAlign w:val="superscript"/>
        </w:rPr>
        <w:t xml:space="preserve">28</w:t>
      </w:r>
    </w:p>
    <w:bookmarkEnd w:id="28"/>
    <w:bookmarkStart w:id="29" w:name="associations-with-child-growth"/>
    <w:p>
      <w:pPr>
        <w:pStyle w:val="Heading4"/>
      </w:pPr>
      <w:r>
        <w:t xml:space="preserve">Associations with child growth</w:t>
      </w:r>
    </w:p>
    <w:p>
      <w:pPr>
        <w:pStyle w:val="FirstParagraph"/>
      </w:pPr>
      <w:r>
        <w:t xml:space="preserve">Most studies showed slightly lower HAZ associated with enteropathogen detection in environmental samples but associations could not be distinguished from chance. Pooled across studies, detection of any enteropathogen in any sample type was significantly associated with lower HAZ (pooled mean difference [</w:t>
      </w:r>
      <m:oMath>
        <m:r>
          <m:t>Δ</m:t>
        </m:r>
      </m:oMath>
      <w:r>
        <w:t xml:space="preserve"> </w:t>
      </w:r>
      <w:r>
        <w:t xml:space="preserve">HAZ]: -0.09 (95% CI: -0.17, -0.01), Figure 3). Broken down by pathogen groups, presence of protozoa on child hands was associated with lower HAZ (</w:t>
      </w:r>
      <m:oMath>
        <m:r>
          <m:t>Δ</m:t>
        </m:r>
      </m:oMath>
      <w:r>
        <w:t xml:space="preserve"> </w:t>
      </w:r>
      <w:r>
        <w:t xml:space="preserve">HAZ= -0.51 (95% CI: -0.93, -0.08), Figure S3) in one study.</w:t>
      </w:r>
      <w:r>
        <w:rPr>
          <w:vertAlign w:val="superscript"/>
        </w:rPr>
        <w:t xml:space="preserve">30</w:t>
      </w:r>
      <w:r>
        <w:t xml:space="preserve"> </w:t>
      </w:r>
      <w:r>
        <w:t xml:space="preserve">Among individual pathogens, detection of Ascaris in soil, Giardia on child hands and rotavirus in soil was significantly associated with lower HAZ (</w:t>
      </w:r>
      <m:oMath>
        <m:r>
          <m:t>Δ</m:t>
        </m:r>
      </m:oMath>
      <w:r>
        <w:t xml:space="preserve"> </w:t>
      </w:r>
      <w:r>
        <w:t xml:space="preserve">HAZ from -0.22 to -0.51, Figure S2). Many associations between individual pathogens and HAZ were null, and several pathogens in different sample types were associated with higher HAZ (Figure S4). Associations between the abundance of specific enteropathogens and HAZ, and between the presence/abundance of enteropathogens and WAZ, WHZ, stunting and wasting were inconsistent (Figures S4 and S5). For multiple pathogens, detection in environmental samples was associated with higher prevalence of underweight children (Figure S4).</w:t>
      </w:r>
    </w:p>
    <w:p>
      <w:pPr>
        <w:pStyle w:val="BodyText"/>
      </w:pPr>
      <w:r>
        <w:t xml:space="preserve">There was no association with HAZ for the detection of any MST marker (pooled</w:t>
      </w:r>
      <w:r>
        <w:t xml:space="preserve"> </w:t>
      </w:r>
      <m:oMath>
        <m:r>
          <m:t>Δ</m:t>
        </m:r>
      </m:oMath>
      <w:r>
        <w:t xml:space="preserve"> </w:t>
      </w:r>
      <w:r>
        <w:t xml:space="preserve">HAZ: -0.10 (95% CI: -0.40, 0.19), Figure 1), any human-specific marker (pooled</w:t>
      </w:r>
      <w:r>
        <w:t xml:space="preserve"> </w:t>
      </w:r>
      <m:oMath>
        <m:r>
          <m:t>Δ</m:t>
        </m:r>
      </m:oMath>
      <w:r>
        <w:t xml:space="preserve"> </w:t>
      </w:r>
      <w:r>
        <w:t xml:space="preserve">HAZ: -0.02 (95% CI: -0.15, 0.11), Figure S3) or animal-specific marker (pooled</w:t>
      </w:r>
      <w:r>
        <w:t xml:space="preserve"> </w:t>
      </w:r>
      <m:oMath>
        <m:r>
          <m:t>Δ</m:t>
        </m:r>
      </m:oMath>
      <w:r>
        <w:t xml:space="preserve"> </w:t>
      </w:r>
      <w:r>
        <w:t xml:space="preserve">HAZ: -0.06 (95% CI: -0.29, 0.18), Figure S3) in any environmental sample. In one study, detection of any MST marker in stored water was associated with lower HAZ (</w:t>
      </w:r>
      <m:oMath>
        <m:r>
          <m:t>Δ</m:t>
        </m:r>
      </m:oMath>
      <w:r>
        <w:t xml:space="preserve"> </w:t>
      </w:r>
      <w:r>
        <w:t xml:space="preserve">HAZ: -0.23 (95% CI: -0.45, -0.02), Figure 3),</w:t>
      </w:r>
      <w:r>
        <w:rPr>
          <w:vertAlign w:val="superscript"/>
        </w:rPr>
        <w:t xml:space="preserve">28</w:t>
      </w:r>
      <w:r>
        <w:t xml:space="preserve"> </w:t>
      </w:r>
      <w:r>
        <w:t xml:space="preserve">this was driven by animal markers (Figure S3) and specifically the avian GFD marker (Figure S6). Associations between the presence/abundance of individual MST markers and HAZ were inconsistent; most markers showed no association and several showed associations in both positive and negative directions (Figures S3, S6, S7). Associations with other growth measures were inconsistent with mostly null effects (Figures S3, S6, S7). Within individual studies, some markers were repeatedly associated with reduced growth across multiple metrics (</w:t>
      </w:r>
      <m:oMath>
        <m:r>
          <m:t>Δ</m:t>
        </m:r>
      </m:oMath>
      <w:r>
        <w:t xml:space="preserve"> </w:t>
      </w:r>
      <w:r>
        <w:t xml:space="preserve">z from -0.24 to -0.40), such as animal markers (BacCow) in soil, and avian (GFD) and ruminant (BacR) markers in stored water (Figures S6, S7). The abundance of MST markers had similar associations with health outcomes as the corresponding prevalences, though the abundance but not presence of BacCow in household soil and stored water was associated with lower HAZ and higher prevalence of stunting, and the abundance but not presence of HumM2 in household soil was associated with higher prevalence of stunting and wasting (Figure S7).</w:t>
      </w:r>
    </w:p>
    <w:bookmarkEnd w:id="29"/>
    <w:bookmarkStart w:id="30" w:name="subgroup-analyses"/>
    <w:p>
      <w:pPr>
        <w:pStyle w:val="Heading4"/>
      </w:pPr>
      <w:r>
        <w:t xml:space="preserve">Subgroup analyses</w:t>
      </w:r>
    </w:p>
    <w:p>
      <w:pPr>
        <w:pStyle w:val="FirstParagraph"/>
      </w:pPr>
      <w:r>
        <w:t xml:space="preserve">Associations between enteropathogens/MST markers and diarrhoea/HAZ did not vary consistently with child age (Figures S8, S9). However, most studies did not have children measured in all age categories. Child sex did not modify associations between pathogens/MST markers and diarrhoea, or between MST markers and HAZ (Figure S10). However, pathogen detection in environmental samples was associated with a larger growth deficit in boys (</w:t>
      </w:r>
      <m:oMath>
        <m:r>
          <m:t>Δ</m:t>
        </m:r>
      </m:oMath>
      <w:r>
        <w:t xml:space="preserve"> </w:t>
      </w:r>
      <w:r>
        <w:t xml:space="preserve">HAZ: -0.12 (95% CI: -0.24, 0.00)) than in girls (</w:t>
      </w:r>
      <m:oMath>
        <m:r>
          <m:t>Δ</m:t>
        </m:r>
      </m:oMath>
      <w:r>
        <w:t xml:space="preserve"> </w:t>
      </w:r>
      <w:r>
        <w:t xml:space="preserve">HAZ -0.05 (95% CI: -0.17, 0.08), Figure S11). This pattern was supported in individual studies (Figure S11).</w:t>
      </w:r>
      <w:r>
        <w:rPr>
          <w:vertAlign w:val="superscript"/>
        </w:rPr>
        <w:t xml:space="preserve">32</w:t>
      </w:r>
      <w:r>
        <w:t xml:space="preserve"> </w:t>
      </w:r>
      <w:r>
        <w:t xml:space="preserve">Animal ownership did not modify associations between pathogens/MST markers and HAZ (Figure S12); diarrhoea data were too sparse to assess effect modification by animal ownership. Pathogen presence in environmental samples was associated with higher diarrhoea prevalence in the wet season (PD: 0.05 (95% CI: 0.01, 0.09)) but not the dry season (Figure S13). MST markers were not associated with diarrhoea in either season. Estimates did not differ between urban and rural studies for any combination of exposures and outcomes.</w:t>
      </w:r>
    </w:p>
    <w:bookmarkEnd w:id="30"/>
    <w:bookmarkStart w:id="31" w:name="sensitivity-analyses"/>
    <w:p>
      <w:pPr>
        <w:pStyle w:val="Heading4"/>
      </w:pPr>
      <w:r>
        <w:t xml:space="preserve">Sensitivity analyses</w:t>
      </w:r>
    </w:p>
    <w:p>
      <w:pPr>
        <w:pStyle w:val="FirstParagraph"/>
      </w:pPr>
      <w:r>
        <w:t xml:space="preserve">Most covariates were not strongly associated with enteropathogen/MST marker presence in the environment, suggesting they are not strong confounders of the relationship between these exposures and child health (Figure S14). Covariate adjustment had small effects on the results; adjusted estimates were slightly larger in magnitude than unadjusted estimates, and the effect of adjustment was slightly more pronounced when a larger number of covariates was used for adjustment (Figures S15-S16). Estimates from parametric models vs. TMLE were similar (Figures S17-S18). Results were similar when we used environmental data collected up to four months prior, one month prior or at any time with respect to diarrhoea measurements (Figure S18).</w:t>
      </w:r>
    </w:p>
    <w:bookmarkEnd w:id="31"/>
    <w:bookmarkEnd w:id="32"/>
    <w:bookmarkEnd w:id="33"/>
    <w:bookmarkStart w:id="34" w:name="discussion"/>
    <w:p>
      <w:pPr>
        <w:pStyle w:val="Heading2"/>
      </w:pPr>
      <w:r>
        <w:t xml:space="preserve">Discussion</w:t>
      </w:r>
    </w:p>
    <w:p>
      <w:pPr>
        <w:pStyle w:val="FirstParagraph"/>
      </w:pPr>
      <w:r>
        <w:t xml:space="preserve">Detection of enteropathogens in the domestic environment was associated with higher prevalence of subsequent infection with the same pathogen and lower HAZ (pooled</w:t>
      </w:r>
      <w:r>
        <w:t xml:space="preserve"> </w:t>
      </w:r>
      <m:oMath>
        <m:r>
          <m:t>Δ</m:t>
        </m:r>
      </m:oMath>
      <w:r>
        <w:t xml:space="preserve"> </w:t>
      </w:r>
      <w:r>
        <w:t xml:space="preserve">HAZ: -0.09 (95% CI: -0.17, -0.01)) but not diarrhoea (pooled PR: 1.17 (95% CI: 0.94, 1.46)) among children. However, some individual pathogens were associated with increased diarrhoea. Overall, human or animal MST markers were not associated with diarrhoea (pooled PR: 1.01 (95% CI: 0.83, 1.24) for human markers, 1.21 (95% CI: 0.53, 2.77) for animal markers) or child growth (pooled</w:t>
      </w:r>
      <w:r>
        <w:t xml:space="preserve"> </w:t>
      </w:r>
      <m:oMath>
        <m:r>
          <m:t>Δ</m:t>
        </m:r>
      </m:oMath>
      <w:r>
        <w:t xml:space="preserve"> </w:t>
      </w:r>
      <w:r>
        <w:t xml:space="preserve">HAZ: -0.02 (95% CI: -0.15, 0.11) for human markers, -0.06 (95% CI: -0.29, 0.18) for animal markers). However, the avian GFD marker was associated with increased diarrhoea in multiple studies, and some animal markers (BacCow, avian GFD, ruminant BacR) were associated with reduced growth across multiple metrics in individual studies.</w:t>
      </w:r>
    </w:p>
    <w:p>
      <w:pPr>
        <w:pStyle w:val="BodyText"/>
      </w:pPr>
      <w:r>
        <w:t xml:space="preserve">Our findings support a causal chain between environmental contamination, enteric infection and growth faltering. However, few pathogens were measured in both environmental and stool samples. Also, while stool was sampled prospectively after environmental sampling, associations between pathogens in the environment and in stool could be due to reverse causation from chronic shedding by colonized children contaminating the environment. Notably, there was no overall association between pathogens in the environment and diarrhoea. In settings where children are frequently exposed to pathogens, asymptomatic colonization and subclinical infections are common. A study in 8 birth cohorts from sub-Saharan Africa, Asia and South America detected</w:t>
      </w:r>
      <w:r>
        <w:t xml:space="preserve"> </w:t>
      </w:r>
      <m:oMath>
        <m:r>
          <m:rPr>
            <m:sty m:val="p"/>
          </m:rPr>
          <m:t>≥</m:t>
        </m:r>
      </m:oMath>
      <w:r>
        <w:t xml:space="preserve"> </w:t>
      </w:r>
      <w:r>
        <w:t xml:space="preserve">1 pathogen in 65% of non-diarrhoeal stools vs. 77% of diarrhoeal stools.</w:t>
      </w:r>
      <w:r>
        <w:rPr>
          <w:vertAlign w:val="superscript"/>
        </w:rPr>
        <w:t xml:space="preserve">34</w:t>
      </w:r>
      <w:r>
        <w:t xml:space="preserve"> </w:t>
      </w:r>
      <w:r>
        <w:t xml:space="preserve">In our analysis, diarrhoea prevalence was 8-26% while pathogen prevalence in stool was 19-87%, indicating gut colonization without symptomatic diarrhoea. Acquired pathogen-specific immunity and vaccines can affect the manifestation of symptoms following pathogen exposure,</w:t>
      </w:r>
      <w:r>
        <w:rPr>
          <w:vertAlign w:val="superscript"/>
        </w:rPr>
        <w:t xml:space="preserve">35</w:t>
      </w:r>
      <w:r>
        <w:t xml:space="preserve"> </w:t>
      </w:r>
      <w:r>
        <w:t xml:space="preserve">and non-pathogenic etiologies can cause diarrhoea symptoms. Caregiver-reported diarrhoea is also subject to poor recall and potential misclassification.</w:t>
      </w:r>
      <w:r>
        <w:rPr>
          <w:vertAlign w:val="superscript"/>
        </w:rPr>
        <w:t xml:space="preserve">36</w:t>
      </w:r>
      <w:r>
        <w:t xml:space="preserve"> </w:t>
      </w:r>
      <w:r>
        <w:t xml:space="preserve">In a study in Bangladesh, survey questions on diarrhoea symptoms, pictorial surveys and visual assessment of stool had poor agreement with each other and low sensitivity and specificity against pathogen detection in stool.</w:t>
      </w:r>
      <w:r>
        <w:rPr>
          <w:vertAlign w:val="superscript"/>
        </w:rPr>
        <w:t xml:space="preserve">37</w:t>
      </w:r>
      <w:r>
        <w:t xml:space="preserve"> </w:t>
      </w:r>
      <w:r>
        <w:t xml:space="preserve">Our findings support recommendations to augment self-reported diarrhoea measurements with stool testing for enteric pathogens in future studies.</w:t>
      </w:r>
      <w:r>
        <w:rPr>
          <w:vertAlign w:val="superscript"/>
        </w:rPr>
        <w:t xml:space="preserve">38</w:t>
      </w:r>
    </w:p>
    <w:p>
      <w:pPr>
        <w:pStyle w:val="BodyText"/>
      </w:pPr>
      <w:r>
        <w:t xml:space="preserve">Pathogens in the environment that were associated with increased diarrhoea in individual studies in our analysis included</w:t>
      </w:r>
      <w:r>
        <w:t xml:space="preserve"> </w:t>
      </w:r>
      <w:r>
        <w:rPr>
          <w:iCs/>
          <w:i/>
        </w:rPr>
        <w:t xml:space="preserve">Ascaris</w:t>
      </w:r>
      <w:r>
        <w:t xml:space="preserve">,</w:t>
      </w:r>
      <w:r>
        <w:t xml:space="preserve"> </w:t>
      </w:r>
      <w:r>
        <w:rPr>
          <w:iCs/>
          <w:i/>
        </w:rPr>
        <w:t xml:space="preserve">Giardia</w:t>
      </w:r>
      <w:r>
        <w:t xml:space="preserve">, astrovirus, and rotavirus. These associations could be due to prolonged survival of these pathogens in the environment (e.g.,</w:t>
      </w:r>
      <w:r>
        <w:t xml:space="preserve"> </w:t>
      </w:r>
      <w:r>
        <w:rPr>
          <w:iCs/>
          <w:i/>
        </w:rPr>
        <w:t xml:space="preserve">Giardia</w:t>
      </w:r>
      <w:r>
        <w:t xml:space="preserve"> </w:t>
      </w:r>
      <w:r>
        <w:t xml:space="preserve">cysts,</w:t>
      </w:r>
      <w:r>
        <w:t xml:space="preserve"> </w:t>
      </w:r>
      <w:r>
        <w:rPr>
          <w:iCs/>
          <w:i/>
        </w:rPr>
        <w:t xml:space="preserve">Ascaris</w:t>
      </w:r>
      <w:r>
        <w:t xml:space="preserve"> </w:t>
      </w:r>
      <w:r>
        <w:t xml:space="preserve">eggs, astrovirus, and rotavirus are resilient to environmental stress.</w:t>
      </w:r>
      <w:r>
        <w:rPr>
          <w:vertAlign w:val="superscript"/>
        </w:rPr>
        <w:t xml:space="preserve">39,40,</w:t>
      </w:r>
      <w:r>
        <w:rPr>
          <w:bCs/>
          <w:b/>
          <w:vertAlign w:val="superscript"/>
        </w:rPr>
        <w:t xml:space="preserve">espinosaInfectivityGenomePersistence2008?</w:t>
      </w:r>
      <w:r>
        <w:t xml:space="preserve"> </w:t>
      </w:r>
      <w:r>
        <w:t xml:space="preserve">Among these, rotavirus and astrovirus have been identified in multi-country case-control studies among the pathogens with the highest attributable burden of child diarrhoea in low-income countries.</w:t>
      </w:r>
      <w:r>
        <w:rPr>
          <w:vertAlign w:val="superscript"/>
        </w:rPr>
        <w:t xml:space="preserve">34,41</w:t>
      </w:r>
      <w:r>
        <w:t xml:space="preserve"> </w:t>
      </w:r>
      <w:r>
        <w:t xml:space="preserve">Other dominant pathogens in the studies included</w:t>
      </w:r>
      <w:r>
        <w:t xml:space="preserve"> </w:t>
      </w:r>
      <w:r>
        <w:rPr>
          <w:iCs/>
          <w:i/>
        </w:rPr>
        <w:t xml:space="preserve">Cryptosporidium</w:t>
      </w:r>
      <w:r>
        <w:t xml:space="preserve">,</w:t>
      </w:r>
      <w:r>
        <w:t xml:space="preserve"> </w:t>
      </w:r>
      <w:r>
        <w:rPr>
          <w:iCs/>
          <w:i/>
        </w:rPr>
        <w:t xml:space="preserve">Shigella</w:t>
      </w:r>
      <w:r>
        <w:t xml:space="preserve">,</w:t>
      </w:r>
      <w:r>
        <w:t xml:space="preserve"> </w:t>
      </w:r>
      <w:r>
        <w:rPr>
          <w:iCs/>
          <w:i/>
        </w:rPr>
        <w:t xml:space="preserve">Campylobacter</w:t>
      </w:r>
      <w:r>
        <w:t xml:space="preserve"> </w:t>
      </w:r>
      <w:r>
        <w:t xml:space="preserve">and norovirus; we did not have sufficient time-matched environmental data to estimate associations with diarrhoea for these pathogens except for a null association with</w:t>
      </w:r>
      <w:r>
        <w:t xml:space="preserve"> </w:t>
      </w:r>
      <w:r>
        <w:rPr>
          <w:iCs/>
          <w:i/>
        </w:rPr>
        <w:t xml:space="preserve">Shigella</w:t>
      </w:r>
      <w:r>
        <w:t xml:space="preserve"> </w:t>
      </w:r>
      <w:r>
        <w:t xml:space="preserve">in one study. We also note that</w:t>
      </w:r>
      <w:r>
        <w:t xml:space="preserve"> </w:t>
      </w:r>
      <w:r>
        <w:rPr>
          <w:iCs/>
          <w:i/>
        </w:rPr>
        <w:t xml:space="preserve">Ascaris</w:t>
      </w:r>
      <w:r>
        <w:t xml:space="preserve"> </w:t>
      </w:r>
      <w:r>
        <w:t xml:space="preserve">infections typically do not lead to diarrhoeal symptoms</w:t>
      </w:r>
      <w:r>
        <w:rPr>
          <w:vertAlign w:val="superscript"/>
        </w:rPr>
        <w:t xml:space="preserve">42</w:t>
      </w:r>
      <w:r>
        <w:t xml:space="preserve"> </w:t>
      </w:r>
      <w:r>
        <w:t xml:space="preserve">and the observed association in our analysis could reflect a chance finding, co-occurrence of other pathogens in the soil samples, or residual confounding. Detection of</w:t>
      </w:r>
      <w:r>
        <w:t xml:space="preserve"> </w:t>
      </w:r>
      <w:r>
        <w:rPr>
          <w:iCs/>
          <w:i/>
        </w:rPr>
        <w:t xml:space="preserve">Ascaris</w:t>
      </w:r>
      <w:r>
        <w:t xml:space="preserve">,</w:t>
      </w:r>
      <w:r>
        <w:t xml:space="preserve"> </w:t>
      </w:r>
      <w:r>
        <w:rPr>
          <w:iCs/>
          <w:i/>
        </w:rPr>
        <w:t xml:space="preserve">Giardia</w:t>
      </w:r>
      <w:r>
        <w:t xml:space="preserve">, and rotavirus in environmental samples was also associated with reduced HAZ, providing internal consistency for a causal mechanism between environmental pathogen exposure, diarrhoea, and growth faltering.</w:t>
      </w:r>
    </w:p>
    <w:p>
      <w:pPr>
        <w:pStyle w:val="BodyText"/>
      </w:pPr>
      <w:r>
        <w:t xml:space="preserve">The MST markers in our analysis, including human (HumM2, HF183, BacHum,</w:t>
      </w:r>
      <w:r>
        <w:t xml:space="preserve"> </w:t>
      </w:r>
      <w:r>
        <w:rPr>
          <w:iCs/>
          <w:i/>
        </w:rPr>
        <w:t xml:space="preserve">M. smithii</w:t>
      </w:r>
      <w:r>
        <w:t xml:space="preserve">), animal (BacCan, BacCow), ruminant (BacR) and avian (GFD) markers, were not associated with child diarrhoea or growth. The accuracy of MST markers in identifying host faeces is imperfect, and sensitivity/specificity values &gt;80% are considered adequate.</w:t>
      </w:r>
      <w:r>
        <w:rPr>
          <w:vertAlign w:val="superscript"/>
        </w:rPr>
        <w:t xml:space="preserve">43</w:t>
      </w:r>
      <w:r>
        <w:t xml:space="preserve"> </w:t>
      </w:r>
      <w:r>
        <w:t xml:space="preserve">These values are regionally variable, and markers need to be validated to determine their sensitivity and specificity before use in new areas. The sensitivity and specificity of human MST markers is limited in low-income country settings where faecal contamination is widespread in the environment and humans share microbiota with animals.</w:t>
      </w:r>
      <w:r>
        <w:rPr>
          <w:vertAlign w:val="superscript"/>
        </w:rPr>
        <w:t xml:space="preserve">44,45</w:t>
      </w:r>
      <w:r>
        <w:t xml:space="preserve"> </w:t>
      </w:r>
      <w:r>
        <w:t xml:space="preserve">A validation study from 16 countries on six continents found that that the sensitivity of BacHum, BacCow and BacR was 87-92%, while host-specificity was 69% for BacHum, 57% for BacCow and 84% for BacR.</w:t>
      </w:r>
      <w:r>
        <w:rPr>
          <w:vertAlign w:val="superscript"/>
        </w:rPr>
        <w:t xml:space="preserve">46</w:t>
      </w:r>
      <w:r>
        <w:t xml:space="preserve"> </w:t>
      </w:r>
      <w:r>
        <w:t xml:space="preserve">The studies in our analysis performed setting-specific validation to select the markers with the best demonstrated local performance. For the TSC trial, the selected human marker (BacHum) had &lt;50% sensitivity and 78-80% specificity, and it cross-reacted with chicken feces.</w:t>
      </w:r>
      <w:r>
        <w:rPr>
          <w:vertAlign w:val="superscript"/>
        </w:rPr>
        <w:t xml:space="preserve">47</w:t>
      </w:r>
      <w:r>
        <w:t xml:space="preserve"> </w:t>
      </w:r>
      <w:r>
        <w:t xml:space="preserve">The selected animal marker (BacCow) had 95% sensitivity and 100% specificity.</w:t>
      </w:r>
      <w:r>
        <w:rPr>
          <w:vertAlign w:val="superscript"/>
        </w:rPr>
        <w:t xml:space="preserve">47</w:t>
      </w:r>
      <w:r>
        <w:t xml:space="preserve"> </w:t>
      </w:r>
      <w:r>
        <w:t xml:space="preserve">For WASH Benefits Bangladesh, the selected HumM2, BacR and GFD markers had &gt;80% sensitivity and specificity tested against local human, chicken/duck, cow and goat faeces. For MapSan, the selected human markers (HF183,</w:t>
      </w:r>
      <w:r>
        <w:t xml:space="preserve"> </w:t>
      </w:r>
      <w:r>
        <w:rPr>
          <w:iCs/>
          <w:i/>
        </w:rPr>
        <w:t xml:space="preserve">M. smithii</w:t>
      </w:r>
      <w:r>
        <w:t xml:space="preserve">) had 64-71% sensitivity and 67-71% specificity, and they cross-reacted with avian feces.</w:t>
      </w:r>
      <w:r>
        <w:rPr>
          <w:vertAlign w:val="superscript"/>
        </w:rPr>
        <w:t xml:space="preserve">48</w:t>
      </w:r>
      <w:r>
        <w:t xml:space="preserve"> </w:t>
      </w:r>
      <w:r>
        <w:t xml:space="preserve">The avian GFD marker had 78% sensitivity and 100% specificity.</w:t>
      </w:r>
      <w:r>
        <w:rPr>
          <w:vertAlign w:val="superscript"/>
        </w:rPr>
        <w:t xml:space="preserve">48</w:t>
      </w:r>
      <w:r>
        <w:t xml:space="preserve"> </w:t>
      </w:r>
      <w:r>
        <w:t xml:space="preserve">A large body of research focused on recreational waters in high-income countries indicates that human MST markers in environmental matrices do not predict gastrointestinal illness.</w:t>
      </w:r>
      <w:r>
        <w:rPr>
          <w:vertAlign w:val="superscript"/>
        </w:rPr>
        <w:t xml:space="preserve">49</w:t>
      </w:r>
      <w:r>
        <w:t xml:space="preserve"> </w:t>
      </w:r>
      <w:r>
        <w:t xml:space="preserve">Our finding that human or animal markers in the domestic environment were not overall associated with child health outcomes in low-income countries supports recommendations for developing better-performing MST markers that can better distinguish human and specific animal faecal sources in different settings.</w:t>
      </w:r>
      <w:r>
        <w:rPr>
          <w:vertAlign w:val="superscript"/>
        </w:rPr>
        <w:t xml:space="preserve">46</w:t>
      </w:r>
      <w:r>
        <w:t xml:space="preserve"> </w:t>
      </w:r>
      <w:r>
        <w:t xml:space="preserve">Notably, the avian GFD marker was the only MST marker associated with increased diarrhoea in our analysis, while multiple animal markers (GFD, BacCow, BacR) were associated with reduced linear and ponderal child growth in individual studies. Our findings support growing evidence that exposure to animals, specifically poultry, is a major source of enteric pathogen transmission and can contribute to growth faltering in low-income countries.</w:t>
      </w:r>
      <w:r>
        <w:rPr>
          <w:vertAlign w:val="superscript"/>
        </w:rPr>
        <w:t xml:space="preserve">50–56</w:t>
      </w:r>
      <w:r>
        <w:t xml:space="preserve"> </w:t>
      </w:r>
      <w:r>
        <w:t xml:space="preserve">Our findings of health associations with avian faecal markers also suggest that well-performing MST markers can be a useful tool for detecting zoonotic health risks.</w:t>
      </w:r>
    </w:p>
    <w:p>
      <w:pPr>
        <w:pStyle w:val="BodyText"/>
      </w:pPr>
      <w:r>
        <w:t xml:space="preserve">Our analysis adds to a body of research on the relationship between environmental faecal contamination and child health. One of the studies included in our analysis found that detection of any pathogen (rotavirus, adenovirus, pathogenic</w:t>
      </w:r>
      <w:r>
        <w:t xml:space="preserve"> </w:t>
      </w:r>
      <w:r>
        <w:rPr>
          <w:iCs/>
          <w:i/>
        </w:rPr>
        <w:t xml:space="preserve">E. coli</w:t>
      </w:r>
      <w:r>
        <w:t xml:space="preserve">,</w:t>
      </w:r>
      <w:r>
        <w:t xml:space="preserve"> </w:t>
      </w:r>
      <w:r>
        <w:rPr>
          <w:iCs/>
          <w:i/>
        </w:rPr>
        <w:t xml:space="preserve">Cryptosporidium</w:t>
      </w:r>
      <w:r>
        <w:t xml:space="preserve"> </w:t>
      </w:r>
      <w:r>
        <w:t xml:space="preserve">or</w:t>
      </w:r>
      <w:r>
        <w:t xml:space="preserve"> </w:t>
      </w:r>
      <w:r>
        <w:rPr>
          <w:iCs/>
          <w:i/>
        </w:rPr>
        <w:t xml:space="preserve">Giardia</w:t>
      </w:r>
      <w:r>
        <w:t xml:space="preserve">) was associated with increased risk of child diarrhoea for improved water sources but not for surface water sources in India.</w:t>
      </w:r>
      <w:r>
        <w:rPr>
          <w:vertAlign w:val="superscript"/>
        </w:rPr>
        <w:t xml:space="preserve">57</w:t>
      </w:r>
      <w:r>
        <w:t xml:space="preserve"> </w:t>
      </w:r>
      <w:r>
        <w:t xml:space="preserve">The same study found that detection of human or animal markers in household samples was each associated with &gt;4-fold increase in diarrhoea when the marker was detected in all tested pathways (stored drinking water, child and caregiver hands) vs. none of these pathways.</w:t>
      </w:r>
      <w:r>
        <w:rPr>
          <w:vertAlign w:val="superscript"/>
        </w:rPr>
        <w:t xml:space="preserve">57</w:t>
      </w:r>
      <w:r>
        <w:t xml:space="preserve"> </w:t>
      </w:r>
      <w:r>
        <w:t xml:space="preserve">Most other studies in low-income countries have characterized environmental faecal contamination using FIB. Meta-analyses indicate that</w:t>
      </w:r>
      <w:r>
        <w:t xml:space="preserve"> </w:t>
      </w:r>
      <w:r>
        <w:rPr>
          <w:iCs/>
          <w:i/>
        </w:rPr>
        <w:t xml:space="preserve">E. coli</w:t>
      </w:r>
      <w:r>
        <w:t xml:space="preserve"> </w:t>
      </w:r>
      <w:r>
        <w:t xml:space="preserve">and thermotolerant coliforms in drinking water are associated with increased risk of diarrhoea.</w:t>
      </w:r>
      <w:r>
        <w:rPr>
          <w:vertAlign w:val="superscript"/>
        </w:rPr>
        <w:t xml:space="preserve">13,58</w:t>
      </w:r>
      <w:r>
        <w:t xml:space="preserve"> </w:t>
      </w:r>
      <w:r>
        <w:t xml:space="preserve">An IPD analysis found that the odds of diarrhoea increased by 9% for each log</w:t>
      </w:r>
      <w:r>
        <w:rPr>
          <w:vertAlign w:val="subscript"/>
        </w:rPr>
        <w:t xml:space="preserve">10</w:t>
      </w:r>
      <w:r>
        <w:t xml:space="preserve"> </w:t>
      </w:r>
      <w:r>
        <w:t xml:space="preserve">FIB increase in drinking water and by 11% for each log</w:t>
      </w:r>
      <w:r>
        <w:rPr>
          <w:vertAlign w:val="subscript"/>
        </w:rPr>
        <w:t xml:space="preserve">10</w:t>
      </w:r>
      <w:r>
        <w:t xml:space="preserve"> </w:t>
      </w:r>
      <w:r>
        <w:t xml:space="preserve">FIB increase on child hands.</w:t>
      </w:r>
      <w:r>
        <w:rPr>
          <w:vertAlign w:val="superscript"/>
        </w:rPr>
        <w:t xml:space="preserve">10</w:t>
      </w:r>
      <w:r>
        <w:t xml:space="preserve"> </w:t>
      </w:r>
      <w:r>
        <w:t xml:space="preserve">In the same analysis, a log</w:t>
      </w:r>
      <w:r>
        <w:rPr>
          <w:vertAlign w:val="subscript"/>
        </w:rPr>
        <w:t xml:space="preserve">10</w:t>
      </w:r>
      <w:r>
        <w:t xml:space="preserve"> </w:t>
      </w:r>
      <w:r>
        <w:t xml:space="preserve">increase in FIB in drinking water and on fomites was associated with slightly lower HAZ (</w:t>
      </w:r>
      <m:oMath>
        <m:r>
          <m:t>Δ</m:t>
        </m:r>
      </m:oMath>
      <w:r>
        <w:t xml:space="preserve"> </w:t>
      </w:r>
      <w:r>
        <w:t xml:space="preserve">z = -0.04 and -0.06, respectively).</w:t>
      </w:r>
      <w:r>
        <w:rPr>
          <w:vertAlign w:val="superscript"/>
        </w:rPr>
        <w:t xml:space="preserve">10</w:t>
      </w:r>
      <w:r>
        <w:t xml:space="preserve"> </w:t>
      </w:r>
      <w:r>
        <w:t xml:space="preserve">The reduction in HAZ associated with enteropathogens in the environment in our analysis (</w:t>
      </w:r>
      <m:oMath>
        <m:r>
          <m:t>Δ</m:t>
        </m:r>
      </m:oMath>
      <w:r>
        <w:t xml:space="preserve"> </w:t>
      </w:r>
      <w:r>
        <w:t xml:space="preserve">z = -0.08) was similar in magnitude to what has been reported for FIB. Thus, advanced measures to characterize environmental contamination did not yield any clearer insights over FIB with respect to predicting child health outcomes. However, our finding of increased risk of infection with a pathogen following its detection in the environment indicates that measuring pathogens in the environment is useful for assessing transmission for a specific organism and consequently designing and evaluating interventions targeting it.</w:t>
      </w:r>
    </w:p>
    <w:p>
      <w:pPr>
        <w:pStyle w:val="BodyText"/>
      </w:pPr>
      <w:r>
        <w:t xml:space="preserve">Regardless of the analytical target used, measuring environmental contamination is subject to limitations when the goal is to predict health risks. Measuring FIB, enteric pathogens and MST markers in the environment each have specific strengths and weaknesses. While FIB can come from non-faecal sources, do not correlate with pathogens and cannot differentiate between faecal hosts,</w:t>
      </w:r>
      <w:r>
        <w:rPr>
          <w:vertAlign w:val="superscript"/>
        </w:rPr>
        <w:t xml:space="preserve">11–13</w:t>
      </w:r>
      <w:r>
        <w:t xml:space="preserve"> </w:t>
      </w:r>
      <w:r>
        <w:t xml:space="preserve">they can be measured inexpensively with minimal equipment. They also indicate viable organisms because they are typically enumerated with culture-based methods. Measuring pathogens/MST markers is more expensive and requires more extensive facilities. Therefore, the number of samples tested is typically small while the prevalence and abundance of enteropathogens in the environment is low, limiting statistical precision. Also, molecular methods typically used to detect these targets cannot determine viability. Additionally, faecal organisms in the environment have substantial temporal and spatial variability</w:t>
      </w:r>
      <w:r>
        <w:rPr>
          <w:vertAlign w:val="superscript"/>
        </w:rPr>
        <w:t xml:space="preserve">59,60</w:t>
      </w:r>
      <w:r>
        <w:t xml:space="preserve"> </w:t>
      </w:r>
      <w:r>
        <w:t xml:space="preserve">so grab samples capturing one point in time and space are unlikely to adequately characterize contamination. In an analysis among beachgoers in the US, averaging repeated</w:t>
      </w:r>
      <w:r>
        <w:t xml:space="preserve"> </w:t>
      </w:r>
      <w:r>
        <w:rPr>
          <w:iCs/>
          <w:i/>
        </w:rPr>
        <w:t xml:space="preserve">Enterococcus</w:t>
      </w:r>
      <w:r>
        <w:t xml:space="preserve"> </w:t>
      </w:r>
      <w:r>
        <w:t xml:space="preserve">measurements in recreational waters revealed associations with gastrointestinal illness among swimmers</w:t>
      </w:r>
      <w:r>
        <w:rPr>
          <w:vertAlign w:val="superscript"/>
        </w:rPr>
        <w:t xml:space="preserve">61</w:t>
      </w:r>
      <w:r>
        <w:t xml:space="preserve">. Fine-grained longitudinal sampling of the domestic environment can better characterize faecal contamination in low-income countries; such sampling is more feasible using inexpensive and widely available FIB methods. Additionally, measuring the environmental concentration of an organism gives little information about the dose ingested by children, which is determined by the duration and frequency of exposure in addition to the level of contamination.</w:t>
      </w:r>
      <w:r>
        <w:rPr>
          <w:vertAlign w:val="superscript"/>
        </w:rPr>
        <w:t xml:space="preserve">62</w:t>
      </w:r>
      <w:r>
        <w:t xml:space="preserve"> </w:t>
      </w:r>
      <w:r>
        <w:t xml:space="preserve">Children’s contact patterns with environmental matrices vary with age and setting.</w:t>
      </w:r>
      <w:r>
        <w:rPr>
          <w:vertAlign w:val="superscript"/>
        </w:rPr>
        <w:t xml:space="preserve">63,64</w:t>
      </w:r>
      <w:r>
        <w:t xml:space="preserve"> </w:t>
      </w:r>
      <w:r>
        <w:t xml:space="preserve">Combining assessments of these patterns with environmental measurements may better predict health risks.</w:t>
      </w:r>
      <w:r>
        <w:rPr>
          <w:vertAlign w:val="superscript"/>
        </w:rPr>
        <w:t xml:space="preserve">65,66</w:t>
      </w:r>
    </w:p>
    <w:p>
      <w:pPr>
        <w:pStyle w:val="BodyText"/>
      </w:pPr>
      <w:r>
        <w:t xml:space="preserve">Our analysis had several limitations. We only identified a small number of eligible studies. Due to the smaller sample size of the environmental samples within these studies, rare detection of many of the targets and low diarrhoea prevalence in most studies, we could not estimate all exposure-outcome associations, and our estimates may have failed to detect some associations due to data sparsity. The IPD meta-analysis approach allowed us combine data across studies to increase our statistical precision; meta-analyses with additional data from future studies may detect associations we missed. We could also only adjust for a small subset of potentially confounding covariates in some analyses due to the small number of observations. However, most covariates were weakly associated with measures of environmental contamination, and our unadjusted and adjusted estimates were similar even when controlling for a larger number of covariates. Flexible covariate adjustment through TMLE did not change associations between environmental contamination and diarrhoea or HAZ. Therefore, we believe we adequately adjusted for measured confounding but unmeasured confounding may remain.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studies may have also led to inconsistencies in associations between studies. However, shrinking or expanding the window we allowed between environmental and diarrhoea measurements in our analyses did not change our findings.</w:t>
      </w:r>
    </w:p>
    <w:p>
      <w:pPr>
        <w:pStyle w:val="BodyText"/>
      </w:pPr>
      <w:r>
        <w:t xml:space="preserve">In conclusion, enteropathogen detection in the environment was associated with increased risk of child enteric infections and slightly lower linear growth but not symptomatic diarrhoea in our analysis. Our findings support a causal chain between environmental faecal contamination and child health outcomes. Our results also indicate a need for better MST markers. Future research should incorporate longitudinal and spatial environmental sampling to measure a combination of FIB and a common set of pathogens and/or well-performing MST markers in the environment as well as test for pathogens in stool to assess links between environmental faecal exposure and child health.</w:t>
      </w:r>
    </w:p>
    <w:bookmarkEnd w:id="34"/>
    <w:bookmarkStart w:id="166" w:name="references"/>
    <w:p>
      <w:pPr>
        <w:pStyle w:val="Heading2"/>
      </w:pPr>
      <w:r>
        <w:t xml:space="preserve">References</w:t>
      </w:r>
    </w:p>
    <w:bookmarkStart w:id="165" w:name="refs"/>
    <w:bookmarkStart w:id="36" w:name="Xf17b49cc78c32e3d36c7fc5f444e955c1e88c50"/>
    <w:p>
      <w:pPr>
        <w:pStyle w:val="Bibliography"/>
      </w:pPr>
      <w:r>
        <w:t xml:space="preserve">1</w:t>
      </w:r>
      <w:r>
        <w:t xml:space="preserve"> </w:t>
      </w:r>
      <w:r>
        <w:t xml:space="preserve">	</w:t>
      </w:r>
      <w:r>
        <w:t xml:space="preserve">Prendergast A, Kelly P.</w:t>
      </w:r>
      <w:r>
        <w:t xml:space="preserve"> </w:t>
      </w:r>
      <w:hyperlink r:id="rId35">
        <w:r>
          <w:rPr>
            <w:rStyle w:val="Hyperlink"/>
          </w:rPr>
          <w:t xml:space="preserve">Enteropathies in the</w:t>
        </w:r>
        <w:r>
          <w:rPr>
            <w:rStyle w:val="Hyperlink"/>
          </w:rPr>
          <w:t xml:space="preserve"> </w:t>
        </w:r>
        <w:r>
          <w:rPr>
            <w:rStyle w:val="Hyperlink"/>
          </w:rPr>
          <w:t xml:space="preserve">Developing World</w:t>
        </w:r>
        <w:r>
          <w:rPr>
            <w:rStyle w:val="Hyperlink"/>
          </w:rPr>
          <w:t xml:space="preserve">:</w:t>
        </w:r>
        <w:r>
          <w:rPr>
            <w:rStyle w:val="Hyperlink"/>
          </w:rPr>
          <w:t xml:space="preserve"> </w:t>
        </w:r>
        <w:r>
          <w:rPr>
            <w:rStyle w:val="Hyperlink"/>
          </w:rPr>
          <w:t xml:space="preserve">Neglected Effects</w:t>
        </w:r>
        <w:r>
          <w:rPr>
            <w:rStyle w:val="Hyperlink"/>
          </w:rPr>
          <w:t xml:space="preserve"> </w:t>
        </w:r>
        <w:r>
          <w:rPr>
            <w:rStyle w:val="Hyperlink"/>
          </w:rPr>
          <w:t xml:space="preserve">on</w:t>
        </w:r>
        <w:r>
          <w:rPr>
            <w:rStyle w:val="Hyperlink"/>
          </w:rPr>
          <w:t xml:space="preserve"> </w:t>
        </w:r>
        <w:r>
          <w:rPr>
            <w:rStyle w:val="Hyperlink"/>
          </w:rPr>
          <w:t xml:space="preserve">Global Health</w:t>
        </w:r>
      </w:hyperlink>
      <w:r>
        <w:t xml:space="preserve">.</w:t>
      </w:r>
      <w:r>
        <w:t xml:space="preserve"> </w:t>
      </w:r>
      <w:r>
        <w:rPr>
          <w:iCs/>
          <w:i/>
        </w:rPr>
        <w:t xml:space="preserve">The American Journal of Tropical Medicine and Hygiene</w:t>
      </w:r>
      <w:r>
        <w:t xml:space="preserve"> </w:t>
      </w:r>
      <w:r>
        <w:t xml:space="preserve">2012;</w:t>
      </w:r>
      <w:r>
        <w:t xml:space="preserve"> </w:t>
      </w:r>
      <w:r>
        <w:rPr>
          <w:bCs/>
          <w:b/>
        </w:rPr>
        <w:t xml:space="preserve">86</w:t>
      </w:r>
      <w:r>
        <w:t xml:space="preserve">: 756–63.</w:t>
      </w:r>
    </w:p>
    <w:bookmarkEnd w:id="36"/>
    <w:bookmarkStart w:id="38" w:name="ref-changChildrenSuccessfullyTreated2013"/>
    <w:p>
      <w:pPr>
        <w:pStyle w:val="Bibliography"/>
      </w:pPr>
      <w:r>
        <w:t xml:space="preserve">2</w:t>
      </w:r>
      <w:r>
        <w:t xml:space="preserve"> </w:t>
      </w:r>
      <w:r>
        <w:t xml:space="preserve">	</w:t>
      </w:r>
      <w:r>
        <w:t xml:space="preserve">Chang CY, Trehan I, Wang RJ,</w:t>
      </w:r>
      <w:r>
        <w:t xml:space="preserve"> </w:t>
      </w:r>
      <w:r>
        <w:rPr>
          <w:iCs/>
          <w:i/>
        </w:rPr>
        <w:t xml:space="preserve">et al.</w:t>
      </w:r>
      <w:r>
        <w:t xml:space="preserve"> </w:t>
      </w:r>
      <w:hyperlink r:id="rId37">
        <w:r>
          <w:rPr>
            <w:rStyle w:val="Hyperlink"/>
          </w:rPr>
          <w:t xml:space="preserve">Children successfully treated for moderate acute malnutrition remain at risk for malnutrition and death in the subsequent year after recovery</w:t>
        </w:r>
      </w:hyperlink>
      <w:r>
        <w:t xml:space="preserve">.</w:t>
      </w:r>
      <w:r>
        <w:t xml:space="preserve"> </w:t>
      </w:r>
      <w:r>
        <w:rPr>
          <w:iCs/>
          <w:i/>
        </w:rPr>
        <w:t xml:space="preserve">The Journal of Nutrition</w:t>
      </w:r>
      <w:r>
        <w:t xml:space="preserve"> </w:t>
      </w:r>
      <w:r>
        <w:t xml:space="preserve">2013;</w:t>
      </w:r>
      <w:r>
        <w:t xml:space="preserve"> </w:t>
      </w:r>
      <w:r>
        <w:rPr>
          <w:bCs/>
          <w:b/>
        </w:rPr>
        <w:t xml:space="preserve">143</w:t>
      </w:r>
      <w:r>
        <w:t xml:space="preserve">: 215–20.</w:t>
      </w:r>
    </w:p>
    <w:bookmarkEnd w:id="38"/>
    <w:bookmarkStart w:id="40" w:name="Xeae0d16d8610c81907f4313a9d0175613f201be"/>
    <w:p>
      <w:pPr>
        <w:pStyle w:val="Bibliography"/>
      </w:pPr>
      <w:r>
        <w:t xml:space="preserve">3</w:t>
      </w:r>
      <w:r>
        <w:t xml:space="preserve"> </w:t>
      </w:r>
      <w:r>
        <w:t xml:space="preserve">	</w:t>
      </w:r>
      <w:r>
        <w:t xml:space="preserve">McDonald CM, Olofin I, Flaxman S,</w:t>
      </w:r>
      <w:r>
        <w:t xml:space="preserve"> </w:t>
      </w:r>
      <w:r>
        <w:rPr>
          <w:iCs/>
          <w:i/>
        </w:rPr>
        <w:t xml:space="preserve">et al.</w:t>
      </w:r>
      <w:r>
        <w:t xml:space="preserve"> </w:t>
      </w:r>
      <w:hyperlink r:id="rId39">
        <w:r>
          <w:rPr>
            <w:rStyle w:val="Hyperlink"/>
          </w:rPr>
          <w:t xml:space="preserve">The effect of multiple anthropometric deficits on child mortality: Meta-analysis of individual data in 10 prospective studies from developing countries</w:t>
        </w:r>
      </w:hyperlink>
      <w:r>
        <w:t xml:space="preserve">.</w:t>
      </w:r>
      <w:r>
        <w:t xml:space="preserve"> </w:t>
      </w:r>
      <w:r>
        <w:rPr>
          <w:iCs/>
          <w:i/>
        </w:rPr>
        <w:t xml:space="preserve">The American Journal of Clinical Nutrition</w:t>
      </w:r>
      <w:r>
        <w:t xml:space="preserve"> </w:t>
      </w:r>
      <w:r>
        <w:t xml:space="preserve">2013;</w:t>
      </w:r>
      <w:r>
        <w:t xml:space="preserve"> </w:t>
      </w:r>
      <w:r>
        <w:rPr>
          <w:bCs/>
          <w:b/>
        </w:rPr>
        <w:t xml:space="preserve">97</w:t>
      </w:r>
      <w:r>
        <w:t xml:space="preserve">: 896–901.</w:t>
      </w:r>
    </w:p>
    <w:bookmarkEnd w:id="40"/>
    <w:bookmarkStart w:id="42" w:name="ref-jamesGlobalRegionalNational2018"/>
    <w:p>
      <w:pPr>
        <w:pStyle w:val="Bibliography"/>
      </w:pPr>
      <w:r>
        <w:t xml:space="preserve">4</w:t>
      </w:r>
      <w:r>
        <w:t xml:space="preserve"> </w:t>
      </w:r>
      <w:r>
        <w:t xml:space="preserve">	</w:t>
      </w:r>
      <w:r>
        <w:t xml:space="preserve">James SL, Abate D, Abate KH,</w:t>
      </w:r>
      <w:r>
        <w:t xml:space="preserve"> </w:t>
      </w:r>
      <w:r>
        <w:rPr>
          <w:iCs/>
          <w:i/>
        </w:rPr>
        <w:t xml:space="preserve">et al.</w:t>
      </w:r>
      <w:r>
        <w:t xml:space="preserve"> </w:t>
      </w:r>
      <w:hyperlink r:id="rId41">
        <w:r>
          <w:rPr>
            <w:rStyle w:val="Hyperlink"/>
          </w:rPr>
          <w:t xml:space="preserve">Global, regional, and national incidence, prevalence, and years lived with disability for 354 diseases and injuries for 195 countries and territories, 1990</w:t>
        </w:r>
        <w:r>
          <w:rPr>
            <w:rStyle w:val="Hyperlink"/>
          </w:rPr>
          <w:t xml:space="preserve">: A systematic analysis for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Disease Study</w:t>
        </w:r>
        <w:r>
          <w:rPr>
            <w:rStyle w:val="Hyperlink"/>
          </w:rPr>
          <w:t xml:space="preserve"> </w:t>
        </w:r>
        <w:r>
          <w:rPr>
            <w:rStyle w:val="Hyperlink"/>
          </w:rPr>
          <w:t xml:space="preserve">2017</w:t>
        </w:r>
      </w:hyperlink>
      <w:r>
        <w:t xml:space="preserve">.</w:t>
      </w:r>
      <w:r>
        <w:t xml:space="preserve"> </w:t>
      </w:r>
      <w:r>
        <w:rPr>
          <w:iCs/>
          <w:i/>
        </w:rPr>
        <w:t xml:space="preserve">The Lancet</w:t>
      </w:r>
      <w:r>
        <w:t xml:space="preserve"> </w:t>
      </w:r>
      <w:r>
        <w:t xml:space="preserve">2018;</w:t>
      </w:r>
      <w:r>
        <w:t xml:space="preserve"> </w:t>
      </w:r>
      <w:r>
        <w:rPr>
          <w:bCs/>
          <w:b/>
        </w:rPr>
        <w:t xml:space="preserve">392</w:t>
      </w:r>
      <w:r>
        <w:t xml:space="preserve">: 1789–858.</w:t>
      </w:r>
    </w:p>
    <w:bookmarkEnd w:id="42"/>
    <w:bookmarkStart w:id="44" w:name="ref-blackEarlyChildhoodDevelopment2017"/>
    <w:p>
      <w:pPr>
        <w:pStyle w:val="Bibliography"/>
      </w:pPr>
      <w:r>
        <w:t xml:space="preserve">5</w:t>
      </w:r>
      <w:r>
        <w:t xml:space="preserve"> </w:t>
      </w:r>
      <w:r>
        <w:t xml:space="preserve">	</w:t>
      </w:r>
      <w:r>
        <w:t xml:space="preserve">Black MM, Walker SP, Fernald LCH,</w:t>
      </w:r>
      <w:r>
        <w:t xml:space="preserve"> </w:t>
      </w:r>
      <w:r>
        <w:rPr>
          <w:iCs/>
          <w:i/>
        </w:rPr>
        <w:t xml:space="preserve">et al.</w:t>
      </w:r>
      <w:r>
        <w:t xml:space="preserve"> </w:t>
      </w:r>
      <w:hyperlink r:id="rId43">
        <w:r>
          <w:rPr>
            <w:rStyle w:val="Hyperlink"/>
          </w:rPr>
          <w:t xml:space="preserve">Early childhood development coming of age: Science through the life course</w:t>
        </w:r>
      </w:hyperlink>
      <w:r>
        <w:t xml:space="preserve">.</w:t>
      </w:r>
      <w:r>
        <w:t xml:space="preserve"> </w:t>
      </w:r>
      <w:r>
        <w:rPr>
          <w:iCs/>
          <w:i/>
        </w:rPr>
        <w:t xml:space="preserve">Lancet (London, England)</w:t>
      </w:r>
      <w:r>
        <w:t xml:space="preserve"> </w:t>
      </w:r>
      <w:r>
        <w:t xml:space="preserve">2017;</w:t>
      </w:r>
      <w:r>
        <w:t xml:space="preserve"> </w:t>
      </w:r>
      <w:r>
        <w:rPr>
          <w:bCs/>
          <w:b/>
        </w:rPr>
        <w:t xml:space="preserve">389</w:t>
      </w:r>
      <w:r>
        <w:t xml:space="preserve">: 77–90.</w:t>
      </w:r>
    </w:p>
    <w:bookmarkEnd w:id="44"/>
    <w:bookmarkStart w:id="46" w:name="X1e436f972bd9eccdd07789b16bdf3806ea9b00a"/>
    <w:p>
      <w:pPr>
        <w:pStyle w:val="Bibliography"/>
      </w:pPr>
      <w:r>
        <w:t xml:space="preserve">6</w:t>
      </w:r>
      <w:r>
        <w:t xml:space="preserve"> </w:t>
      </w:r>
      <w:r>
        <w:t xml:space="preserve">	</w:t>
      </w:r>
      <w:r>
        <w:t xml:space="preserve">Prüss-Ustün A, Wolf J, Bartram J,</w:t>
      </w:r>
      <w:r>
        <w:t xml:space="preserve"> </w:t>
      </w:r>
      <w:r>
        <w:rPr>
          <w:iCs/>
          <w:i/>
        </w:rPr>
        <w:t xml:space="preserve">et al.</w:t>
      </w:r>
      <w:r>
        <w:t xml:space="preserve"> </w:t>
      </w:r>
      <w:hyperlink r:id="rId45">
        <w:r>
          <w:rPr>
            <w:rStyle w:val="Hyperlink"/>
          </w:rPr>
          <w:t xml:space="preserve">Burden of disease from inadequate water, sanitation and hygiene for selected adverse health outcomes:</w:t>
        </w:r>
        <w:r>
          <w:rPr>
            <w:rStyle w:val="Hyperlink"/>
          </w:rPr>
          <w:t xml:space="preserve"> </w:t>
        </w:r>
        <w:r>
          <w:rPr>
            <w:rStyle w:val="Hyperlink"/>
          </w:rPr>
          <w:t xml:space="preserve">An</w:t>
        </w:r>
        <w:r>
          <w:rPr>
            <w:rStyle w:val="Hyperlink"/>
          </w:rPr>
          <w:t xml:space="preserve"> </w:t>
        </w:r>
        <w:r>
          <w:rPr>
            <w:rStyle w:val="Hyperlink"/>
          </w:rPr>
          <w:t xml:space="preserve">updated analysis with a focus on low- and middle-income countries</w:t>
        </w:r>
      </w:hyperlink>
      <w:r>
        <w:t xml:space="preserve">.</w:t>
      </w:r>
      <w:r>
        <w:t xml:space="preserve"> </w:t>
      </w:r>
      <w:r>
        <w:rPr>
          <w:iCs/>
          <w:i/>
        </w:rPr>
        <w:t xml:space="preserve">International Journal of Hygiene and Environmental Health</w:t>
      </w:r>
      <w:r>
        <w:t xml:space="preserve"> </w:t>
      </w:r>
      <w:r>
        <w:t xml:space="preserve">2019;</w:t>
      </w:r>
      <w:r>
        <w:t xml:space="preserve"> </w:t>
      </w:r>
      <w:r>
        <w:rPr>
          <w:bCs/>
          <w:b/>
        </w:rPr>
        <w:t xml:space="preserve">222</w:t>
      </w:r>
      <w:r>
        <w:t xml:space="preserve">: 765–77.</w:t>
      </w:r>
    </w:p>
    <w:bookmarkEnd w:id="46"/>
    <w:bookmarkStart w:id="48" w:name="Xfdc957128323568b573ae0fcc258014cd910e65"/>
    <w:p>
      <w:pPr>
        <w:pStyle w:val="Bibliography"/>
      </w:pPr>
      <w:r>
        <w:t xml:space="preserve">7</w:t>
      </w:r>
      <w:r>
        <w:t xml:space="preserve"> </w:t>
      </w:r>
      <w:r>
        <w:t xml:space="preserve">	</w:t>
      </w:r>
      <w:r>
        <w:t xml:space="preserve">Humphrey JH, Mbuya MNN, Ntozini R,</w:t>
      </w:r>
      <w:r>
        <w:t xml:space="preserve"> </w:t>
      </w:r>
      <w:r>
        <w:rPr>
          <w:iCs/>
          <w:i/>
        </w:rPr>
        <w:t xml:space="preserve">et al.</w:t>
      </w:r>
      <w:r>
        <w:t xml:space="preserve"> </w:t>
      </w:r>
      <w:hyperlink r:id="rId47">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2019;</w:t>
      </w:r>
      <w:r>
        <w:t xml:space="preserve"> </w:t>
      </w:r>
      <w:r>
        <w:rPr>
          <w:bCs/>
          <w:b/>
        </w:rPr>
        <w:t xml:space="preserve">7</w:t>
      </w:r>
      <w:r>
        <w:t xml:space="preserve">: e132–47.</w:t>
      </w:r>
    </w:p>
    <w:bookmarkEnd w:id="48"/>
    <w:bookmarkStart w:id="50" w:name="ref-lubyEffectsWaterQuality2018"/>
    <w:p>
      <w:pPr>
        <w:pStyle w:val="Bibliography"/>
      </w:pPr>
      <w:r>
        <w:t xml:space="preserve">8</w:t>
      </w:r>
      <w:r>
        <w:t xml:space="preserve"> </w:t>
      </w:r>
      <w:r>
        <w:t xml:space="preserve">	</w:t>
      </w:r>
      <w:r>
        <w:t xml:space="preserve">Luby SP, Rahman M, Arnold BF,</w:t>
      </w:r>
      <w:r>
        <w:t xml:space="preserve"> </w:t>
      </w:r>
      <w:r>
        <w:rPr>
          <w:iCs/>
          <w:i/>
        </w:rPr>
        <w:t xml:space="preserve">et al.</w:t>
      </w:r>
      <w:r>
        <w:t xml:space="preserve"> </w:t>
      </w:r>
      <w:hyperlink r:id="rId49">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e302–15.</w:t>
      </w:r>
    </w:p>
    <w:bookmarkEnd w:id="50"/>
    <w:bookmarkStart w:id="52" w:name="ref-nullEffectsWaterQuality2018"/>
    <w:p>
      <w:pPr>
        <w:pStyle w:val="Bibliography"/>
      </w:pPr>
      <w:r>
        <w:t xml:space="preserve">9</w:t>
      </w:r>
      <w:r>
        <w:t xml:space="preserve"> </w:t>
      </w:r>
      <w:r>
        <w:t xml:space="preserve">	</w:t>
      </w:r>
      <w:r>
        <w:t xml:space="preserve">Null C, Stewart CP, Pickering AJ,</w:t>
      </w:r>
      <w:r>
        <w:t xml:space="preserve"> </w:t>
      </w:r>
      <w:r>
        <w:rPr>
          <w:iCs/>
          <w:i/>
        </w:rPr>
        <w:t xml:space="preserve">et al.</w:t>
      </w:r>
      <w:r>
        <w:t xml:space="preserve"> </w:t>
      </w:r>
      <w:hyperlink r:id="rId51">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e316–29.</w:t>
      </w:r>
    </w:p>
    <w:bookmarkEnd w:id="52"/>
    <w:bookmarkStart w:id="54" w:name="X18461787e9834ac857e3ebb2d1f89ed11ef0d7f"/>
    <w:p>
      <w:pPr>
        <w:pStyle w:val="Bibliography"/>
      </w:pPr>
      <w:r>
        <w:t xml:space="preserve">10</w:t>
      </w:r>
      <w:r>
        <w:t xml:space="preserve"> </w:t>
      </w:r>
      <w:r>
        <w:t xml:space="preserve">	</w:t>
      </w:r>
      <w:r>
        <w:t xml:space="preserve">Goddard FGB, Pickering AJ, Ercumen A, Brown J, Chang HH, Clasen T.</w:t>
      </w:r>
      <w:r>
        <w:t xml:space="preserve"> </w:t>
      </w:r>
      <w:hyperlink r:id="rId53">
        <w:r>
          <w:rPr>
            <w:rStyle w:val="Hyperlink"/>
          </w:rPr>
          <w:t xml:space="preserve">Faecal contamination of the environment and child health: A systematic review and individual participant data meta-analysis</w:t>
        </w:r>
      </w:hyperlink>
      <w:r>
        <w:t xml:space="preserve">.</w:t>
      </w:r>
      <w:r>
        <w:t xml:space="preserve"> </w:t>
      </w:r>
      <w:r>
        <w:rPr>
          <w:iCs/>
          <w:i/>
        </w:rPr>
        <w:t xml:space="preserve">The Lancet Planetary Health</w:t>
      </w:r>
      <w:r>
        <w:t xml:space="preserve"> </w:t>
      </w:r>
      <w:r>
        <w:t xml:space="preserve">2020;</w:t>
      </w:r>
      <w:r>
        <w:t xml:space="preserve"> </w:t>
      </w:r>
      <w:r>
        <w:rPr>
          <w:bCs/>
          <w:b/>
        </w:rPr>
        <w:t xml:space="preserve">4</w:t>
      </w:r>
      <w:r>
        <w:t xml:space="preserve">: e405–15.</w:t>
      </w:r>
    </w:p>
    <w:bookmarkEnd w:id="54"/>
    <w:bookmarkStart w:id="56" w:name="ref-hardinaSoilEnvironmentalSource1991"/>
    <w:p>
      <w:pPr>
        <w:pStyle w:val="Bibliography"/>
      </w:pPr>
      <w:r>
        <w:t xml:space="preserve">11</w:t>
      </w:r>
      <w:r>
        <w:t xml:space="preserve"> </w:t>
      </w:r>
      <w:r>
        <w:t xml:space="preserve">	</w:t>
      </w:r>
      <w:r>
        <w:t xml:space="preserve">Hardina CM, Fujioka RS.</w:t>
      </w:r>
      <w:r>
        <w:t xml:space="preserve"> </w:t>
      </w:r>
      <w:hyperlink r:id="rId55">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t xml:space="preserve">1991;</w:t>
      </w:r>
      <w:r>
        <w:t xml:space="preserve"> </w:t>
      </w:r>
      <w:r>
        <w:rPr>
          <w:bCs/>
          <w:b/>
        </w:rPr>
        <w:t xml:space="preserve">6</w:t>
      </w:r>
      <w:r>
        <w:t xml:space="preserve">: 185–95.</w:t>
      </w:r>
    </w:p>
    <w:bookmarkEnd w:id="56"/>
    <w:bookmarkStart w:id="58" w:name="ref-wuAreMicrobialIndicators2011"/>
    <w:p>
      <w:pPr>
        <w:pStyle w:val="Bibliography"/>
      </w:pPr>
      <w:r>
        <w:t xml:space="preserve">12</w:t>
      </w:r>
      <w:r>
        <w:t xml:space="preserve"> </w:t>
      </w:r>
      <w:r>
        <w:t xml:space="preserve">	</w:t>
      </w:r>
      <w:r>
        <w:t xml:space="preserve">Wu J, Long SC, Das D, Dorner SM.</w:t>
      </w:r>
      <w:r>
        <w:t xml:space="preserve"> </w:t>
      </w:r>
      <w:hyperlink r:id="rId57">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t xml:space="preserve">2011;</w:t>
      </w:r>
      <w:r>
        <w:t xml:space="preserve"> </w:t>
      </w:r>
      <w:r>
        <w:rPr>
          <w:bCs/>
          <w:b/>
        </w:rPr>
        <w:t xml:space="preserve">9</w:t>
      </w:r>
      <w:r>
        <w:t xml:space="preserve">: 265–78.</w:t>
      </w:r>
    </w:p>
    <w:bookmarkEnd w:id="58"/>
    <w:bookmarkStart w:id="60" w:name="ref-gruberColiformBacteriaIndicators2014"/>
    <w:p>
      <w:pPr>
        <w:pStyle w:val="Bibliography"/>
      </w:pPr>
      <w:r>
        <w:t xml:space="preserve">13</w:t>
      </w:r>
      <w:r>
        <w:t xml:space="preserve"> </w:t>
      </w:r>
      <w:r>
        <w:t xml:space="preserve">	</w:t>
      </w:r>
      <w:r>
        <w:t xml:space="preserve">Gruber JS, Ercumen A, Colford JM.</w:t>
      </w:r>
      <w:r>
        <w:t xml:space="preserve"> </w:t>
      </w:r>
      <w:hyperlink r:id="rId59">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t xml:space="preserve">2014;</w:t>
      </w:r>
      <w:r>
        <w:t xml:space="preserve"> </w:t>
      </w:r>
      <w:r>
        <w:rPr>
          <w:bCs/>
          <w:b/>
        </w:rPr>
        <w:t xml:space="preserve">9</w:t>
      </w:r>
      <w:r>
        <w:t xml:space="preserve">: e107429.</w:t>
      </w:r>
    </w:p>
    <w:bookmarkEnd w:id="60"/>
    <w:bookmarkStart w:id="62" w:name="ref-schoenEvaluatingImportanceFaecal2011"/>
    <w:p>
      <w:pPr>
        <w:pStyle w:val="Bibliography"/>
      </w:pPr>
      <w:r>
        <w:t xml:space="preserve">14</w:t>
      </w:r>
      <w:r>
        <w:t xml:space="preserve"> </w:t>
      </w:r>
      <w:r>
        <w:t xml:space="preserve">	</w:t>
      </w:r>
      <w:r>
        <w:t xml:space="preserve">Schoen ME, Soller JA, Ashbolt NJ.</w:t>
      </w:r>
      <w:r>
        <w:t xml:space="preserve"> </w:t>
      </w:r>
      <w:hyperlink r:id="rId61">
        <w:r>
          <w:rPr>
            <w:rStyle w:val="Hyperlink"/>
          </w:rPr>
          <w:t xml:space="preserve">Evaluating the importance of faecal sources in human-impacted waters</w:t>
        </w:r>
      </w:hyperlink>
      <w:r>
        <w:t xml:space="preserve">.</w:t>
      </w:r>
      <w:r>
        <w:t xml:space="preserve"> </w:t>
      </w:r>
      <w:r>
        <w:rPr>
          <w:iCs/>
          <w:i/>
        </w:rPr>
        <w:t xml:space="preserve">Water Research</w:t>
      </w:r>
      <w:r>
        <w:t xml:space="preserve"> </w:t>
      </w:r>
      <w:r>
        <w:t xml:space="preserve">2011;</w:t>
      </w:r>
      <w:r>
        <w:t xml:space="preserve"> </w:t>
      </w:r>
      <w:r>
        <w:rPr>
          <w:bCs/>
          <w:b/>
        </w:rPr>
        <w:t xml:space="preserve">45</w:t>
      </w:r>
      <w:r>
        <w:t xml:space="preserve">: 2670–80.</w:t>
      </w:r>
    </w:p>
    <w:bookmarkEnd w:id="62"/>
    <w:bookmarkStart w:id="63" w:name="ref-mertensEffectWaterSanitation"/>
    <w:p>
      <w:pPr>
        <w:pStyle w:val="Bibliography"/>
      </w:pPr>
      <w:r>
        <w:t xml:space="preserve">15</w:t>
      </w:r>
      <w:r>
        <w:t xml:space="preserve"> </w:t>
      </w:r>
      <w:r>
        <w:t xml:space="preserve">	</w:t>
      </w:r>
      <w:r>
        <w:t xml:space="preserve">Mertens A,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w:t>
      </w:r>
      <w:r>
        <w:t xml:space="preserve"> </w:t>
      </w:r>
      <w:r>
        <w:rPr>
          <w:iCs/>
          <w:i/>
        </w:rPr>
        <w:t xml:space="preserve">(In preperation)</w:t>
      </w:r>
      <w:r>
        <w:t xml:space="preserve">.</w:t>
      </w:r>
    </w:p>
    <w:bookmarkEnd w:id="63"/>
    <w:bookmarkStart w:id="65" w:name="Xb085e99df1676528103e53921e4b5a693e2fb9a"/>
    <w:p>
      <w:pPr>
        <w:pStyle w:val="Bibliography"/>
      </w:pPr>
      <w:r>
        <w:t xml:space="preserve">16</w:t>
      </w:r>
      <w:r>
        <w:t xml:space="preserve"> </w:t>
      </w:r>
      <w:r>
        <w:t xml:space="preserve">	</w:t>
      </w:r>
      <w:r>
        <w:t xml:space="preserve">WHO Multicentre Growth Reference Study Group.</w:t>
      </w:r>
      <w:r>
        <w:t xml:space="preserve"> </w:t>
      </w:r>
      <w:hyperlink r:id="rId64">
        <w:r>
          <w:rPr>
            <w:rStyle w:val="Hyperlink"/>
          </w:rPr>
          <w:t xml:space="preserve">WHO Child Growth Standards</w:t>
        </w:r>
        <w:r>
          <w:rPr>
            <w:rStyle w:val="Hyperlink"/>
          </w:rPr>
          <w:t xml:space="preserve"> </w:t>
        </w:r>
        <w:r>
          <w:rPr>
            <w:rStyle w:val="Hyperlink"/>
          </w:rPr>
          <w:t xml:space="preserve">based on length/height, weight and age</w:t>
        </w:r>
      </w:hyperlink>
      <w:r>
        <w:t xml:space="preserve">.</w:t>
      </w:r>
      <w:r>
        <w:t xml:space="preserve"> </w:t>
      </w:r>
      <w:r>
        <w:rPr>
          <w:iCs/>
          <w:i/>
        </w:rPr>
        <w:t xml:space="preserve">Acta Paediatrica (Oslo, Norway: 1992) Supplement</w:t>
      </w:r>
      <w:r>
        <w:t xml:space="preserve"> </w:t>
      </w:r>
      <w:r>
        <w:t xml:space="preserve">2006;</w:t>
      </w:r>
      <w:r>
        <w:t xml:space="preserve"> </w:t>
      </w:r>
      <w:r>
        <w:rPr>
          <w:bCs/>
          <w:b/>
        </w:rPr>
        <w:t xml:space="preserve">450</w:t>
      </w:r>
      <w:r>
        <w:t xml:space="preserve">: 76–85.</w:t>
      </w:r>
    </w:p>
    <w:bookmarkEnd w:id="65"/>
    <w:bookmarkStart w:id="67" w:name="X325faf369aa13b3d7167bcca72f53c68b904f73"/>
    <w:p>
      <w:pPr>
        <w:pStyle w:val="Bibliography"/>
      </w:pPr>
      <w:r>
        <w:t xml:space="preserve">17</w:t>
      </w:r>
      <w:r>
        <w:t xml:space="preserve"> </w:t>
      </w:r>
      <w:r>
        <w:t xml:space="preserve">	</w:t>
      </w:r>
      <w:r>
        <w:t xml:space="preserve">Luby SP, Halder AK, Huda TMd,</w:t>
      </w:r>
      <w:r>
        <w:t xml:space="preserve"> </w:t>
      </w:r>
      <w:r>
        <w:rPr>
          <w:iCs/>
          <w:i/>
        </w:rPr>
        <w:t xml:space="preserve">et al.</w:t>
      </w:r>
      <w:r>
        <w:t xml:space="preserve"> </w:t>
      </w:r>
      <w:hyperlink r:id="rId66">
        <w:r>
          <w:rPr>
            <w:rStyle w:val="Hyperlink"/>
          </w:rPr>
          <w:t xml:space="preserve">Microbiological</w:t>
        </w:r>
        <w:r>
          <w:rPr>
            <w:rStyle w:val="Hyperlink"/>
          </w:rPr>
          <w:t xml:space="preserve"> </w:t>
        </w:r>
        <w:r>
          <w:rPr>
            <w:rStyle w:val="Hyperlink"/>
          </w:rPr>
          <w:t xml:space="preserve">Contamination</w:t>
        </w:r>
        <w:r>
          <w:rPr>
            <w:rStyle w:val="Hyperlink"/>
          </w:rPr>
          <w:t xml:space="preserve"> </w:t>
        </w:r>
        <w:r>
          <w:rPr>
            <w:rStyle w:val="Hyperlink"/>
          </w:rPr>
          <w:t xml:space="preserve">of</w:t>
        </w:r>
        <w:r>
          <w:rPr>
            <w:rStyle w:val="Hyperlink"/>
          </w:rPr>
          <w:t xml:space="preserve"> </w:t>
        </w:r>
        <w:r>
          <w:rPr>
            <w:rStyle w:val="Hyperlink"/>
          </w:rPr>
          <w:t xml:space="preserve">Drinking Water Associated</w:t>
        </w:r>
        <w:r>
          <w:rPr>
            <w:rStyle w:val="Hyperlink"/>
          </w:rPr>
          <w:t xml:space="preserve"> </w:t>
        </w:r>
        <w:r>
          <w:rPr>
            <w:rStyle w:val="Hyperlink"/>
          </w:rPr>
          <w:t xml:space="preserve">with</w:t>
        </w:r>
        <w:r>
          <w:rPr>
            <w:rStyle w:val="Hyperlink"/>
          </w:rPr>
          <w:t xml:space="preserve"> </w:t>
        </w:r>
        <w:r>
          <w:rPr>
            <w:rStyle w:val="Hyperlink"/>
          </w:rPr>
          <w:t xml:space="preserve">Subsequent Child Diarrhea</w:t>
        </w:r>
      </w:hyperlink>
      <w:r>
        <w:t xml:space="preserve">.</w:t>
      </w:r>
      <w:r>
        <w:t xml:space="preserve"> </w:t>
      </w:r>
      <w:r>
        <w:rPr>
          <w:iCs/>
          <w:i/>
        </w:rPr>
        <w:t xml:space="preserve">The American Journal of Tropical Medicine and Hygiene</w:t>
      </w:r>
      <w:r>
        <w:t xml:space="preserve"> </w:t>
      </w:r>
      <w:r>
        <w:t xml:space="preserve">2015;</w:t>
      </w:r>
      <w:r>
        <w:t xml:space="preserve"> </w:t>
      </w:r>
      <w:r>
        <w:rPr>
          <w:bCs/>
          <w:b/>
        </w:rPr>
        <w:t xml:space="preserve">93</w:t>
      </w:r>
      <w:r>
        <w:t xml:space="preserve">: 904–11.</w:t>
      </w:r>
    </w:p>
    <w:bookmarkEnd w:id="67"/>
    <w:bookmarkStart w:id="69" w:name="ref-zouModifiedPoissonRegression2004"/>
    <w:p>
      <w:pPr>
        <w:pStyle w:val="Bibliography"/>
      </w:pPr>
      <w:r>
        <w:t xml:space="preserve">18</w:t>
      </w:r>
      <w:r>
        <w:t xml:space="preserve"> </w:t>
      </w:r>
      <w:r>
        <w:t xml:space="preserve">	</w:t>
      </w:r>
      <w:r>
        <w:t xml:space="preserve">Zou G.</w:t>
      </w:r>
      <w:r>
        <w:t xml:space="preserve"> </w:t>
      </w:r>
      <w:hyperlink r:id="rId68">
        <w:r>
          <w:rPr>
            <w:rStyle w:val="Hyperlink"/>
          </w:rPr>
          <w:t xml:space="preserve">A modified poisson regression approach to prospective studies with binary data</w:t>
        </w:r>
      </w:hyperlink>
      <w:r>
        <w:t xml:space="preserve">.</w:t>
      </w:r>
      <w:r>
        <w:t xml:space="preserve"> </w:t>
      </w:r>
      <w:r>
        <w:rPr>
          <w:iCs/>
          <w:i/>
        </w:rPr>
        <w:t xml:space="preserve">American Journal of Epidemiology</w:t>
      </w:r>
      <w:r>
        <w:t xml:space="preserve"> </w:t>
      </w:r>
      <w:r>
        <w:t xml:space="preserve">2004;</w:t>
      </w:r>
      <w:r>
        <w:t xml:space="preserve"> </w:t>
      </w:r>
      <w:r>
        <w:rPr>
          <w:bCs/>
          <w:b/>
        </w:rPr>
        <w:t xml:space="preserve">159</w:t>
      </w:r>
      <w:r>
        <w:t xml:space="preserve">: 702–6.</w:t>
      </w:r>
    </w:p>
    <w:bookmarkEnd w:id="69"/>
    <w:bookmarkStart w:id="71" w:name="X04fc24c9e84bb9ecddf82005ed2d8be64e788e3"/>
    <w:p>
      <w:pPr>
        <w:pStyle w:val="Bibliography"/>
      </w:pPr>
      <w:r>
        <w:t xml:space="preserve">19</w:t>
      </w:r>
      <w:r>
        <w:t xml:space="preserve"> </w:t>
      </w:r>
      <w:r>
        <w:t xml:space="preserve">	</w:t>
      </w:r>
      <w:r>
        <w:t xml:space="preserve">Zeileis A.</w:t>
      </w:r>
      <w:r>
        <w:t xml:space="preserve"> </w:t>
      </w:r>
      <w:hyperlink r:id="rId70">
        <w:r>
          <w:rPr>
            <w:rStyle w:val="Hyperlink"/>
          </w:rPr>
          <w:t xml:space="preserve">Object-oriented</w:t>
        </w:r>
        <w:r>
          <w:rPr>
            <w:rStyle w:val="Hyperlink"/>
          </w:rPr>
          <w:t xml:space="preserve"> </w:t>
        </w:r>
        <w:r>
          <w:rPr>
            <w:rStyle w:val="Hyperlink"/>
          </w:rPr>
          <w:t xml:space="preserve">Computation</w:t>
        </w:r>
        <w:r>
          <w:rPr>
            <w:rStyle w:val="Hyperlink"/>
          </w:rPr>
          <w:t xml:space="preserve"> </w:t>
        </w:r>
        <w:r>
          <w:rPr>
            <w:rStyle w:val="Hyperlink"/>
          </w:rPr>
          <w:t xml:space="preserve">of</w:t>
        </w:r>
        <w:r>
          <w:rPr>
            <w:rStyle w:val="Hyperlink"/>
          </w:rPr>
          <w:t xml:space="preserve"> </w:t>
        </w:r>
        <w:r>
          <w:rPr>
            <w:rStyle w:val="Hyperlink"/>
          </w:rPr>
          <w:t xml:space="preserve">Sandwich Estimators</w:t>
        </w:r>
      </w:hyperlink>
      <w:r>
        <w:t xml:space="preserve">.</w:t>
      </w:r>
      <w:r>
        <w:t xml:space="preserve"> </w:t>
      </w:r>
      <w:r>
        <w:rPr>
          <w:iCs/>
          <w:i/>
        </w:rPr>
        <w:t xml:space="preserve">Journal of Statistical Software</w:t>
      </w:r>
      <w:r>
        <w:t xml:space="preserve"> </w:t>
      </w:r>
      <w:r>
        <w:t xml:space="preserve">2006;</w:t>
      </w:r>
      <w:r>
        <w:t xml:space="preserve"> </w:t>
      </w:r>
      <w:r>
        <w:rPr>
          <w:bCs/>
          <w:b/>
        </w:rPr>
        <w:t xml:space="preserve">16</w:t>
      </w:r>
      <w:r>
        <w:t xml:space="preserve">: 1–6.</w:t>
      </w:r>
    </w:p>
    <w:bookmarkEnd w:id="71"/>
    <w:bookmarkStart w:id="73" w:name="X0d8fe7285a459ef2a123c0bbff98fb4aa7c6fc5"/>
    <w:p>
      <w:pPr>
        <w:pStyle w:val="Bibliography"/>
      </w:pPr>
      <w:r>
        <w:t xml:space="preserve">20</w:t>
      </w:r>
      <w:r>
        <w:t xml:space="preserve"> </w:t>
      </w:r>
      <w:r>
        <w:t xml:space="preserve">	</w:t>
      </w:r>
      <w:r>
        <w:t xml:space="preserve">Cochran WG.</w:t>
      </w:r>
      <w:r>
        <w:t xml:space="preserve"> </w:t>
      </w:r>
      <w:hyperlink r:id="rId72">
        <w:r>
          <w:rPr>
            <w:rStyle w:val="Hyperlink"/>
          </w:rPr>
          <w:t xml:space="preserve">The</w:t>
        </w:r>
        <w:r>
          <w:rPr>
            <w:rStyle w:val="Hyperlink"/>
          </w:rPr>
          <w:t xml:space="preserve"> </w:t>
        </w:r>
        <w:r>
          <w:rPr>
            <w:rStyle w:val="Hyperlink"/>
          </w:rPr>
          <w:t xml:space="preserve">Combination</w:t>
        </w:r>
        <w:r>
          <w:rPr>
            <w:rStyle w:val="Hyperlink"/>
          </w:rPr>
          <w:t xml:space="preserve"> </w:t>
        </w:r>
        <w:r>
          <w:rPr>
            <w:rStyle w:val="Hyperlink"/>
          </w:rPr>
          <w:t xml:space="preserve">of</w:t>
        </w:r>
        <w:r>
          <w:rPr>
            <w:rStyle w:val="Hyperlink"/>
          </w:rPr>
          <w:t xml:space="preserve"> </w:t>
        </w:r>
        <w:r>
          <w:rPr>
            <w:rStyle w:val="Hyperlink"/>
          </w:rPr>
          <w:t xml:space="preserve">Estimates</w:t>
        </w:r>
        <w:r>
          <w:rPr>
            <w:rStyle w:val="Hyperlink"/>
          </w:rPr>
          <w:t xml:space="preserve"> </w:t>
        </w:r>
        <w:r>
          <w:rPr>
            <w:rStyle w:val="Hyperlink"/>
          </w:rPr>
          <w:t xml:space="preserve">from</w:t>
        </w:r>
        <w:r>
          <w:rPr>
            <w:rStyle w:val="Hyperlink"/>
          </w:rPr>
          <w:t xml:space="preserve"> </w:t>
        </w:r>
        <w:r>
          <w:rPr>
            <w:rStyle w:val="Hyperlink"/>
          </w:rPr>
          <w:t xml:space="preserve">Different Experiments</w:t>
        </w:r>
      </w:hyperlink>
      <w:r>
        <w:t xml:space="preserve">.</w:t>
      </w:r>
      <w:r>
        <w:t xml:space="preserve"> </w:t>
      </w:r>
      <w:r>
        <w:rPr>
          <w:iCs/>
          <w:i/>
        </w:rPr>
        <w:t xml:space="preserve">Biometrics</w:t>
      </w:r>
      <w:r>
        <w:t xml:space="preserve"> </w:t>
      </w:r>
      <w:r>
        <w:t xml:space="preserve">1954;</w:t>
      </w:r>
      <w:r>
        <w:t xml:space="preserve"> </w:t>
      </w:r>
      <w:r>
        <w:rPr>
          <w:bCs/>
          <w:b/>
        </w:rPr>
        <w:t xml:space="preserve">10</w:t>
      </w:r>
      <w:r>
        <w:t xml:space="preserve">: 101–29.</w:t>
      </w:r>
    </w:p>
    <w:bookmarkEnd w:id="73"/>
    <w:bookmarkStart w:id="75" w:name="X2b757688074e61078315a9b965c91fa89ad5f8d"/>
    <w:p>
      <w:pPr>
        <w:pStyle w:val="Bibliography"/>
      </w:pPr>
      <w:r>
        <w:t xml:space="preserve">21</w:t>
      </w:r>
      <w:r>
        <w:t xml:space="preserve"> </w:t>
      </w:r>
      <w:r>
        <w:t xml:space="preserve">	</w:t>
      </w:r>
      <w:r>
        <w:t xml:space="preserve">WHO Multicentre Growth Reference Study Group.</w:t>
      </w:r>
      <w:r>
        <w:t xml:space="preserve"> </w:t>
      </w:r>
      <w:hyperlink r:id="rId74">
        <w:r>
          <w:rPr>
            <w:rStyle w:val="Hyperlink"/>
          </w:rPr>
          <w:t xml:space="preserve">WHO Motor Development Study</w:t>
        </w:r>
        <w:r>
          <w:rPr>
            <w:rStyle w:val="Hyperlink"/>
          </w:rPr>
          <w:t xml:space="preserve">: Windows of achievement for six gross motor development milestones</w:t>
        </w:r>
      </w:hyperlink>
      <w:r>
        <w:t xml:space="preserve">.</w:t>
      </w:r>
      <w:r>
        <w:t xml:space="preserve"> </w:t>
      </w:r>
      <w:r>
        <w:rPr>
          <w:iCs/>
          <w:i/>
        </w:rPr>
        <w:t xml:space="preserve">Acta Paediatrica (Oslo, Norway: 1992) Supplement</w:t>
      </w:r>
      <w:r>
        <w:t xml:space="preserve"> </w:t>
      </w:r>
      <w:r>
        <w:t xml:space="preserve">2006;</w:t>
      </w:r>
      <w:r>
        <w:t xml:space="preserve"> </w:t>
      </w:r>
      <w:r>
        <w:rPr>
          <w:bCs/>
          <w:b/>
        </w:rPr>
        <w:t xml:space="preserve">450</w:t>
      </w:r>
      <w:r>
        <w:t xml:space="preserve">: 86–95.</w:t>
      </w:r>
    </w:p>
    <w:bookmarkEnd w:id="75"/>
    <w:bookmarkStart w:id="76" w:name="ref-d.o.oWeatherAtlasWeather"/>
    <w:p>
      <w:pPr>
        <w:pStyle w:val="Bibliography"/>
      </w:pPr>
      <w:r>
        <w:t xml:space="preserve">22</w:t>
      </w:r>
      <w:r>
        <w:t xml:space="preserve"> </w:t>
      </w:r>
      <w:r>
        <w:t xml:space="preserve">	</w:t>
      </w:r>
      <w:r>
        <w:t xml:space="preserve">d.o.o YMG.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 Weather Atlas.</w:t>
      </w:r>
    </w:p>
    <w:bookmarkEnd w:id="76"/>
    <w:bookmarkStart w:id="78" w:name="ref-vanderweeleTutorialInteraction2014"/>
    <w:p>
      <w:pPr>
        <w:pStyle w:val="Bibliography"/>
      </w:pPr>
      <w:r>
        <w:t xml:space="preserve">23</w:t>
      </w:r>
      <w:r>
        <w:t xml:space="preserve"> </w:t>
      </w:r>
      <w:r>
        <w:t xml:space="preserve">	</w:t>
      </w:r>
      <w:r>
        <w:t xml:space="preserve">VanderWeele TJ, Knol MJ.</w:t>
      </w:r>
      <w:r>
        <w:t xml:space="preserve"> </w:t>
      </w:r>
      <w:hyperlink r:id="rId77">
        <w:r>
          <w:rPr>
            <w:rStyle w:val="Hyperlink"/>
          </w:rPr>
          <w:t xml:space="preserve">A</w:t>
        </w:r>
        <w:r>
          <w:rPr>
            <w:rStyle w:val="Hyperlink"/>
          </w:rPr>
          <w:t xml:space="preserve"> </w:t>
        </w:r>
        <w:r>
          <w:rPr>
            <w:rStyle w:val="Hyperlink"/>
          </w:rPr>
          <w:t xml:space="preserve">Tutorial</w:t>
        </w:r>
        <w:r>
          <w:rPr>
            <w:rStyle w:val="Hyperlink"/>
          </w:rPr>
          <w:t xml:space="preserve"> </w:t>
        </w:r>
        <w:r>
          <w:rPr>
            <w:rStyle w:val="Hyperlink"/>
          </w:rPr>
          <w:t xml:space="preserve">on</w:t>
        </w:r>
        <w:r>
          <w:rPr>
            <w:rStyle w:val="Hyperlink"/>
          </w:rPr>
          <w:t xml:space="preserve"> </w:t>
        </w:r>
        <w:r>
          <w:rPr>
            <w:rStyle w:val="Hyperlink"/>
          </w:rPr>
          <w:t xml:space="preserve">Interaction</w:t>
        </w:r>
      </w:hyperlink>
      <w:r>
        <w:t xml:space="preserve">.</w:t>
      </w:r>
      <w:r>
        <w:t xml:space="preserve"> </w:t>
      </w:r>
      <w:r>
        <w:rPr>
          <w:iCs/>
          <w:i/>
        </w:rPr>
        <w:t xml:space="preserve">Epidemiologic Methods</w:t>
      </w:r>
      <w:r>
        <w:t xml:space="preserve"> </w:t>
      </w:r>
      <w:r>
        <w:t xml:space="preserve">2014;</w:t>
      </w:r>
      <w:r>
        <w:t xml:space="preserve"> </w:t>
      </w:r>
      <w:r>
        <w:rPr>
          <w:bCs/>
          <w:b/>
        </w:rPr>
        <w:t xml:space="preserve">3</w:t>
      </w:r>
      <w:r>
        <w:t xml:space="preserve">: 33–72.</w:t>
      </w:r>
    </w:p>
    <w:bookmarkEnd w:id="78"/>
    <w:bookmarkStart w:id="80" w:name="ref-schulerTargetedMaximumLikelihood2017"/>
    <w:p>
      <w:pPr>
        <w:pStyle w:val="Bibliography"/>
      </w:pPr>
      <w:r>
        <w:t xml:space="preserve">24</w:t>
      </w:r>
      <w:r>
        <w:t xml:space="preserve"> </w:t>
      </w:r>
      <w:r>
        <w:t xml:space="preserve">	</w:t>
      </w:r>
      <w:r>
        <w:t xml:space="preserve">Schuler MS, Rose S.</w:t>
      </w:r>
      <w:r>
        <w:t xml:space="preserve"> </w:t>
      </w:r>
      <w:hyperlink r:id="rId79">
        <w:r>
          <w:rPr>
            <w:rStyle w:val="Hyperlink"/>
          </w:rPr>
          <w:t xml:space="preserve">Targeted</w:t>
        </w:r>
        <w:r>
          <w:rPr>
            <w:rStyle w:val="Hyperlink"/>
          </w:rPr>
          <w:t xml:space="preserve"> </w:t>
        </w:r>
        <w:r>
          <w:rPr>
            <w:rStyle w:val="Hyperlink"/>
          </w:rPr>
          <w:t xml:space="preserve">Maximum Likelihood Estimation</w:t>
        </w:r>
        <w:r>
          <w:rPr>
            <w:rStyle w:val="Hyperlink"/>
          </w:rPr>
          <w:t xml:space="preserve"> </w:t>
        </w:r>
        <w:r>
          <w:rPr>
            <w:rStyle w:val="Hyperlink"/>
          </w:rPr>
          <w:t xml:space="preserve">for</w:t>
        </w:r>
        <w:r>
          <w:rPr>
            <w:rStyle w:val="Hyperlink"/>
          </w:rPr>
          <w:t xml:space="preserve"> </w:t>
        </w:r>
        <w:r>
          <w:rPr>
            <w:rStyle w:val="Hyperlink"/>
          </w:rPr>
          <w:t xml:space="preserve">Causal Inference</w:t>
        </w:r>
        <w:r>
          <w:rPr>
            <w:rStyle w:val="Hyperlink"/>
          </w:rPr>
          <w:t xml:space="preserve"> </w:t>
        </w:r>
        <w:r>
          <w:rPr>
            <w:rStyle w:val="Hyperlink"/>
          </w:rPr>
          <w:t xml:space="preserve">in</w:t>
        </w:r>
        <w:r>
          <w:rPr>
            <w:rStyle w:val="Hyperlink"/>
          </w:rPr>
          <w:t xml:space="preserve"> </w:t>
        </w:r>
        <w:r>
          <w:rPr>
            <w:rStyle w:val="Hyperlink"/>
          </w:rPr>
          <w:t xml:space="preserve">Observational Studies</w:t>
        </w:r>
      </w:hyperlink>
      <w:r>
        <w:t xml:space="preserve">.</w:t>
      </w:r>
      <w:r>
        <w:t xml:space="preserve"> </w:t>
      </w:r>
      <w:r>
        <w:rPr>
          <w:iCs/>
          <w:i/>
        </w:rPr>
        <w:t xml:space="preserve">American Journal of Epidemiology</w:t>
      </w:r>
      <w:r>
        <w:t xml:space="preserve"> </w:t>
      </w:r>
      <w:r>
        <w:t xml:space="preserve">2017;</w:t>
      </w:r>
      <w:r>
        <w:t xml:space="preserve"> </w:t>
      </w:r>
      <w:r>
        <w:rPr>
          <w:bCs/>
          <w:b/>
        </w:rPr>
        <w:t xml:space="preserve">185</w:t>
      </w:r>
      <w:r>
        <w:t xml:space="preserve">: 65–73.</w:t>
      </w:r>
    </w:p>
    <w:bookmarkEnd w:id="80"/>
    <w:bookmarkStart w:id="82" w:name="ref-kneeEffectsUrbanSanitation2021"/>
    <w:p>
      <w:pPr>
        <w:pStyle w:val="Bibliography"/>
      </w:pPr>
      <w:r>
        <w:t xml:space="preserve">25</w:t>
      </w:r>
      <w:r>
        <w:t xml:space="preserve"> </w:t>
      </w:r>
      <w:r>
        <w:t xml:space="preserve">	</w:t>
      </w:r>
      <w:r>
        <w:t xml:space="preserve">Knee J, Sumner T, Adriano Z,</w:t>
      </w:r>
      <w:r>
        <w:t xml:space="preserve"> </w:t>
      </w:r>
      <w:r>
        <w:rPr>
          <w:iCs/>
          <w:i/>
        </w:rPr>
        <w:t xml:space="preserve">et al.</w:t>
      </w:r>
      <w:r>
        <w:t xml:space="preserve"> </w:t>
      </w:r>
      <w:hyperlink r:id="rId81">
        <w:r>
          <w:rPr>
            <w:rStyle w:val="Hyperlink"/>
          </w:rPr>
          <w:t xml:space="preserve">Effects of an urban sanitation intervention on childhood enteric infection and diarrhea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controlled before-and-after trial</w:t>
        </w:r>
      </w:hyperlink>
      <w:r>
        <w:t xml:space="preserve">.</w:t>
      </w:r>
      <w:r>
        <w:t xml:space="preserve"> </w:t>
      </w:r>
      <w:r>
        <w:rPr>
          <w:iCs/>
          <w:i/>
        </w:rPr>
        <w:t xml:space="preserve">eLife</w:t>
      </w:r>
      <w:r>
        <w:t xml:space="preserve"> </w:t>
      </w:r>
      <w:r>
        <w:t xml:space="preserve">2021;</w:t>
      </w:r>
      <w:r>
        <w:t xml:space="preserve"> </w:t>
      </w:r>
      <w:r>
        <w:rPr>
          <w:bCs/>
          <w:b/>
        </w:rPr>
        <w:t xml:space="preserve">10</w:t>
      </w:r>
      <w:r>
        <w:t xml:space="preserve">: e62278.</w:t>
      </w:r>
    </w:p>
    <w:bookmarkEnd w:id="82"/>
    <w:bookmarkStart w:id="84" w:name="X5228fa985af5ce71b0c533e44873ca75e261300"/>
    <w:p>
      <w:pPr>
        <w:pStyle w:val="Bibliography"/>
      </w:pPr>
      <w:r>
        <w:t xml:space="preserve">26</w:t>
      </w:r>
      <w:r>
        <w:t xml:space="preserve"> </w:t>
      </w:r>
      <w:r>
        <w:t xml:space="preserve">	</w:t>
      </w:r>
      <w:r>
        <w:t xml:space="preserve">Reese H, Routray P, Torondel B,</w:t>
      </w:r>
      <w:r>
        <w:t xml:space="preserve"> </w:t>
      </w:r>
      <w:r>
        <w:rPr>
          <w:iCs/>
          <w:i/>
        </w:rPr>
        <w:t xml:space="preserve">et al.</w:t>
      </w:r>
      <w:r>
        <w:t xml:space="preserve"> </w:t>
      </w:r>
      <w:hyperlink r:id="rId83">
        <w:r>
          <w:rPr>
            <w:rStyle w:val="Hyperlink"/>
          </w:rPr>
          <w:t xml:space="preserve">Assessing longer-term effectiveness of a combined household-level piped water and sanitation intervention on child diarrhoea, acute respiratory infection, soil-transmitted helminth infection and nutritional status: A matched cohort study in rural</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hyperlink>
      <w:r>
        <w:t xml:space="preserve">.</w:t>
      </w:r>
      <w:r>
        <w:t xml:space="preserve"> </w:t>
      </w:r>
      <w:r>
        <w:rPr>
          <w:iCs/>
          <w:i/>
        </w:rPr>
        <w:t xml:space="preserve">International Journal of Epidemiology</w:t>
      </w:r>
      <w:r>
        <w:t xml:space="preserve"> </w:t>
      </w:r>
      <w:r>
        <w:t xml:space="preserve">2019;</w:t>
      </w:r>
      <w:r>
        <w:t xml:space="preserve"> </w:t>
      </w:r>
      <w:r>
        <w:rPr>
          <w:bCs/>
          <w:b/>
        </w:rPr>
        <w:t xml:space="preserve">48</w:t>
      </w:r>
      <w:r>
        <w:t xml:space="preserve">: 1757–67.</w:t>
      </w:r>
    </w:p>
    <w:bookmarkEnd w:id="84"/>
    <w:bookmarkStart w:id="86" w:name="Xd991f8dfcb33adf9c25dec389b3b0d8e33f406d"/>
    <w:p>
      <w:pPr>
        <w:pStyle w:val="Bibliography"/>
      </w:pPr>
      <w:r>
        <w:t xml:space="preserve">27</w:t>
      </w:r>
      <w:r>
        <w:t xml:space="preserve"> </w:t>
      </w:r>
      <w:r>
        <w:t xml:space="preserve">	</w:t>
      </w:r>
      <w:r>
        <w:t xml:space="preserve">Clasen T, Boisson S, Routray P,</w:t>
      </w:r>
      <w:r>
        <w:t xml:space="preserve"> </w:t>
      </w:r>
      <w:r>
        <w:rPr>
          <w:iCs/>
          <w:i/>
        </w:rPr>
        <w:t xml:space="preserve">et al.</w:t>
      </w:r>
      <w:r>
        <w:t xml:space="preserve"> </w:t>
      </w:r>
      <w:hyperlink r:id="rId85">
        <w:r>
          <w:rPr>
            <w:rStyle w:val="Hyperlink"/>
          </w:rPr>
          <w:t xml:space="preserve">Effectiveness of a rural sanitation programme on diarrhoea, soil-transmitted helminth infection, and child malnutrition in</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2014;</w:t>
      </w:r>
      <w:r>
        <w:t xml:space="preserve"> </w:t>
      </w:r>
      <w:r>
        <w:rPr>
          <w:bCs/>
          <w:b/>
        </w:rPr>
        <w:t xml:space="preserve">2</w:t>
      </w:r>
      <w:r>
        <w:t xml:space="preserve">: e645–653.</w:t>
      </w:r>
    </w:p>
    <w:bookmarkEnd w:id="86"/>
    <w:bookmarkStart w:id="88" w:name="Xf2a03ad0ba8e597b78cac8eb44474a2515beb21"/>
    <w:p>
      <w:pPr>
        <w:pStyle w:val="Bibliography"/>
      </w:pPr>
      <w:r>
        <w:t xml:space="preserve">28</w:t>
      </w:r>
      <w:r>
        <w:t xml:space="preserve"> </w:t>
      </w:r>
      <w:r>
        <w:t xml:space="preserve">	</w:t>
      </w:r>
      <w:r>
        <w:t xml:space="preserve">Boehm AB, Wang D, Ercumen A,</w:t>
      </w:r>
      <w:r>
        <w:t xml:space="preserve"> </w:t>
      </w:r>
      <w:r>
        <w:rPr>
          <w:iCs/>
          <w:i/>
        </w:rPr>
        <w:t xml:space="preserve">et al.</w:t>
      </w:r>
      <w:r>
        <w:t xml:space="preserve"> </w:t>
      </w:r>
      <w:hyperlink r:id="rId87">
        <w:r>
          <w:rPr>
            <w:rStyle w:val="Hyperlink"/>
          </w:rPr>
          <w:t xml:space="preserve">Occurrence of</w:t>
        </w:r>
        <w:r>
          <w:rPr>
            <w:rStyle w:val="Hyperlink"/>
          </w:rPr>
          <w:t xml:space="preserve"> </w:t>
        </w:r>
        <w:r>
          <w:rPr>
            <w:rStyle w:val="Hyperlink"/>
          </w:rPr>
          <w:t xml:space="preserve">Host-Associated Fecal Markers</w:t>
        </w:r>
        <w:r>
          <w:rPr>
            <w:rStyle w:val="Hyperlink"/>
          </w:rPr>
          <w:t xml:space="preserve"> </w:t>
        </w:r>
        <w:r>
          <w:rPr>
            <w:rStyle w:val="Hyperlink"/>
          </w:rPr>
          <w:t xml:space="preserve">on</w:t>
        </w:r>
        <w:r>
          <w:rPr>
            <w:rStyle w:val="Hyperlink"/>
          </w:rPr>
          <w:t xml:space="preserve"> </w:t>
        </w:r>
        <w:r>
          <w:rPr>
            <w:rStyle w:val="Hyperlink"/>
          </w:rPr>
          <w:t xml:space="preserve">Child Hands</w:t>
        </w:r>
        <w:r>
          <w:rPr>
            <w:rStyle w:val="Hyperlink"/>
          </w:rPr>
          <w:t xml:space="preserve">,</w:t>
        </w:r>
        <w:r>
          <w:rPr>
            <w:rStyle w:val="Hyperlink"/>
          </w:rPr>
          <w:t xml:space="preserve"> </w:t>
        </w:r>
        <w:r>
          <w:rPr>
            <w:rStyle w:val="Hyperlink"/>
          </w:rPr>
          <w:t xml:space="preserve">Household Soil</w:t>
        </w:r>
        <w:r>
          <w:rPr>
            <w:rStyle w:val="Hyperlink"/>
          </w:rPr>
          <w:t xml:space="preserve">, and</w:t>
        </w:r>
        <w:r>
          <w:rPr>
            <w:rStyle w:val="Hyperlink"/>
          </w:rPr>
          <w:t xml:space="preserve"> </w:t>
        </w:r>
        <w:r>
          <w:rPr>
            <w:rStyle w:val="Hyperlink"/>
          </w:rPr>
          <w:t xml:space="preserve">Drinking Water</w:t>
        </w:r>
        <w:r>
          <w:rPr>
            <w:rStyle w:val="Hyperlink"/>
          </w:rPr>
          <w:t xml:space="preserve"> </w:t>
        </w:r>
        <w:r>
          <w:rPr>
            <w:rStyle w:val="Hyperlink"/>
          </w:rPr>
          <w:t xml:space="preserve">in</w:t>
        </w:r>
        <w:r>
          <w:rPr>
            <w:rStyle w:val="Hyperlink"/>
          </w:rPr>
          <w:t xml:space="preserve"> </w:t>
        </w:r>
        <w:r>
          <w:rPr>
            <w:rStyle w:val="Hyperlink"/>
          </w:rPr>
          <w:t xml:space="preserve">Rural Bangladeshi Households</w:t>
        </w:r>
      </w:hyperlink>
      <w:r>
        <w:t xml:space="preserve">.</w:t>
      </w:r>
      <w:r>
        <w:t xml:space="preserve"> </w:t>
      </w:r>
      <w:r>
        <w:rPr>
          <w:iCs/>
          <w:i/>
        </w:rPr>
        <w:t xml:space="preserve">Environmental Science &amp; Technology Letters</w:t>
      </w:r>
      <w:r>
        <w:t xml:space="preserve"> </w:t>
      </w:r>
      <w:r>
        <w:t xml:space="preserve">2016;</w:t>
      </w:r>
      <w:r>
        <w:t xml:space="preserve"> </w:t>
      </w:r>
      <w:r>
        <w:rPr>
          <w:bCs/>
          <w:b/>
        </w:rPr>
        <w:t xml:space="preserve">3</w:t>
      </w:r>
      <w:r>
        <w:t xml:space="preserve">: 393–8.</w:t>
      </w:r>
    </w:p>
    <w:bookmarkEnd w:id="88"/>
    <w:bookmarkStart w:id="90" w:name="Xda33b900c79b319f16c7caa64a1c94f62a2b60d"/>
    <w:p>
      <w:pPr>
        <w:pStyle w:val="Bibliography"/>
      </w:pPr>
      <w:r>
        <w:t xml:space="preserve">29</w:t>
      </w:r>
      <w:r>
        <w:t xml:space="preserve"> </w:t>
      </w:r>
      <w:r>
        <w:t xml:space="preserve">	</w:t>
      </w:r>
      <w:r>
        <w:t xml:space="preserve">Kwong LH, Sen D, Islam S,</w:t>
      </w:r>
      <w:r>
        <w:t xml:space="preserve"> </w:t>
      </w:r>
      <w:r>
        <w:rPr>
          <w:iCs/>
          <w:i/>
        </w:rPr>
        <w:t xml:space="preserve">et al.</w:t>
      </w:r>
      <w:r>
        <w:t xml:space="preserve"> </w:t>
      </w:r>
      <w:hyperlink r:id="rId89">
        <w:r>
          <w:rPr>
            <w:rStyle w:val="Hyperlink"/>
          </w:rPr>
          <w:t xml:space="preserve">Effect of sanitation improvements on soil-transmitted helminth eggs in courtyard soil from rural</w:t>
        </w:r>
        <w:r>
          <w:rPr>
            <w:rStyle w:val="Hyperlink"/>
          </w:rPr>
          <w:t xml:space="preserve"> </w:t>
        </w:r>
        <w:r>
          <w:rPr>
            <w:rStyle w:val="Hyperlink"/>
          </w:rPr>
          <w:t xml:space="preserve">Bangladesh</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a cluster-randomized controlled trial</w:t>
        </w:r>
      </w:hyperlink>
      <w:r>
        <w:t xml:space="preserve">.</w:t>
      </w:r>
      <w:r>
        <w:t xml:space="preserve"> </w:t>
      </w:r>
      <w:r>
        <w:rPr>
          <w:iCs/>
          <w:i/>
        </w:rPr>
        <w:t xml:space="preserve">bioRxiv</w:t>
      </w:r>
      <w:r>
        <w:t xml:space="preserve"> </w:t>
      </w:r>
      <w:r>
        <w:t xml:space="preserve">2020; : 2020.09.29.318097.</w:t>
      </w:r>
    </w:p>
    <w:bookmarkEnd w:id="90"/>
    <w:bookmarkStart w:id="92" w:name="X9dcf9420471408d0f247188f0ab66b2bab98776"/>
    <w:p>
      <w:pPr>
        <w:pStyle w:val="Bibliography"/>
      </w:pPr>
      <w:r>
        <w:t xml:space="preserve">30</w:t>
      </w:r>
      <w:r>
        <w:t xml:space="preserve"> </w:t>
      </w:r>
      <w:r>
        <w:t xml:space="preserve">	</w:t>
      </w:r>
      <w:r>
        <w:t xml:space="preserve">Fuhrmeister ER, Ercumen A, Pickering AJ,</w:t>
      </w:r>
      <w:r>
        <w:t xml:space="preserve"> </w:t>
      </w:r>
      <w:r>
        <w:rPr>
          <w:iCs/>
          <w:i/>
        </w:rPr>
        <w:t xml:space="preserve">et al.</w:t>
      </w:r>
      <w:r>
        <w:t xml:space="preserve"> </w:t>
      </w:r>
      <w:hyperlink r:id="rId91">
        <w:r>
          <w:rPr>
            <w:rStyle w:val="Hyperlink"/>
          </w:rPr>
          <w:t xml:space="preserve">Effect of</w:t>
        </w:r>
        <w:r>
          <w:rPr>
            <w:rStyle w:val="Hyperlink"/>
          </w:rPr>
          <w:t xml:space="preserve"> </w:t>
        </w:r>
        <w:r>
          <w:rPr>
            <w:rStyle w:val="Hyperlink"/>
          </w:rPr>
          <w:t xml:space="preserve">Sanitation Improvements</w:t>
        </w:r>
        <w:r>
          <w:rPr>
            <w:rStyle w:val="Hyperlink"/>
          </w:rPr>
          <w:t xml:space="preserve"> </w:t>
        </w:r>
        <w:r>
          <w:rPr>
            <w:rStyle w:val="Hyperlink"/>
          </w:rPr>
          <w:t xml:space="preserve">on</w:t>
        </w:r>
        <w:r>
          <w:rPr>
            <w:rStyle w:val="Hyperlink"/>
          </w:rPr>
          <w:t xml:space="preserve"> </w:t>
        </w:r>
        <w:r>
          <w:rPr>
            <w:rStyle w:val="Hyperlink"/>
          </w:rPr>
          <w:t xml:space="preserve">Pathogens</w:t>
        </w:r>
        <w:r>
          <w:rPr>
            <w:rStyle w:val="Hyperlink"/>
          </w:rPr>
          <w:t xml:space="preserve"> </w:t>
        </w:r>
        <w:r>
          <w:rPr>
            <w:rStyle w:val="Hyperlink"/>
          </w:rPr>
          <w:t xml:space="preserve">and</w:t>
        </w:r>
        <w:r>
          <w:rPr>
            <w:rStyle w:val="Hyperlink"/>
          </w:rPr>
          <w:t xml:space="preserve"> </w:t>
        </w:r>
        <w:r>
          <w:rPr>
            <w:rStyle w:val="Hyperlink"/>
          </w:rPr>
          <w:t xml:space="preserve">Microbial Source Tracking Markers</w:t>
        </w:r>
        <w:r>
          <w:rPr>
            <w:rStyle w:val="Hyperlink"/>
          </w:rPr>
          <w:t xml:space="preserve"> </w:t>
        </w:r>
        <w:r>
          <w:rPr>
            <w:rStyle w:val="Hyperlink"/>
          </w:rPr>
          <w:t xml:space="preserve">in the</w:t>
        </w:r>
        <w:r>
          <w:rPr>
            <w:rStyle w:val="Hyperlink"/>
          </w:rPr>
          <w:t xml:space="preserve"> </w:t>
        </w:r>
        <w:r>
          <w:rPr>
            <w:rStyle w:val="Hyperlink"/>
          </w:rPr>
          <w:t xml:space="preserve">Rural Bangladeshi Household Environment</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4316–26.</w:t>
      </w:r>
    </w:p>
    <w:bookmarkEnd w:id="92"/>
    <w:bookmarkStart w:id="94" w:name="ref-caponeImpactUrbanSanitation2021"/>
    <w:p>
      <w:pPr>
        <w:pStyle w:val="Bibliography"/>
      </w:pPr>
      <w:r>
        <w:t xml:space="preserve">31</w:t>
      </w:r>
      <w:r>
        <w:t xml:space="preserve"> </w:t>
      </w:r>
      <w:r>
        <w:t xml:space="preserve">	</w:t>
      </w:r>
      <w:r>
        <w:t xml:space="preserve">Capone D, Berendes D, Cumming O,</w:t>
      </w:r>
      <w:r>
        <w:t xml:space="preserve"> </w:t>
      </w:r>
      <w:r>
        <w:rPr>
          <w:iCs/>
          <w:i/>
        </w:rPr>
        <w:t xml:space="preserve">et al.</w:t>
      </w:r>
      <w:r>
        <w:t xml:space="preserve"> </w:t>
      </w:r>
      <w:hyperlink r:id="rId93">
        <w:r>
          <w:rPr>
            <w:rStyle w:val="Hyperlink"/>
          </w:rPr>
          <w:t xml:space="preserve">Impact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Enteric Pathogen Detection</w:t>
        </w:r>
        <w:r>
          <w:rPr>
            <w:rStyle w:val="Hyperlink"/>
          </w:rPr>
          <w:t xml:space="preserve"> </w:t>
        </w:r>
        <w:r>
          <w:rPr>
            <w:rStyle w:val="Hyperlink"/>
          </w:rPr>
          <w:t xml:space="preserve">in</w:t>
        </w:r>
        <w:r>
          <w:rPr>
            <w:rStyle w:val="Hyperlink"/>
          </w:rPr>
          <w:t xml:space="preserve"> </w:t>
        </w:r>
        <w:r>
          <w:rPr>
            <w:rStyle w:val="Hyperlink"/>
          </w:rPr>
          <w:t xml:space="preserve">Soils</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9989–10000.</w:t>
      </w:r>
    </w:p>
    <w:bookmarkEnd w:id="94"/>
    <w:bookmarkStart w:id="96" w:name="Xf9e2a4a9eb87275ea3c8190d2addb0f7bef699d"/>
    <w:p>
      <w:pPr>
        <w:pStyle w:val="Bibliography"/>
      </w:pPr>
      <w:r>
        <w:t xml:space="preserve">32</w:t>
      </w:r>
      <w:r>
        <w:t xml:space="preserve"> </w:t>
      </w:r>
      <w:r>
        <w:t xml:space="preserve">	</w:t>
      </w:r>
      <w:r>
        <w:t xml:space="preserve">Steinbaum L, Mboya J, Mahoney R, Njenga SM, Null C, Pickering AJ.</w:t>
      </w:r>
      <w:r>
        <w:t xml:space="preserve"> </w:t>
      </w:r>
      <w:hyperlink r:id="rId95">
        <w:r>
          <w:rPr>
            <w:rStyle w:val="Hyperlink"/>
          </w:rPr>
          <w:t xml:space="preserve">Effect of a sanitation intervention on soil-transmitted helminth prevalence and concentration in household soil:</w:t>
        </w:r>
        <w:r>
          <w:rPr>
            <w:rStyle w:val="Hyperlink"/>
          </w:rPr>
          <w:t xml:space="preserve"> </w:t>
        </w:r>
        <w:r>
          <w:rPr>
            <w:rStyle w:val="Hyperlink"/>
          </w:rPr>
          <w:t xml:space="preserve">A</w:t>
        </w:r>
        <w:r>
          <w:rPr>
            <w:rStyle w:val="Hyperlink"/>
          </w:rPr>
          <w:t xml:space="preserve"> </w:t>
        </w:r>
        <w:r>
          <w:rPr>
            <w:rStyle w:val="Hyperlink"/>
          </w:rPr>
          <w:t xml:space="preserve">cluster-randomized controlled trial and risk factor analysis</w:t>
        </w:r>
      </w:hyperlink>
      <w:r>
        <w:t xml:space="preserve">.</w:t>
      </w:r>
      <w:r>
        <w:t xml:space="preserve"> </w:t>
      </w:r>
      <w:r>
        <w:rPr>
          <w:iCs/>
          <w:i/>
        </w:rPr>
        <w:t xml:space="preserve">PLoS neglected tropical diseases</w:t>
      </w:r>
      <w:r>
        <w:t xml:space="preserve"> </w:t>
      </w:r>
      <w:r>
        <w:t xml:space="preserve">2019;</w:t>
      </w:r>
      <w:r>
        <w:t xml:space="preserve"> </w:t>
      </w:r>
      <w:r>
        <w:rPr>
          <w:bCs/>
          <w:b/>
        </w:rPr>
        <w:t xml:space="preserve">13</w:t>
      </w:r>
      <w:r>
        <w:t xml:space="preserve">: e0007180.</w:t>
      </w:r>
    </w:p>
    <w:bookmarkEnd w:id="96"/>
    <w:bookmarkStart w:id="98" w:name="ref-holcombImpactsUrbanSanitation2021"/>
    <w:p>
      <w:pPr>
        <w:pStyle w:val="Bibliography"/>
      </w:pPr>
      <w:r>
        <w:t xml:space="preserve">33</w:t>
      </w:r>
      <w:r>
        <w:t xml:space="preserve"> </w:t>
      </w:r>
      <w:r>
        <w:t xml:space="preserve">	</w:t>
      </w:r>
      <w:r>
        <w:t xml:space="preserve">Holcomb DA, Knee J, Capone D,</w:t>
      </w:r>
      <w:r>
        <w:t xml:space="preserve"> </w:t>
      </w:r>
      <w:r>
        <w:rPr>
          <w:iCs/>
          <w:i/>
        </w:rPr>
        <w:t xml:space="preserve">et al.</w:t>
      </w:r>
      <w:r>
        <w:t xml:space="preserve"> </w:t>
      </w:r>
      <w:hyperlink r:id="rId97">
        <w:r>
          <w:rPr>
            <w:rStyle w:val="Hyperlink"/>
          </w:rPr>
          <w:t xml:space="preserve">Impacts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Fecal Indicators</w:t>
        </w:r>
        <w:r>
          <w:rPr>
            <w:rStyle w:val="Hyperlink"/>
          </w:rPr>
          <w:t xml:space="preserve"> </w:t>
        </w:r>
        <w:r>
          <w:rPr>
            <w:rStyle w:val="Hyperlink"/>
          </w:rPr>
          <w:t xml:space="preserve">and the</w:t>
        </w:r>
        <w:r>
          <w:rPr>
            <w:rStyle w:val="Hyperlink"/>
          </w:rPr>
          <w:t xml:space="preserve"> </w:t>
        </w:r>
        <w:r>
          <w:rPr>
            <w:rStyle w:val="Hyperlink"/>
          </w:rPr>
          <w:t xml:space="preserve">Prevalence</w:t>
        </w:r>
        <w:r>
          <w:rPr>
            <w:rStyle w:val="Hyperlink"/>
          </w:rPr>
          <w:t xml:space="preserve"> </w:t>
        </w:r>
        <w:r>
          <w:rPr>
            <w:rStyle w:val="Hyperlink"/>
          </w:rPr>
          <w:t xml:space="preserve">of</w:t>
        </w:r>
        <w:r>
          <w:rPr>
            <w:rStyle w:val="Hyperlink"/>
          </w:rPr>
          <w:t xml:space="preserve"> </w:t>
        </w:r>
        <w:r>
          <w:rPr>
            <w:rStyle w:val="Hyperlink"/>
          </w:rPr>
          <w:t xml:space="preserve">Human Fecal Contamination</w:t>
        </w:r>
        <w:r>
          <w:rPr>
            <w:rStyle w:val="Hyperlink"/>
          </w:rPr>
          <w:t xml:space="preserve"> </w:t>
        </w:r>
        <w:r>
          <w:rPr>
            <w:rStyle w:val="Hyperlink"/>
          </w:rPr>
          <w:t xml:space="preserve">in</w:t>
        </w:r>
        <w:r>
          <w:rPr>
            <w:rStyle w:val="Hyperlink"/>
          </w:rPr>
          <w:t xml:space="preserve"> </w:t>
        </w:r>
        <w:r>
          <w:rPr>
            <w:rStyle w:val="Hyperlink"/>
          </w:rPr>
          <w:t xml:space="preserve">Mozambique</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11667–79.</w:t>
      </w:r>
    </w:p>
    <w:bookmarkEnd w:id="98"/>
    <w:bookmarkStart w:id="100" w:name="X361173ab8320ad3938a8eb9d501624ab76df10b"/>
    <w:p>
      <w:pPr>
        <w:pStyle w:val="Bibliography"/>
      </w:pPr>
      <w:r>
        <w:t xml:space="preserve">34</w:t>
      </w:r>
      <w:r>
        <w:t xml:space="preserve"> </w:t>
      </w:r>
      <w:r>
        <w:t xml:space="preserve">	</w:t>
      </w:r>
      <w:r>
        <w:t xml:space="preserve">Platts-Mills JA, Babji S, Bodhidatta L,</w:t>
      </w:r>
      <w:r>
        <w:t xml:space="preserve"> </w:t>
      </w:r>
      <w:r>
        <w:rPr>
          <w:iCs/>
          <w:i/>
        </w:rPr>
        <w:t xml:space="preserve">et al.</w:t>
      </w:r>
      <w:r>
        <w:t xml:space="preserve"> </w:t>
      </w:r>
      <w:hyperlink r:id="rId99">
        <w:r>
          <w:rPr>
            <w:rStyle w:val="Hyperlink"/>
          </w:rPr>
          <w:t xml:space="preserve">Pathogen-specific burdens of community diarrhoea in developing countries: A multisite birth cohort study (</w:t>
        </w:r>
        <w:r>
          <w:rPr>
            <w:rStyle w:val="Hyperlink"/>
          </w:rPr>
          <w:t xml:space="preserve">MAL-ED</w:t>
        </w:r>
        <w:r>
          <w:rPr>
            <w:rStyle w:val="Hyperlink"/>
          </w:rPr>
          <w:t xml:space="preserve">)</w:t>
        </w:r>
      </w:hyperlink>
      <w:r>
        <w:t xml:space="preserve">.</w:t>
      </w:r>
      <w:r>
        <w:t xml:space="preserve"> </w:t>
      </w:r>
      <w:r>
        <w:rPr>
          <w:iCs/>
          <w:i/>
        </w:rPr>
        <w:t xml:space="preserve">The Lancet Global Health</w:t>
      </w:r>
      <w:r>
        <w:t xml:space="preserve"> </w:t>
      </w:r>
      <w:r>
        <w:t xml:space="preserve">2015;</w:t>
      </w:r>
      <w:r>
        <w:t xml:space="preserve"> </w:t>
      </w:r>
      <w:r>
        <w:rPr>
          <w:bCs/>
          <w:b/>
        </w:rPr>
        <w:t xml:space="preserve">3</w:t>
      </w:r>
      <w:r>
        <w:t xml:space="preserve">: e564–75.</w:t>
      </w:r>
    </w:p>
    <w:bookmarkEnd w:id="100"/>
    <w:bookmarkStart w:id="102" w:name="ref-rogawskiQuantifyingImpactNatural2018"/>
    <w:p>
      <w:pPr>
        <w:pStyle w:val="Bibliography"/>
      </w:pPr>
      <w:r>
        <w:t xml:space="preserve">35</w:t>
      </w:r>
      <w:r>
        <w:t xml:space="preserve"> </w:t>
      </w:r>
      <w:r>
        <w:t xml:space="preserve">	</w:t>
      </w:r>
      <w:r>
        <w:t xml:space="preserve">Rogawski ET, Platts-Mills JA, Colgate ER,</w:t>
      </w:r>
      <w:r>
        <w:t xml:space="preserve"> </w:t>
      </w:r>
      <w:r>
        <w:rPr>
          <w:iCs/>
          <w:i/>
        </w:rPr>
        <w:t xml:space="preserve">et al.</w:t>
      </w:r>
      <w:r>
        <w:t xml:space="preserve"> </w:t>
      </w:r>
      <w:hyperlink r:id="rId101">
        <w:r>
          <w:rPr>
            <w:rStyle w:val="Hyperlink"/>
          </w:rPr>
          <w:t xml:space="preserve">Quantifying the</w:t>
        </w:r>
        <w:r>
          <w:rPr>
            <w:rStyle w:val="Hyperlink"/>
          </w:rPr>
          <w:t xml:space="preserve"> </w:t>
        </w:r>
        <w:r>
          <w:rPr>
            <w:rStyle w:val="Hyperlink"/>
          </w:rPr>
          <w:t xml:space="preserve">Impact</w:t>
        </w:r>
        <w:r>
          <w:rPr>
            <w:rStyle w:val="Hyperlink"/>
          </w:rPr>
          <w:t xml:space="preserve"> </w:t>
        </w:r>
        <w:r>
          <w:rPr>
            <w:rStyle w:val="Hyperlink"/>
          </w:rPr>
          <w:t xml:space="preserve">of</w:t>
        </w:r>
        <w:r>
          <w:rPr>
            <w:rStyle w:val="Hyperlink"/>
          </w:rPr>
          <w:t xml:space="preserve"> </w:t>
        </w:r>
        <w:r>
          <w:rPr>
            <w:rStyle w:val="Hyperlink"/>
          </w:rPr>
          <w:t xml:space="preserve">Natural Immunity</w:t>
        </w:r>
        <w:r>
          <w:rPr>
            <w:rStyle w:val="Hyperlink"/>
          </w:rPr>
          <w:t xml:space="preserve"> </w:t>
        </w:r>
        <w:r>
          <w:rPr>
            <w:rStyle w:val="Hyperlink"/>
          </w:rPr>
          <w:t xml:space="preserve">on</w:t>
        </w:r>
        <w:r>
          <w:rPr>
            <w:rStyle w:val="Hyperlink"/>
          </w:rPr>
          <w:t xml:space="preserve"> </w:t>
        </w:r>
        <w:r>
          <w:rPr>
            <w:rStyle w:val="Hyperlink"/>
          </w:rPr>
          <w:t xml:space="preserve">Rotavirus Vaccine Efficacy Estimates</w:t>
        </w:r>
        <w:r>
          <w:rPr>
            <w:rStyle w:val="Hyperlink"/>
          </w:rPr>
          <w:t xml:space="preserve">:</w:t>
        </w:r>
        <w:r>
          <w:rPr>
            <w:rStyle w:val="Hyperlink"/>
          </w:rPr>
          <w:t xml:space="preserve"> </w:t>
        </w:r>
        <w:r>
          <w:rPr>
            <w:rStyle w:val="Hyperlink"/>
          </w:rPr>
          <w:t xml:space="preserve">A Clinical Trial</w:t>
        </w:r>
        <w:r>
          <w:rPr>
            <w:rStyle w:val="Hyperlink"/>
          </w:rPr>
          <w:t xml:space="preserve"> </w:t>
        </w:r>
        <w:r>
          <w:rPr>
            <w:rStyle w:val="Hyperlink"/>
          </w:rPr>
          <w:t xml:space="preserve">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w:t>
        </w:r>
        <w:r>
          <w:rPr>
            <w:rStyle w:val="Hyperlink"/>
          </w:rPr>
          <w:t xml:space="preserve">PROVIDE</w:t>
        </w:r>
        <w:r>
          <w:rPr>
            <w:rStyle w:val="Hyperlink"/>
          </w:rPr>
          <w:t xml:space="preserve">) and a</w:t>
        </w:r>
        <w:r>
          <w:rPr>
            <w:rStyle w:val="Hyperlink"/>
          </w:rPr>
          <w:t xml:space="preserve"> </w:t>
        </w:r>
        <w:r>
          <w:rPr>
            <w:rStyle w:val="Hyperlink"/>
          </w:rPr>
          <w:t xml:space="preserve">Simulation Study</w:t>
        </w:r>
      </w:hyperlink>
      <w:r>
        <w:t xml:space="preserve">.</w:t>
      </w:r>
      <w:r>
        <w:t xml:space="preserve"> </w:t>
      </w:r>
      <w:r>
        <w:rPr>
          <w:iCs/>
          <w:i/>
        </w:rPr>
        <w:t xml:space="preserve">The Journal of Infectious Diseases</w:t>
      </w:r>
      <w:r>
        <w:t xml:space="preserve"> </w:t>
      </w:r>
      <w:r>
        <w:t xml:space="preserve">2018;</w:t>
      </w:r>
      <w:r>
        <w:t xml:space="preserve"> </w:t>
      </w:r>
      <w:r>
        <w:rPr>
          <w:bCs/>
          <w:b/>
        </w:rPr>
        <w:t xml:space="preserve">217</w:t>
      </w:r>
      <w:r>
        <w:t xml:space="preserve">: 861–8.</w:t>
      </w:r>
    </w:p>
    <w:bookmarkEnd w:id="102"/>
    <w:bookmarkStart w:id="104" w:name="ref-arnoldOptimalRecallPeriod2013"/>
    <w:p>
      <w:pPr>
        <w:pStyle w:val="Bibliography"/>
      </w:pPr>
      <w:r>
        <w:t xml:space="preserve">36</w:t>
      </w:r>
      <w:r>
        <w:t xml:space="preserve"> </w:t>
      </w:r>
      <w:r>
        <w:t xml:space="preserve">	</w:t>
      </w:r>
      <w:r>
        <w:t xml:space="preserve">Arnold BF, Galiani S, Ram PK,</w:t>
      </w:r>
      <w:r>
        <w:t xml:space="preserve"> </w:t>
      </w:r>
      <w:r>
        <w:rPr>
          <w:iCs/>
          <w:i/>
        </w:rPr>
        <w:t xml:space="preserve">et al.</w:t>
      </w:r>
      <w:r>
        <w:t xml:space="preserve"> </w:t>
      </w:r>
      <w:hyperlink r:id="rId103">
        <w:r>
          <w:rPr>
            <w:rStyle w:val="Hyperlink"/>
          </w:rPr>
          <w:t xml:space="preserve">Optimal recall period for caregiver-reported illness in risk factor and intervention studies: A multicountry study</w:t>
        </w:r>
      </w:hyperlink>
      <w:r>
        <w:t xml:space="preserve">.</w:t>
      </w:r>
      <w:r>
        <w:t xml:space="preserve"> </w:t>
      </w:r>
      <w:r>
        <w:rPr>
          <w:iCs/>
          <w:i/>
        </w:rPr>
        <w:t xml:space="preserve">American journal of epidemiology</w:t>
      </w:r>
      <w:r>
        <w:t xml:space="preserve"> </w:t>
      </w:r>
      <w:r>
        <w:t xml:space="preserve">2013;</w:t>
      </w:r>
      <w:r>
        <w:t xml:space="preserve"> </w:t>
      </w:r>
      <w:r>
        <w:rPr>
          <w:bCs/>
          <w:b/>
        </w:rPr>
        <w:t xml:space="preserve">177</w:t>
      </w:r>
      <w:r>
        <w:t xml:space="preserve">: 361–70.</w:t>
      </w:r>
    </w:p>
    <w:bookmarkEnd w:id="104"/>
    <w:bookmarkStart w:id="106" w:name="X28b8f7a62df31f893e94c92fe8813b1071b54c6"/>
    <w:p>
      <w:pPr>
        <w:pStyle w:val="Bibliography"/>
      </w:pPr>
      <w:r>
        <w:t xml:space="preserve">37</w:t>
      </w:r>
      <w:r>
        <w:t xml:space="preserve"> </w:t>
      </w:r>
      <w:r>
        <w:t xml:space="preserve">	</w:t>
      </w:r>
      <w:r>
        <w:t xml:space="preserve">Rego R, Watson S, Ul Alam MA,</w:t>
      </w:r>
      <w:r>
        <w:t xml:space="preserve"> </w:t>
      </w:r>
      <w:r>
        <w:rPr>
          <w:iCs/>
          <w:i/>
        </w:rPr>
        <w:t xml:space="preserve">et al.</w:t>
      </w:r>
      <w:r>
        <w:t xml:space="preserve"> A comparison of traditional diarrhoea measurement methods with microbiological and biochemical indicators:: A cross-sectional observational study in the</w:t>
      </w:r>
      <w:r>
        <w:t xml:space="preserve"> </w:t>
      </w:r>
      <w:r>
        <w:t xml:space="preserve">Cox</w:t>
      </w:r>
      <w:r>
        <w:t xml:space="preserve">’s</w:t>
      </w:r>
      <w:r>
        <w:t xml:space="preserve"> </w:t>
      </w:r>
      <w:r>
        <w:t xml:space="preserve">Bazar</w:t>
      </w:r>
      <w:r>
        <w:t xml:space="preserve"> </w:t>
      </w:r>
      <w:r>
        <w:t xml:space="preserve">displaced persons camp.</w:t>
      </w:r>
      <w:r>
        <w:t xml:space="preserve"> </w:t>
      </w:r>
      <w:r>
        <w:rPr>
          <w:iCs/>
          <w:i/>
        </w:rPr>
        <w:t xml:space="preserve">EClinicalMedicine</w:t>
      </w:r>
      <w:r>
        <w:t xml:space="preserve"> </w:t>
      </w:r>
      <w:r>
        <w:t xml:space="preserve">2021;</w:t>
      </w:r>
      <w:r>
        <w:t xml:space="preserve"> </w:t>
      </w:r>
      <w:r>
        <w:rPr>
          <w:bCs/>
          <w:b/>
        </w:rPr>
        <w:t xml:space="preserve">42</w:t>
      </w:r>
      <w:r>
        <w:t xml:space="preserve">. DOI:</w:t>
      </w:r>
      <w:hyperlink r:id="rId105">
        <w:r>
          <w:rPr>
            <w:rStyle w:val="Hyperlink"/>
          </w:rPr>
          <w:t xml:space="preserve">10.1016/j.eclinm.2021.101205</w:t>
        </w:r>
      </w:hyperlink>
      <w:r>
        <w:t xml:space="preserve">.</w:t>
      </w:r>
    </w:p>
    <w:bookmarkEnd w:id="106"/>
    <w:bookmarkStart w:id="108" w:name="ref-brownStoolBasedPathogenDetection2020"/>
    <w:p>
      <w:pPr>
        <w:pStyle w:val="Bibliography"/>
      </w:pPr>
      <w:r>
        <w:t xml:space="preserve">38</w:t>
      </w:r>
      <w:r>
        <w:t xml:space="preserve"> </w:t>
      </w:r>
      <w:r>
        <w:t xml:space="preserve">	</w:t>
      </w:r>
      <w:r>
        <w:t xml:space="preserve">Brown J, Cumming O.</w:t>
      </w:r>
      <w:r>
        <w:t xml:space="preserve"> </w:t>
      </w:r>
      <w:hyperlink r:id="rId107">
        <w:r>
          <w:rPr>
            <w:rStyle w:val="Hyperlink"/>
          </w:rPr>
          <w:t xml:space="preserve">Stool-</w:t>
        </w:r>
        <w:r>
          <w:rPr>
            <w:rStyle w:val="Hyperlink"/>
          </w:rPr>
          <w:t xml:space="preserve">Based Pathogen Detection Offers Advantages</w:t>
        </w:r>
        <w:r>
          <w:rPr>
            <w:rStyle w:val="Hyperlink"/>
          </w:rPr>
          <w:t xml:space="preserve"> </w:t>
        </w:r>
        <w:r>
          <w:rPr>
            <w:rStyle w:val="Hyperlink"/>
          </w:rPr>
          <w:t xml:space="preserve">as an</w:t>
        </w:r>
        <w:r>
          <w:rPr>
            <w:rStyle w:val="Hyperlink"/>
          </w:rPr>
          <w:t xml:space="preserve"> </w:t>
        </w:r>
        <w:r>
          <w:rPr>
            <w:rStyle w:val="Hyperlink"/>
          </w:rPr>
          <w:t xml:space="preserve">Outcome Measure</w:t>
        </w:r>
        <w:r>
          <w:rPr>
            <w:rStyle w:val="Hyperlink"/>
          </w:rPr>
          <w:t xml:space="preserve"> </w:t>
        </w:r>
        <w:r>
          <w:rPr>
            <w:rStyle w:val="Hyperlink"/>
          </w:rPr>
          <w:t xml:space="preserve">for</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Sanitation</w:t>
        </w:r>
        <w:r>
          <w:rPr>
            <w:rStyle w:val="Hyperlink"/>
          </w:rPr>
          <w:t xml:space="preserve">, and</w:t>
        </w:r>
        <w:r>
          <w:rPr>
            <w:rStyle w:val="Hyperlink"/>
          </w:rPr>
          <w:t xml:space="preserve"> </w:t>
        </w:r>
        <w:r>
          <w:rPr>
            <w:rStyle w:val="Hyperlink"/>
          </w:rPr>
          <w:t xml:space="preserve">Hygiene Trials</w:t>
        </w:r>
      </w:hyperlink>
      <w:r>
        <w:t xml:space="preserve">.</w:t>
      </w:r>
      <w:r>
        <w:t xml:space="preserve"> </w:t>
      </w:r>
      <w:r>
        <w:rPr>
          <w:iCs/>
          <w:i/>
        </w:rPr>
        <w:t xml:space="preserve">The American Journal of Tropical Medicine and Hygiene</w:t>
      </w:r>
      <w:r>
        <w:t xml:space="preserve"> </w:t>
      </w:r>
      <w:r>
        <w:t xml:space="preserve">2020;</w:t>
      </w:r>
      <w:r>
        <w:t xml:space="preserve"> </w:t>
      </w:r>
      <w:r>
        <w:rPr>
          <w:bCs/>
          <w:b/>
        </w:rPr>
        <w:t xml:space="preserve">102</w:t>
      </w:r>
      <w:r>
        <w:t xml:space="preserve">: 260–1.</w:t>
      </w:r>
    </w:p>
    <w:bookmarkEnd w:id="108"/>
    <w:bookmarkStart w:id="110" w:name="ref-alfaUVvisibleMarkerConfirms2008"/>
    <w:p>
      <w:pPr>
        <w:pStyle w:val="Bibliography"/>
      </w:pPr>
      <w:r>
        <w:t xml:space="preserve">39</w:t>
      </w:r>
      <w:r>
        <w:t xml:space="preserve"> </w:t>
      </w:r>
      <w:r>
        <w:t xml:space="preserve">	</w:t>
      </w:r>
      <w:r>
        <w:t xml:space="preserve">Alfa MJ, Dueck C, Olson N,</w:t>
      </w:r>
      <w:r>
        <w:t xml:space="preserve"> </w:t>
      </w:r>
      <w:r>
        <w:rPr>
          <w:iCs/>
          <w:i/>
        </w:rPr>
        <w:t xml:space="preserve">et al.</w:t>
      </w:r>
      <w:r>
        <w:t xml:space="preserve"> </w:t>
      </w:r>
      <w:hyperlink r:id="rId109">
        <w:r>
          <w:rPr>
            <w:rStyle w:val="Hyperlink"/>
          </w:rPr>
          <w:t xml:space="preserve">UV-visible</w:t>
        </w:r>
        <w:r>
          <w:rPr>
            <w:rStyle w:val="Hyperlink"/>
          </w:rPr>
          <w:t xml:space="preserve"> </w:t>
        </w:r>
        <w:r>
          <w:rPr>
            <w:rStyle w:val="Hyperlink"/>
          </w:rPr>
          <w:t xml:space="preserve">marker confirms that environmental persistence of</w:t>
        </w:r>
        <w:r>
          <w:rPr>
            <w:rStyle w:val="Hyperlink"/>
          </w:rPr>
          <w:t xml:space="preserve"> </w:t>
        </w:r>
        <w:r>
          <w:rPr>
            <w:rStyle w:val="Hyperlink"/>
          </w:rPr>
          <w:t xml:space="preserve">Clostridium</w:t>
        </w:r>
        <w:r>
          <w:rPr>
            <w:rStyle w:val="Hyperlink"/>
          </w:rPr>
          <w:t xml:space="preserve"> </w:t>
        </w:r>
        <w:r>
          <w:rPr>
            <w:rStyle w:val="Hyperlink"/>
          </w:rPr>
          <w:t xml:space="preserve">difficile spores in toilets of patients with</w:t>
        </w:r>
        <w:r>
          <w:rPr>
            <w:rStyle w:val="Hyperlink"/>
          </w:rPr>
          <w:t xml:space="preserve"> </w:t>
        </w:r>
        <w:r>
          <w:rPr>
            <w:rStyle w:val="Hyperlink"/>
          </w:rPr>
          <w:t xml:space="preserve">C</w:t>
        </w:r>
        <w:r>
          <w:rPr>
            <w:rStyle w:val="Hyperlink"/>
          </w:rPr>
          <w:t xml:space="preserve">. Difficile-associated diarrhea is associated with lack of compliance with cleaning protocol.e</w:t>
        </w:r>
      </w:hyperlink>
      <w:r>
        <w:t xml:space="preserve">.</w:t>
      </w:r>
      <w:r>
        <w:t xml:space="preserve"> </w:t>
      </w:r>
      <w:r>
        <w:rPr>
          <w:iCs/>
          <w:i/>
        </w:rPr>
        <w:t xml:space="preserve">BMC infectious diseases</w:t>
      </w:r>
      <w:r>
        <w:t xml:space="preserve"> </w:t>
      </w:r>
      <w:r>
        <w:t xml:space="preserve">2008;</w:t>
      </w:r>
      <w:r>
        <w:t xml:space="preserve"> </w:t>
      </w:r>
      <w:r>
        <w:rPr>
          <w:bCs/>
          <w:b/>
        </w:rPr>
        <w:t xml:space="preserve">8</w:t>
      </w:r>
      <w:r>
        <w:t xml:space="preserve">: 64.</w:t>
      </w:r>
    </w:p>
    <w:bookmarkEnd w:id="110"/>
    <w:bookmarkStart w:id="112" w:name="ref-blackSurvivalRatesParasite1982"/>
    <w:p>
      <w:pPr>
        <w:pStyle w:val="Bibliography"/>
      </w:pPr>
      <w:r>
        <w:t xml:space="preserve">40</w:t>
      </w:r>
      <w:r>
        <w:t xml:space="preserve"> </w:t>
      </w:r>
      <w:r>
        <w:t xml:space="preserve">	</w:t>
      </w:r>
      <w:r>
        <w:t xml:space="preserve">Black MI, Scarpino PV, O’Donnell CJ, Meyer KB, Jones JV, Kaneshiro ES.</w:t>
      </w:r>
      <w:r>
        <w:t xml:space="preserve"> </w:t>
      </w:r>
      <w:hyperlink r:id="rId111">
        <w:r>
          <w:rPr>
            <w:rStyle w:val="Hyperlink"/>
          </w:rPr>
          <w:t xml:space="preserve">Survival rates of parasite eggs in sludge during aerobic and anaerobic digestion</w:t>
        </w:r>
      </w:hyperlink>
      <w:r>
        <w:t xml:space="preserve">.</w:t>
      </w:r>
      <w:r>
        <w:t xml:space="preserve"> </w:t>
      </w:r>
      <w:r>
        <w:rPr>
          <w:iCs/>
          <w:i/>
        </w:rPr>
        <w:t xml:space="preserve">Applied and Environmental Microbiology</w:t>
      </w:r>
      <w:r>
        <w:t xml:space="preserve"> </w:t>
      </w:r>
      <w:r>
        <w:t xml:space="preserve">1982;</w:t>
      </w:r>
      <w:r>
        <w:t xml:space="preserve"> </w:t>
      </w:r>
      <w:r>
        <w:rPr>
          <w:bCs/>
          <w:b/>
        </w:rPr>
        <w:t xml:space="preserve">44</w:t>
      </w:r>
      <w:r>
        <w:t xml:space="preserve">: 1138–43.</w:t>
      </w:r>
    </w:p>
    <w:bookmarkEnd w:id="112"/>
    <w:bookmarkStart w:id="114" w:name="ref-kotloffBurdenAetiologyDiarrhoeal2013"/>
    <w:p>
      <w:pPr>
        <w:pStyle w:val="Bibliography"/>
      </w:pPr>
      <w:r>
        <w:t xml:space="preserve">41</w:t>
      </w:r>
      <w:r>
        <w:t xml:space="preserve"> </w:t>
      </w:r>
      <w:r>
        <w:t xml:space="preserve">	</w:t>
      </w:r>
      <w:r>
        <w:t xml:space="preserve">Kotloff KL, Nataro JP, Blackwelder WC,</w:t>
      </w:r>
      <w:r>
        <w:t xml:space="preserve"> </w:t>
      </w:r>
      <w:r>
        <w:rPr>
          <w:iCs/>
          <w:i/>
        </w:rPr>
        <w:t xml:space="preserve">et al.</w:t>
      </w:r>
      <w:r>
        <w:t xml:space="preserve"> </w:t>
      </w:r>
      <w:hyperlink r:id="rId113">
        <w:r>
          <w:rPr>
            <w:rStyle w:val="Hyperlink"/>
          </w:rPr>
          <w:t xml:space="preserve">Burden and aetiology of diarrhoeal disease in infants and young children in developing countries (the</w:t>
        </w:r>
        <w:r>
          <w:rPr>
            <w:rStyle w:val="Hyperlink"/>
          </w:rPr>
          <w:t xml:space="preserve"> </w:t>
        </w:r>
        <w:r>
          <w:rPr>
            <w:rStyle w:val="Hyperlink"/>
          </w:rPr>
          <w:t xml:space="preserve">Global Enteric Multicenter Study</w:t>
        </w:r>
        <w:r>
          <w:rPr>
            <w:rStyle w:val="Hyperlink"/>
          </w:rPr>
          <w:t xml:space="preserve">,</w:t>
        </w:r>
        <w:r>
          <w:rPr>
            <w:rStyle w:val="Hyperlink"/>
          </w:rPr>
          <w:t xml:space="preserve"> </w:t>
        </w:r>
        <w:r>
          <w:rPr>
            <w:rStyle w:val="Hyperlink"/>
          </w:rPr>
          <w:t xml:space="preserve">GEMS</w:t>
        </w:r>
        <w:r>
          <w:rPr>
            <w:rStyle w:val="Hyperlink"/>
          </w:rPr>
          <w:t xml:space="preserve">): A prospective, case-control study</w:t>
        </w:r>
      </w:hyperlink>
      <w:r>
        <w:t xml:space="preserve">.</w:t>
      </w:r>
      <w:r>
        <w:t xml:space="preserve"> </w:t>
      </w:r>
      <w:r>
        <w:rPr>
          <w:iCs/>
          <w:i/>
        </w:rPr>
        <w:t xml:space="preserve">The Lancet</w:t>
      </w:r>
      <w:r>
        <w:t xml:space="preserve"> </w:t>
      </w:r>
      <w:r>
        <w:t xml:space="preserve">2013;</w:t>
      </w:r>
      <w:r>
        <w:t xml:space="preserve"> </w:t>
      </w:r>
      <w:r>
        <w:rPr>
          <w:bCs/>
          <w:b/>
        </w:rPr>
        <w:t xml:space="preserve">382</w:t>
      </w:r>
      <w:r>
        <w:t xml:space="preserve">: 209–22.</w:t>
      </w:r>
    </w:p>
    <w:bookmarkEnd w:id="114"/>
    <w:bookmarkStart w:id="116" w:name="ref-khurooASCARIASIS1996"/>
    <w:p>
      <w:pPr>
        <w:pStyle w:val="Bibliography"/>
      </w:pPr>
      <w:r>
        <w:t xml:space="preserve">42</w:t>
      </w:r>
      <w:r>
        <w:t xml:space="preserve"> </w:t>
      </w:r>
      <w:r>
        <w:t xml:space="preserve">	</w:t>
      </w:r>
      <w:r>
        <w:t xml:space="preserve">Khuroo MS.</w:t>
      </w:r>
      <w:r>
        <w:t xml:space="preserve"> </w:t>
      </w:r>
      <w:hyperlink r:id="rId115">
        <w:r>
          <w:rPr>
            <w:rStyle w:val="Hyperlink"/>
          </w:rPr>
          <w:t xml:space="preserve">ASCARIASIS</w:t>
        </w:r>
      </w:hyperlink>
      <w:r>
        <w:t xml:space="preserve">.</w:t>
      </w:r>
      <w:r>
        <w:t xml:space="preserve"> </w:t>
      </w:r>
      <w:r>
        <w:rPr>
          <w:iCs/>
          <w:i/>
        </w:rPr>
        <w:t xml:space="preserve">Gastroenterology Clinics of North America</w:t>
      </w:r>
      <w:r>
        <w:t xml:space="preserve"> </w:t>
      </w:r>
      <w:r>
        <w:t xml:space="preserve">1996;</w:t>
      </w:r>
      <w:r>
        <w:t xml:space="preserve"> </w:t>
      </w:r>
      <w:r>
        <w:rPr>
          <w:bCs/>
          <w:b/>
        </w:rPr>
        <w:t xml:space="preserve">25</w:t>
      </w:r>
      <w:r>
        <w:t xml:space="preserve">: 553–77.</w:t>
      </w:r>
    </w:p>
    <w:bookmarkEnd w:id="116"/>
    <w:bookmarkStart w:id="118" w:name="ref-ahmedCurrentStatusMarker2016"/>
    <w:p>
      <w:pPr>
        <w:pStyle w:val="Bibliography"/>
      </w:pPr>
      <w:r>
        <w:t xml:space="preserve">43</w:t>
      </w:r>
      <w:r>
        <w:t xml:space="preserve"> </w:t>
      </w:r>
      <w:r>
        <w:t xml:space="preserve">	</w:t>
      </w:r>
      <w:r>
        <w:t xml:space="preserve">Ahmed W, Hughes B, Harwood VJ.</w:t>
      </w:r>
      <w:r>
        <w:t xml:space="preserve"> </w:t>
      </w:r>
      <w:hyperlink r:id="rId117">
        <w:r>
          <w:rPr>
            <w:rStyle w:val="Hyperlink"/>
          </w:rPr>
          <w:t xml:space="preserve">Current</w:t>
        </w:r>
        <w:r>
          <w:rPr>
            <w:rStyle w:val="Hyperlink"/>
          </w:rPr>
          <w:t xml:space="preserve"> </w:t>
        </w:r>
        <w:r>
          <w:rPr>
            <w:rStyle w:val="Hyperlink"/>
          </w:rPr>
          <w:t xml:space="preserve">Status</w:t>
        </w:r>
        <w:r>
          <w:rPr>
            <w:rStyle w:val="Hyperlink"/>
          </w:rPr>
          <w:t xml:space="preserve"> </w:t>
        </w:r>
        <w:r>
          <w:rPr>
            <w:rStyle w:val="Hyperlink"/>
          </w:rPr>
          <w:t xml:space="preserve">of</w:t>
        </w:r>
        <w:r>
          <w:rPr>
            <w:rStyle w:val="Hyperlink"/>
          </w:rPr>
          <w:t xml:space="preserve"> </w:t>
        </w:r>
        <w:r>
          <w:rPr>
            <w:rStyle w:val="Hyperlink"/>
          </w:rPr>
          <w:t xml:space="preserve">Marker Genes</w:t>
        </w:r>
        <w:r>
          <w:rPr>
            <w:rStyle w:val="Hyperlink"/>
          </w:rPr>
          <w:t xml:space="preserve"> </w:t>
        </w:r>
        <w:r>
          <w:rPr>
            <w:rStyle w:val="Hyperlink"/>
          </w:rPr>
          <w:t xml:space="preserve">of</w:t>
        </w:r>
        <w:r>
          <w:rPr>
            <w:rStyle w:val="Hyperlink"/>
          </w:rPr>
          <w:t xml:space="preserve"> </w:t>
        </w:r>
        <w:r>
          <w:rPr>
            <w:rStyle w:val="Hyperlink"/>
          </w:rPr>
          <w:t xml:space="preserve">Bacteroides</w:t>
        </w:r>
        <w:r>
          <w:rPr>
            <w:rStyle w:val="Hyperlink"/>
          </w:rPr>
          <w:t xml:space="preserve"> </w:t>
        </w:r>
        <w:r>
          <w:rPr>
            <w:rStyle w:val="Hyperlink"/>
          </w:rPr>
          <w:t xml:space="preserve">and</w:t>
        </w:r>
        <w:r>
          <w:rPr>
            <w:rStyle w:val="Hyperlink"/>
          </w:rPr>
          <w:t xml:space="preserve"> </w:t>
        </w:r>
        <w:r>
          <w:rPr>
            <w:rStyle w:val="Hyperlink"/>
          </w:rPr>
          <w:t xml:space="preserve">Related Taxa</w:t>
        </w:r>
        <w:r>
          <w:rPr>
            <w:rStyle w:val="Hyperlink"/>
          </w:rPr>
          <w:t xml:space="preserve"> </w:t>
        </w:r>
        <w:r>
          <w:rPr>
            <w:rStyle w:val="Hyperlink"/>
          </w:rPr>
          <w:t xml:space="preserve">for</w:t>
        </w:r>
        <w:r>
          <w:rPr>
            <w:rStyle w:val="Hyperlink"/>
          </w:rPr>
          <w:t xml:space="preserve"> </w:t>
        </w:r>
        <w:r>
          <w:rPr>
            <w:rStyle w:val="Hyperlink"/>
          </w:rPr>
          <w:t xml:space="preserve">Identifying Sewage Pollution</w:t>
        </w:r>
        <w:r>
          <w:rPr>
            <w:rStyle w:val="Hyperlink"/>
          </w:rPr>
          <w:t xml:space="preserve"> </w:t>
        </w:r>
        <w:r>
          <w:rPr>
            <w:rStyle w:val="Hyperlink"/>
          </w:rPr>
          <w:t xml:space="preserve">in</w:t>
        </w:r>
        <w:r>
          <w:rPr>
            <w:rStyle w:val="Hyperlink"/>
          </w:rPr>
          <w:t xml:space="preserve"> </w:t>
        </w:r>
        <w:r>
          <w:rPr>
            <w:rStyle w:val="Hyperlink"/>
          </w:rPr>
          <w:t xml:space="preserve">Environmental Waters</w:t>
        </w:r>
      </w:hyperlink>
      <w:r>
        <w:t xml:space="preserve">.</w:t>
      </w:r>
      <w:r>
        <w:t xml:space="preserve"> </w:t>
      </w:r>
      <w:r>
        <w:rPr>
          <w:iCs/>
          <w:i/>
        </w:rPr>
        <w:t xml:space="preserve">Water</w:t>
      </w:r>
      <w:r>
        <w:t xml:space="preserve"> </w:t>
      </w:r>
      <w:r>
        <w:t xml:space="preserve">2016;</w:t>
      </w:r>
      <w:r>
        <w:t xml:space="preserve"> </w:t>
      </w:r>
      <w:r>
        <w:rPr>
          <w:bCs/>
          <w:b/>
        </w:rPr>
        <w:t xml:space="preserve">8</w:t>
      </w:r>
      <w:r>
        <w:t xml:space="preserve">: 231.</w:t>
      </w:r>
    </w:p>
    <w:bookmarkEnd w:id="118"/>
    <w:bookmarkStart w:id="120" w:name="Xff5461ced33daa2db28e576edab0bed3265b0d6"/>
    <w:p>
      <w:pPr>
        <w:pStyle w:val="Bibliography"/>
      </w:pPr>
      <w:r>
        <w:t xml:space="preserve">44</w:t>
      </w:r>
      <w:r>
        <w:t xml:space="preserve"> </w:t>
      </w:r>
      <w:r>
        <w:t xml:space="preserve">	</w:t>
      </w:r>
      <w:r>
        <w:t xml:space="preserve">Boehm AB, Van De Werfhorst LC, Griffith JF,</w:t>
      </w:r>
      <w:r>
        <w:t xml:space="preserve"> </w:t>
      </w:r>
      <w:r>
        <w:rPr>
          <w:iCs/>
          <w:i/>
        </w:rPr>
        <w:t xml:space="preserve">et al.</w:t>
      </w:r>
      <w:r>
        <w:t xml:space="preserve"> </w:t>
      </w:r>
      <w:hyperlink r:id="rId119">
        <w:r>
          <w:rPr>
            <w:rStyle w:val="Hyperlink"/>
          </w:rPr>
          <w:t xml:space="preserve">Performance of forty-one microbial source tracking methods: A twenty-seven lab evaluation study</w:t>
        </w:r>
      </w:hyperlink>
      <w:r>
        <w:t xml:space="preserve">.</w:t>
      </w:r>
      <w:r>
        <w:t xml:space="preserve"> </w:t>
      </w:r>
      <w:r>
        <w:rPr>
          <w:iCs/>
          <w:i/>
        </w:rPr>
        <w:t xml:space="preserve">Water Research</w:t>
      </w:r>
      <w:r>
        <w:t xml:space="preserve"> </w:t>
      </w:r>
      <w:r>
        <w:t xml:space="preserve">2013;</w:t>
      </w:r>
      <w:r>
        <w:t xml:space="preserve"> </w:t>
      </w:r>
      <w:r>
        <w:rPr>
          <w:bCs/>
          <w:b/>
        </w:rPr>
        <w:t xml:space="preserve">47</w:t>
      </w:r>
      <w:r>
        <w:t xml:space="preserve">: 6812–28.</w:t>
      </w:r>
    </w:p>
    <w:bookmarkEnd w:id="120"/>
    <w:bookmarkStart w:id="122" w:name="ref-holcombMicrobialIndicatorsFecal2020"/>
    <w:p>
      <w:pPr>
        <w:pStyle w:val="Bibliography"/>
      </w:pPr>
      <w:r>
        <w:t xml:space="preserve">45</w:t>
      </w:r>
      <w:r>
        <w:t xml:space="preserve"> </w:t>
      </w:r>
      <w:r>
        <w:t xml:space="preserve">	</w:t>
      </w:r>
      <w:r>
        <w:t xml:space="preserve">Holcomb DA, Stewart JR.</w:t>
      </w:r>
      <w:r>
        <w:t xml:space="preserve"> </w:t>
      </w:r>
      <w:hyperlink r:id="rId121">
        <w:r>
          <w:rPr>
            <w:rStyle w:val="Hyperlink"/>
          </w:rPr>
          <w:t xml:space="preserve">Microbial</w:t>
        </w:r>
        <w:r>
          <w:rPr>
            <w:rStyle w:val="Hyperlink"/>
          </w:rPr>
          <w:t xml:space="preserve"> </w:t>
        </w:r>
        <w:r>
          <w:rPr>
            <w:rStyle w:val="Hyperlink"/>
          </w:rPr>
          <w:t xml:space="preserve">Indicators</w:t>
        </w:r>
        <w:r>
          <w:rPr>
            <w:rStyle w:val="Hyperlink"/>
          </w:rPr>
          <w:t xml:space="preserve"> </w:t>
        </w:r>
        <w:r>
          <w:rPr>
            <w:rStyle w:val="Hyperlink"/>
          </w:rPr>
          <w:t xml:space="preserve">of</w:t>
        </w:r>
        <w:r>
          <w:rPr>
            <w:rStyle w:val="Hyperlink"/>
          </w:rPr>
          <w:t xml:space="preserve"> </w:t>
        </w:r>
        <w:r>
          <w:rPr>
            <w:rStyle w:val="Hyperlink"/>
          </w:rPr>
          <w:t xml:space="preserve">Fecal Pollution</w:t>
        </w:r>
        <w:r>
          <w:rPr>
            <w:rStyle w:val="Hyperlink"/>
          </w:rPr>
          <w:t xml:space="preserve">:</w:t>
        </w:r>
        <w:r>
          <w:rPr>
            <w:rStyle w:val="Hyperlink"/>
          </w:rPr>
          <w:t xml:space="preserve"> </w:t>
        </w:r>
        <w:r>
          <w:rPr>
            <w:rStyle w:val="Hyperlink"/>
          </w:rPr>
          <w:t xml:space="preserve">Recent Progress</w:t>
        </w:r>
        <w:r>
          <w:rPr>
            <w:rStyle w:val="Hyperlink"/>
          </w:rPr>
          <w:t xml:space="preserve"> </w:t>
        </w:r>
        <w:r>
          <w:rPr>
            <w:rStyle w:val="Hyperlink"/>
          </w:rPr>
          <w:t xml:space="preserve">and</w:t>
        </w:r>
        <w:r>
          <w:rPr>
            <w:rStyle w:val="Hyperlink"/>
          </w:rPr>
          <w:t xml:space="preserve"> </w:t>
        </w:r>
        <w:r>
          <w:rPr>
            <w:rStyle w:val="Hyperlink"/>
          </w:rPr>
          <w:t xml:space="preserve">Challenges</w:t>
        </w:r>
        <w:r>
          <w:rPr>
            <w:rStyle w:val="Hyperlink"/>
          </w:rPr>
          <w:t xml:space="preserve"> </w:t>
        </w:r>
        <w:r>
          <w:rPr>
            <w:rStyle w:val="Hyperlink"/>
          </w:rPr>
          <w:t xml:space="preserve">in</w:t>
        </w:r>
        <w:r>
          <w:rPr>
            <w:rStyle w:val="Hyperlink"/>
          </w:rPr>
          <w:t xml:space="preserve"> </w:t>
        </w:r>
        <w:r>
          <w:rPr>
            <w:rStyle w:val="Hyperlink"/>
          </w:rPr>
          <w:t xml:space="preserve">Assessing Water Quality</w:t>
        </w:r>
      </w:hyperlink>
      <w:r>
        <w:t xml:space="preserve">.</w:t>
      </w:r>
      <w:r>
        <w:t xml:space="preserve"> </w:t>
      </w:r>
      <w:r>
        <w:rPr>
          <w:iCs/>
          <w:i/>
        </w:rPr>
        <w:t xml:space="preserve">Current Environmental Health Reports</w:t>
      </w:r>
      <w:r>
        <w:t xml:space="preserve"> </w:t>
      </w:r>
      <w:r>
        <w:t xml:space="preserve">2020;</w:t>
      </w:r>
      <w:r>
        <w:t xml:space="preserve"> </w:t>
      </w:r>
      <w:r>
        <w:rPr>
          <w:bCs/>
          <w:b/>
        </w:rPr>
        <w:t xml:space="preserve">7</w:t>
      </w:r>
      <w:r>
        <w:t xml:space="preserve">: 311–24.</w:t>
      </w:r>
    </w:p>
    <w:bookmarkEnd w:id="122"/>
    <w:bookmarkStart w:id="124" w:name="X8f4bf48b100f335b534f57a0aa587c0a4ee0d9a"/>
    <w:p>
      <w:pPr>
        <w:pStyle w:val="Bibliography"/>
      </w:pPr>
      <w:r>
        <w:t xml:space="preserve">46</w:t>
      </w:r>
      <w:r>
        <w:t xml:space="preserve"> </w:t>
      </w:r>
      <w:r>
        <w:t xml:space="preserve">	</w:t>
      </w:r>
      <w:r>
        <w:t xml:space="preserve">Reischer GH, Ebdon JE, Bauer JM,</w:t>
      </w:r>
      <w:r>
        <w:t xml:space="preserve"> </w:t>
      </w:r>
      <w:r>
        <w:rPr>
          <w:iCs/>
          <w:i/>
        </w:rPr>
        <w:t xml:space="preserve">et al.</w:t>
      </w:r>
      <w:r>
        <w:t xml:space="preserve"> </w:t>
      </w:r>
      <w:hyperlink r:id="rId123">
        <w:r>
          <w:rPr>
            <w:rStyle w:val="Hyperlink"/>
          </w:rPr>
          <w:t xml:space="preserve">Performance characteristics of</w:t>
        </w:r>
        <w:r>
          <w:rPr>
            <w:rStyle w:val="Hyperlink"/>
          </w:rPr>
          <w:t xml:space="preserve"> </w:t>
        </w:r>
        <w:r>
          <w:rPr>
            <w:rStyle w:val="Hyperlink"/>
          </w:rPr>
          <w:t xml:space="preserve">qPCR</w:t>
        </w:r>
        <w:r>
          <w:rPr>
            <w:rStyle w:val="Hyperlink"/>
          </w:rPr>
          <w:t xml:space="preserve"> </w:t>
        </w:r>
        <w:r>
          <w:rPr>
            <w:rStyle w:val="Hyperlink"/>
          </w:rPr>
          <w:t xml:space="preserve">assays targeting human- and ruminant-associated bacteroidetes for microbial source tracking across sixteen countries on six continents</w:t>
        </w:r>
      </w:hyperlink>
      <w:r>
        <w:t xml:space="preserve">.</w:t>
      </w:r>
      <w:r>
        <w:t xml:space="preserve"> </w:t>
      </w:r>
      <w:r>
        <w:rPr>
          <w:iCs/>
          <w:i/>
        </w:rPr>
        <w:t xml:space="preserve">Environmental Science &amp; Technology</w:t>
      </w:r>
      <w:r>
        <w:t xml:space="preserve"> </w:t>
      </w:r>
      <w:r>
        <w:t xml:space="preserve">2013;</w:t>
      </w:r>
      <w:r>
        <w:t xml:space="preserve"> </w:t>
      </w:r>
      <w:r>
        <w:rPr>
          <w:bCs/>
          <w:b/>
        </w:rPr>
        <w:t xml:space="preserve">47</w:t>
      </w:r>
      <w:r>
        <w:t xml:space="preserve">: 8548–56.</w:t>
      </w:r>
    </w:p>
    <w:bookmarkEnd w:id="124"/>
    <w:bookmarkStart w:id="126" w:name="Xe1c8834819d06a0c30d8ca86a994cb457d93554"/>
    <w:p>
      <w:pPr>
        <w:pStyle w:val="Bibliography"/>
      </w:pPr>
      <w:r>
        <w:t xml:space="preserve">47</w:t>
      </w:r>
      <w:r>
        <w:t xml:space="preserve"> </w:t>
      </w:r>
      <w:r>
        <w:t xml:space="preserve">	</w:t>
      </w:r>
      <w:r>
        <w:t xml:space="preserve">Odagiri M, Schriewer A, Hanley K,</w:t>
      </w:r>
      <w:r>
        <w:t xml:space="preserve"> </w:t>
      </w:r>
      <w:r>
        <w:rPr>
          <w:iCs/>
          <w:i/>
        </w:rPr>
        <w:t xml:space="preserve">et al.</w:t>
      </w:r>
      <w:r>
        <w:t xml:space="preserve"> </w:t>
      </w:r>
      <w:hyperlink r:id="rId125">
        <w:r>
          <w:rPr>
            <w:rStyle w:val="Hyperlink"/>
          </w:rPr>
          <w:t xml:space="preserve">Validation of</w:t>
        </w:r>
        <w:r>
          <w:rPr>
            <w:rStyle w:val="Hyperlink"/>
          </w:rPr>
          <w:t xml:space="preserve"> </w:t>
        </w:r>
        <w:r>
          <w:rPr>
            <w:rStyle w:val="Hyperlink"/>
          </w:rPr>
          <w:t xml:space="preserve">Bacteroidales</w:t>
        </w:r>
        <w:r>
          <w:rPr>
            <w:rStyle w:val="Hyperlink"/>
          </w:rPr>
          <w:t xml:space="preserve"> </w:t>
        </w:r>
        <w:r>
          <w:rPr>
            <w:rStyle w:val="Hyperlink"/>
          </w:rPr>
          <w:t xml:space="preserve">quantitative</w:t>
        </w:r>
        <w:r>
          <w:rPr>
            <w:rStyle w:val="Hyperlink"/>
          </w:rPr>
          <w:t xml:space="preserve"> </w:t>
        </w:r>
        <w:r>
          <w:rPr>
            <w:rStyle w:val="Hyperlink"/>
          </w:rPr>
          <w:t xml:space="preserve">PCR</w:t>
        </w:r>
        <w:r>
          <w:rPr>
            <w:rStyle w:val="Hyperlink"/>
          </w:rPr>
          <w:t xml:space="preserve"> </w:t>
        </w:r>
        <w:r>
          <w:rPr>
            <w:rStyle w:val="Hyperlink"/>
          </w:rPr>
          <w:t xml:space="preserve">assays targeting human and animal fecal contamination in the public and domestic domains in</w:t>
        </w:r>
        <w:r>
          <w:rPr>
            <w:rStyle w:val="Hyperlink"/>
          </w:rPr>
          <w:t xml:space="preserve"> </w:t>
        </w:r>
        <w:r>
          <w:rPr>
            <w:rStyle w:val="Hyperlink"/>
          </w:rPr>
          <w:t xml:space="preserve">India</w:t>
        </w:r>
      </w:hyperlink>
      <w:r>
        <w:t xml:space="preserve">.</w:t>
      </w:r>
      <w:r>
        <w:t xml:space="preserve"> </w:t>
      </w:r>
      <w:r>
        <w:rPr>
          <w:iCs/>
          <w:i/>
        </w:rPr>
        <w:t xml:space="preserve">The Science of the Total Environment</w:t>
      </w:r>
      <w:r>
        <w:t xml:space="preserve"> </w:t>
      </w:r>
      <w:r>
        <w:t xml:space="preserve">2015;</w:t>
      </w:r>
      <w:r>
        <w:t xml:space="preserve"> </w:t>
      </w:r>
      <w:r>
        <w:rPr>
          <w:bCs/>
          <w:b/>
        </w:rPr>
        <w:t xml:space="preserve">502</w:t>
      </w:r>
      <w:r>
        <w:t xml:space="preserve">: 462–70.</w:t>
      </w:r>
    </w:p>
    <w:bookmarkEnd w:id="126"/>
    <w:bookmarkStart w:id="128" w:name="ref-holcombHumanFecalContamination2020"/>
    <w:p>
      <w:pPr>
        <w:pStyle w:val="Bibliography"/>
      </w:pPr>
      <w:r>
        <w:t xml:space="preserve">48</w:t>
      </w:r>
      <w:r>
        <w:t xml:space="preserve"> </w:t>
      </w:r>
      <w:r>
        <w:t xml:space="preserve">	</w:t>
      </w:r>
      <w:r>
        <w:t xml:space="preserve">Holcomb DA, Knee J, Sumner T,</w:t>
      </w:r>
      <w:r>
        <w:t xml:space="preserve"> </w:t>
      </w:r>
      <w:r>
        <w:rPr>
          <w:iCs/>
          <w:i/>
        </w:rPr>
        <w:t xml:space="preserve">et al.</w:t>
      </w:r>
      <w:r>
        <w:t xml:space="preserve"> </w:t>
      </w:r>
      <w:hyperlink r:id="rId127">
        <w:r>
          <w:rPr>
            <w:rStyle w:val="Hyperlink"/>
          </w:rPr>
          <w:t xml:space="preserve">Human fecal contamination of water, soil, and surfaces in households sharing poor-quality sanitation facilities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hyperlink>
      <w:r>
        <w:t xml:space="preserve">.</w:t>
      </w:r>
      <w:r>
        <w:t xml:space="preserve"> </w:t>
      </w:r>
      <w:r>
        <w:rPr>
          <w:iCs/>
          <w:i/>
        </w:rPr>
        <w:t xml:space="preserve">International Journal of Hygiene and Environmental Health</w:t>
      </w:r>
      <w:r>
        <w:t xml:space="preserve"> </w:t>
      </w:r>
      <w:r>
        <w:t xml:space="preserve">2020;</w:t>
      </w:r>
      <w:r>
        <w:t xml:space="preserve"> </w:t>
      </w:r>
      <w:r>
        <w:rPr>
          <w:bCs/>
          <w:b/>
        </w:rPr>
        <w:t xml:space="preserve">226</w:t>
      </w:r>
      <w:r>
        <w:t xml:space="preserve">: 113496.</w:t>
      </w:r>
    </w:p>
    <w:bookmarkEnd w:id="128"/>
    <w:bookmarkStart w:id="130" w:name="X68f4979cb9354f36269d5b8bd65ef82bf51876f"/>
    <w:p>
      <w:pPr>
        <w:pStyle w:val="Bibliography"/>
      </w:pPr>
      <w:r>
        <w:t xml:space="preserve">49</w:t>
      </w:r>
      <w:r>
        <w:t xml:space="preserve"> </w:t>
      </w:r>
      <w:r>
        <w:t xml:space="preserve">	</w:t>
      </w:r>
      <w:r>
        <w:t xml:space="preserve">Griffith JF, Weisberg SB, Arnold BF, Cao Y, Schiff KC, Colford JM.</w:t>
      </w:r>
      <w:r>
        <w:t xml:space="preserve"> </w:t>
      </w:r>
      <w:hyperlink r:id="rId129">
        <w:r>
          <w:rPr>
            <w:rStyle w:val="Hyperlink"/>
          </w:rPr>
          <w:t xml:space="preserve">Epidemiologic evaluation of multiple alternate microbial water quality monitoring indicators at three</w:t>
        </w:r>
        <w:r>
          <w:rPr>
            <w:rStyle w:val="Hyperlink"/>
          </w:rPr>
          <w:t xml:space="preserve"> </w:t>
        </w:r>
        <w:r>
          <w:rPr>
            <w:rStyle w:val="Hyperlink"/>
          </w:rPr>
          <w:t xml:space="preserve">California</w:t>
        </w:r>
        <w:r>
          <w:rPr>
            <w:rStyle w:val="Hyperlink"/>
          </w:rPr>
          <w:t xml:space="preserve"> </w:t>
        </w:r>
        <w:r>
          <w:rPr>
            <w:rStyle w:val="Hyperlink"/>
          </w:rPr>
          <w:t xml:space="preserve">beaches</w:t>
        </w:r>
      </w:hyperlink>
      <w:r>
        <w:t xml:space="preserve">.</w:t>
      </w:r>
      <w:r>
        <w:t xml:space="preserve"> </w:t>
      </w:r>
      <w:r>
        <w:rPr>
          <w:iCs/>
          <w:i/>
        </w:rPr>
        <w:t xml:space="preserve">Water Research</w:t>
      </w:r>
      <w:r>
        <w:t xml:space="preserve"> </w:t>
      </w:r>
      <w:r>
        <w:t xml:space="preserve">2016;</w:t>
      </w:r>
      <w:r>
        <w:t xml:space="preserve"> </w:t>
      </w:r>
      <w:r>
        <w:rPr>
          <w:bCs/>
          <w:b/>
        </w:rPr>
        <w:t xml:space="preserve">94</w:t>
      </w:r>
      <w:r>
        <w:t xml:space="preserve">: 371–81.</w:t>
      </w:r>
    </w:p>
    <w:bookmarkEnd w:id="130"/>
    <w:bookmarkStart w:id="132" w:name="X3ba82e295fb5e7aa742c64bd8d9a3e519bd4195"/>
    <w:p>
      <w:pPr>
        <w:pStyle w:val="Bibliography"/>
      </w:pPr>
      <w:r>
        <w:t xml:space="preserve">50</w:t>
      </w:r>
      <w:r>
        <w:t xml:space="preserve"> </w:t>
      </w:r>
      <w:r>
        <w:t xml:space="preserve">	</w:t>
      </w:r>
      <w:r>
        <w:t xml:space="preserve">Ercumen A, Prottas C, Harris A, Dioguardi A, Dowd G, Guiteras R.</w:t>
      </w:r>
      <w:r>
        <w:t xml:space="preserve"> </w:t>
      </w:r>
      <w:hyperlink r:id="rId131">
        <w:r>
          <w:rPr>
            <w:rStyle w:val="Hyperlink"/>
          </w:rPr>
          <w:t xml:space="preserve">Poultry</w:t>
        </w:r>
        <w:r>
          <w:rPr>
            <w:rStyle w:val="Hyperlink"/>
          </w:rPr>
          <w:t xml:space="preserve"> </w:t>
        </w:r>
        <w:r>
          <w:rPr>
            <w:rStyle w:val="Hyperlink"/>
          </w:rPr>
          <w:t xml:space="preserve">Ownership Associated</w:t>
        </w:r>
        <w:r>
          <w:rPr>
            <w:rStyle w:val="Hyperlink"/>
          </w:rPr>
          <w:t xml:space="preserve"> </w:t>
        </w:r>
        <w:r>
          <w:rPr>
            <w:rStyle w:val="Hyperlink"/>
          </w:rPr>
          <w:t xml:space="preserve">with</w:t>
        </w:r>
        <w:r>
          <w:rPr>
            <w:rStyle w:val="Hyperlink"/>
          </w:rPr>
          <w:t xml:space="preserve"> </w:t>
        </w:r>
        <w:r>
          <w:rPr>
            <w:rStyle w:val="Hyperlink"/>
          </w:rPr>
          <w:t xml:space="preserve">Increased Risk</w:t>
        </w:r>
        <w:r>
          <w:rPr>
            <w:rStyle w:val="Hyperlink"/>
          </w:rPr>
          <w:t xml:space="preserve"> </w:t>
        </w:r>
        <w:r>
          <w:rPr>
            <w:rStyle w:val="Hyperlink"/>
          </w:rPr>
          <w:t xml:space="preserve">of</w:t>
        </w:r>
        <w:r>
          <w:rPr>
            <w:rStyle w:val="Hyperlink"/>
          </w:rPr>
          <w:t xml:space="preserve"> </w:t>
        </w:r>
        <w:r>
          <w:rPr>
            <w:rStyle w:val="Hyperlink"/>
          </w:rPr>
          <w:t xml:space="preserve">Child Diarrhea</w:t>
        </w:r>
        <w:r>
          <w:rPr>
            <w:rStyle w:val="Hyperlink"/>
          </w:rPr>
          <w:t xml:space="preserve">:</w:t>
        </w:r>
        <w:r>
          <w:rPr>
            <w:rStyle w:val="Hyperlink"/>
          </w:rPr>
          <w:t xml:space="preserve"> </w:t>
        </w:r>
        <w:r>
          <w:rPr>
            <w:rStyle w:val="Hyperlink"/>
          </w:rPr>
          <w:t xml:space="preserve">Cross-Sectional Evidence</w:t>
        </w:r>
        <w:r>
          <w:rPr>
            <w:rStyle w:val="Hyperlink"/>
          </w:rPr>
          <w:t xml:space="preserve"> </w:t>
        </w:r>
        <w:r>
          <w:rPr>
            <w:rStyle w:val="Hyperlink"/>
          </w:rPr>
          <w:t xml:space="preserve">from</w:t>
        </w:r>
        <w:r>
          <w:rPr>
            <w:rStyle w:val="Hyperlink"/>
          </w:rPr>
          <w:t xml:space="preserve"> </w:t>
        </w:r>
        <w:r>
          <w:rPr>
            <w:rStyle w:val="Hyperlink"/>
          </w:rPr>
          <w:t xml:space="preserve">Uganda</w:t>
        </w:r>
      </w:hyperlink>
      <w:r>
        <w:t xml:space="preserve">.</w:t>
      </w:r>
      <w:r>
        <w:t xml:space="preserve"> </w:t>
      </w:r>
      <w:r>
        <w:rPr>
          <w:iCs/>
          <w:i/>
        </w:rPr>
        <w:t xml:space="preserve">The American Journal of Tropical Medicine and Hygiene</w:t>
      </w:r>
      <w:r>
        <w:t xml:space="preserve"> </w:t>
      </w:r>
      <w:r>
        <w:t xml:space="preserve">2020;</w:t>
      </w:r>
      <w:r>
        <w:t xml:space="preserve"> </w:t>
      </w:r>
      <w:r>
        <w:rPr>
          <w:bCs/>
          <w:b/>
        </w:rPr>
        <w:t xml:space="preserve">102</w:t>
      </w:r>
      <w:r>
        <w:t xml:space="preserve">: 526–33.</w:t>
      </w:r>
    </w:p>
    <w:bookmarkEnd w:id="132"/>
    <w:bookmarkStart w:id="134" w:name="ref-georgeChildMouthingFeces2021"/>
    <w:p>
      <w:pPr>
        <w:pStyle w:val="Bibliography"/>
      </w:pPr>
      <w:r>
        <w:t xml:space="preserve">51</w:t>
      </w:r>
      <w:r>
        <w:t xml:space="preserve"> </w:t>
      </w:r>
      <w:r>
        <w:t xml:space="preserve">	</w:t>
      </w:r>
      <w:r>
        <w:t xml:space="preserve">George CM, Cirhuza LB, Kuhl J,</w:t>
      </w:r>
      <w:r>
        <w:t xml:space="preserve"> </w:t>
      </w:r>
      <w:r>
        <w:rPr>
          <w:iCs/>
          <w:i/>
        </w:rPr>
        <w:t xml:space="preserve">et al.</w:t>
      </w:r>
      <w:r>
        <w:t xml:space="preserve"> </w:t>
      </w:r>
      <w:hyperlink r:id="rId133">
        <w:r>
          <w:rPr>
            <w:rStyle w:val="Hyperlink"/>
          </w:rPr>
          <w:t xml:space="preserve">Child Mouthing of Feces and Fomites and Animal Contact are Associated with Diarrhea and Impaired Growth Among Young Children in the Democratic Republic of the Congo: A Prospective Cohort Study (REDUCE Program)</w:t>
        </w:r>
      </w:hyperlink>
      <w:r>
        <w:t xml:space="preserve">.</w:t>
      </w:r>
      <w:r>
        <w:t xml:space="preserve"> </w:t>
      </w:r>
      <w:r>
        <w:rPr>
          <w:iCs/>
          <w:i/>
        </w:rPr>
        <w:t xml:space="preserve">Journal of Pediatrics</w:t>
      </w:r>
      <w:r>
        <w:t xml:space="preserve"> </w:t>
      </w:r>
      <w:r>
        <w:t xml:space="preserve">2021;</w:t>
      </w:r>
      <w:r>
        <w:t xml:space="preserve"> </w:t>
      </w:r>
      <w:r>
        <w:rPr>
          <w:bCs/>
          <w:b/>
        </w:rPr>
        <w:t xml:space="preserve">228</w:t>
      </w:r>
      <w:r>
        <w:t xml:space="preserve">: 110–116.e1.</w:t>
      </w:r>
    </w:p>
    <w:bookmarkEnd w:id="134"/>
    <w:bookmarkStart w:id="136" w:name="ref-georgeFecalMarkersEnvironmental2015"/>
    <w:p>
      <w:pPr>
        <w:pStyle w:val="Bibliography"/>
      </w:pPr>
      <w:r>
        <w:t xml:space="preserve">52</w:t>
      </w:r>
      <w:r>
        <w:t xml:space="preserve"> </w:t>
      </w:r>
      <w:r>
        <w:t xml:space="preserve">	</w:t>
      </w:r>
      <w:r>
        <w:t xml:space="preserve">George CM, Oldja L, Biswas SK,</w:t>
      </w:r>
      <w:r>
        <w:t xml:space="preserve"> </w:t>
      </w:r>
      <w:r>
        <w:rPr>
          <w:iCs/>
          <w:i/>
        </w:rPr>
        <w:t xml:space="preserve">et al.</w:t>
      </w:r>
      <w:r>
        <w:t xml:space="preserve"> </w:t>
      </w:r>
      <w:hyperlink r:id="rId135">
        <w:r>
          <w:rPr>
            <w:rStyle w:val="Hyperlink"/>
          </w:rPr>
          <w:t xml:space="preserve">Fecal</w:t>
        </w:r>
        <w:r>
          <w:rPr>
            <w:rStyle w:val="Hyperlink"/>
          </w:rPr>
          <w:t xml:space="preserve"> </w:t>
        </w:r>
        <w:r>
          <w:rPr>
            <w:rStyle w:val="Hyperlink"/>
          </w:rPr>
          <w:t xml:space="preserve">Markers</w:t>
        </w:r>
        <w:r>
          <w:rPr>
            <w:rStyle w:val="Hyperlink"/>
          </w:rPr>
          <w:t xml:space="preserve"> </w:t>
        </w:r>
        <w:r>
          <w:rPr>
            <w:rStyle w:val="Hyperlink"/>
          </w:rPr>
          <w:t xml:space="preserve">of</w:t>
        </w:r>
        <w:r>
          <w:rPr>
            <w:rStyle w:val="Hyperlink"/>
          </w:rPr>
          <w:t xml:space="preserve"> </w:t>
        </w:r>
        <w:r>
          <w:rPr>
            <w:rStyle w:val="Hyperlink"/>
          </w:rPr>
          <w:t xml:space="preserve">Environmental Enteropathy</w:t>
        </w:r>
        <w:r>
          <w:rPr>
            <w:rStyle w:val="Hyperlink"/>
          </w:rPr>
          <w:t xml:space="preserve"> </w:t>
        </w:r>
        <w:r>
          <w:rPr>
            <w:rStyle w:val="Hyperlink"/>
          </w:rPr>
          <w:t xml:space="preserve">are</w:t>
        </w:r>
        <w:r>
          <w:rPr>
            <w:rStyle w:val="Hyperlink"/>
          </w:rPr>
          <w:t xml:space="preserve"> </w:t>
        </w:r>
        <w:r>
          <w:rPr>
            <w:rStyle w:val="Hyperlink"/>
          </w:rPr>
          <w:t xml:space="preserve">Associated</w:t>
        </w:r>
        <w:r>
          <w:rPr>
            <w:rStyle w:val="Hyperlink"/>
          </w:rPr>
          <w:t xml:space="preserve"> </w:t>
        </w:r>
        <w:r>
          <w:rPr>
            <w:rStyle w:val="Hyperlink"/>
          </w:rPr>
          <w:t xml:space="preserve">with</w:t>
        </w:r>
        <w:r>
          <w:rPr>
            <w:rStyle w:val="Hyperlink"/>
          </w:rPr>
          <w:t xml:space="preserve"> </w:t>
        </w:r>
        <w:r>
          <w:rPr>
            <w:rStyle w:val="Hyperlink"/>
          </w:rPr>
          <w:t xml:space="preserve">Animal Exposure</w:t>
        </w:r>
        <w:r>
          <w:rPr>
            <w:rStyle w:val="Hyperlink"/>
          </w:rPr>
          <w:t xml:space="preserve"> </w:t>
        </w:r>
        <w:r>
          <w:rPr>
            <w:rStyle w:val="Hyperlink"/>
          </w:rPr>
          <w:t xml:space="preserve">and</w:t>
        </w:r>
        <w:r>
          <w:rPr>
            <w:rStyle w:val="Hyperlink"/>
          </w:rPr>
          <w:t xml:space="preserve"> </w:t>
        </w:r>
        <w:r>
          <w:rPr>
            <w:rStyle w:val="Hyperlink"/>
          </w:rPr>
          <w:t xml:space="preserve">Caregiver Hygiene</w:t>
        </w:r>
        <w:r>
          <w:rPr>
            <w:rStyle w:val="Hyperlink"/>
          </w:rPr>
          <w:t xml:space="preserve"> </w:t>
        </w:r>
        <w:r>
          <w:rPr>
            <w:rStyle w:val="Hyperlink"/>
          </w:rPr>
          <w:t xml:space="preserve">in</w:t>
        </w:r>
        <w:r>
          <w:rPr>
            <w:rStyle w:val="Hyperlink"/>
          </w:rPr>
          <w:t xml:space="preserve"> </w:t>
        </w:r>
        <w:r>
          <w:rPr>
            <w:rStyle w:val="Hyperlink"/>
          </w:rPr>
          <w:t xml:space="preserve">Bangladesh</w:t>
        </w:r>
      </w:hyperlink>
      <w:r>
        <w:t xml:space="preserve">.</w:t>
      </w:r>
      <w:r>
        <w:t xml:space="preserve"> </w:t>
      </w:r>
      <w:r>
        <w:rPr>
          <w:iCs/>
          <w:i/>
        </w:rPr>
        <w:t xml:space="preserve">The American Journal of Tropical Medicine and Hygiene</w:t>
      </w:r>
      <w:r>
        <w:t xml:space="preserve"> </w:t>
      </w:r>
      <w:r>
        <w:t xml:space="preserve">2015;</w:t>
      </w:r>
      <w:r>
        <w:t xml:space="preserve"> </w:t>
      </w:r>
      <w:r>
        <w:rPr>
          <w:bCs/>
          <w:b/>
        </w:rPr>
        <w:t xml:space="preserve">93</w:t>
      </w:r>
      <w:r>
        <w:t xml:space="preserve">: 269–75.</w:t>
      </w:r>
    </w:p>
    <w:bookmarkEnd w:id="136"/>
    <w:bookmarkStart w:id="138" w:name="ref-zambranoHumanDiarrheaInfections2014"/>
    <w:p>
      <w:pPr>
        <w:pStyle w:val="Bibliography"/>
      </w:pPr>
      <w:r>
        <w:t xml:space="preserve">53</w:t>
      </w:r>
      <w:r>
        <w:t xml:space="preserve"> </w:t>
      </w:r>
      <w:r>
        <w:t xml:space="preserve">	</w:t>
      </w:r>
      <w:r>
        <w:t xml:space="preserve">Zambrano LD, Levy K, Menezes NP, Freeman MC.</w:t>
      </w:r>
      <w:r>
        <w:t xml:space="preserve"> </w:t>
      </w:r>
      <w:hyperlink r:id="rId137">
        <w:r>
          <w:rPr>
            <w:rStyle w:val="Hyperlink"/>
          </w:rPr>
          <w:t xml:space="preserve">Human diarrhea infections associated with domestic animal husbandry: A systematic review and meta-analysis</w:t>
        </w:r>
      </w:hyperlink>
      <w:r>
        <w:t xml:space="preserve">.</w:t>
      </w:r>
      <w:r>
        <w:t xml:space="preserve"> </w:t>
      </w:r>
      <w:r>
        <w:rPr>
          <w:iCs/>
          <w:i/>
        </w:rPr>
        <w:t xml:space="preserve">Transactions of the Royal Society of Tropical Medicine and Hygiene</w:t>
      </w:r>
      <w:r>
        <w:t xml:space="preserve"> </w:t>
      </w:r>
      <w:r>
        <w:t xml:space="preserve">2014;</w:t>
      </w:r>
      <w:r>
        <w:t xml:space="preserve"> </w:t>
      </w:r>
      <w:r>
        <w:rPr>
          <w:bCs/>
          <w:b/>
        </w:rPr>
        <w:t xml:space="preserve">108</w:t>
      </w:r>
      <w:r>
        <w:t xml:space="preserve">: 313–25.</w:t>
      </w:r>
    </w:p>
    <w:bookmarkEnd w:id="138"/>
    <w:bookmarkStart w:id="140" w:name="X27e5f587e6c80eb31b3abd285447339a3880fde"/>
    <w:p>
      <w:pPr>
        <w:pStyle w:val="Bibliography"/>
      </w:pPr>
      <w:r>
        <w:t xml:space="preserve">54</w:t>
      </w:r>
      <w:r>
        <w:t xml:space="preserve"> </w:t>
      </w:r>
      <w:r>
        <w:t xml:space="preserve">	</w:t>
      </w:r>
      <w:r>
        <w:t xml:space="preserve">Grados O, Bravo N, Black RE, Butzler JP.</w:t>
      </w:r>
      <w:r>
        <w:t xml:space="preserve"> </w:t>
      </w:r>
      <w:hyperlink r:id="rId139">
        <w:r>
          <w:rPr>
            <w:rStyle w:val="Hyperlink"/>
          </w:rPr>
          <w:t xml:space="preserve">Paediatric campylobacter diarrhoea from household exposure to live chickens in</w:t>
        </w:r>
        <w:r>
          <w:rPr>
            <w:rStyle w:val="Hyperlink"/>
          </w:rPr>
          <w:t xml:space="preserve"> </w:t>
        </w:r>
        <w:r>
          <w:rPr>
            <w:rStyle w:val="Hyperlink"/>
          </w:rPr>
          <w:t xml:space="preserve">Lima</w:t>
        </w:r>
        <w:r>
          <w:rPr>
            <w:rStyle w:val="Hyperlink"/>
          </w:rPr>
          <w:t xml:space="preserve">,</w:t>
        </w:r>
        <w:r>
          <w:rPr>
            <w:rStyle w:val="Hyperlink"/>
          </w:rPr>
          <w:t xml:space="preserve"> </w:t>
        </w:r>
        <w:r>
          <w:rPr>
            <w:rStyle w:val="Hyperlink"/>
          </w:rPr>
          <w:t xml:space="preserve">Peru</w:t>
        </w:r>
      </w:hyperlink>
      <w:r>
        <w:t xml:space="preserve">.</w:t>
      </w:r>
      <w:r>
        <w:t xml:space="preserve"> </w:t>
      </w:r>
      <w:r>
        <w:rPr>
          <w:iCs/>
          <w:i/>
        </w:rPr>
        <w:t xml:space="preserve">Bulletin of the World Health Organization</w:t>
      </w:r>
      <w:r>
        <w:t xml:space="preserve"> </w:t>
      </w:r>
      <w:r>
        <w:t xml:space="preserve">1988;</w:t>
      </w:r>
      <w:r>
        <w:t xml:space="preserve"> </w:t>
      </w:r>
      <w:r>
        <w:rPr>
          <w:bCs/>
          <w:b/>
        </w:rPr>
        <w:t xml:space="preserve">66</w:t>
      </w:r>
      <w:r>
        <w:t xml:space="preserve">: 369–74.</w:t>
      </w:r>
    </w:p>
    <w:bookmarkEnd w:id="140"/>
    <w:bookmarkStart w:id="142" w:name="X6237623ded5ffd56f795a728338205e5c74de4e"/>
    <w:p>
      <w:pPr>
        <w:pStyle w:val="Bibliography"/>
      </w:pPr>
      <w:r>
        <w:t xml:space="preserve">55</w:t>
      </w:r>
      <w:r>
        <w:t xml:space="preserve"> </w:t>
      </w:r>
      <w:r>
        <w:t xml:space="preserve">	</w:t>
      </w:r>
      <w:r>
        <w:t xml:space="preserve">Haque MA, Platts-Mills JA, Mduma E,</w:t>
      </w:r>
      <w:r>
        <w:t xml:space="preserve"> </w:t>
      </w:r>
      <w:r>
        <w:rPr>
          <w:iCs/>
          <w:i/>
        </w:rPr>
        <w:t xml:space="preserve">et al.</w:t>
      </w:r>
      <w:r>
        <w:t xml:space="preserve"> </w:t>
      </w:r>
      <w:hyperlink r:id="rId141">
        <w:r>
          <w:rPr>
            <w:rStyle w:val="Hyperlink"/>
          </w:rPr>
          <w:t xml:space="preserve">Determinants of</w:t>
        </w:r>
        <w:r>
          <w:rPr>
            <w:rStyle w:val="Hyperlink"/>
          </w:rPr>
          <w:t xml:space="preserve"> </w:t>
        </w:r>
        <w:r>
          <w:rPr>
            <w:rStyle w:val="Hyperlink"/>
          </w:rPr>
          <w:t xml:space="preserve">Campylobacter</w:t>
        </w:r>
        <w:r>
          <w:rPr>
            <w:rStyle w:val="Hyperlink"/>
          </w:rPr>
          <w:t xml:space="preserve"> </w:t>
        </w:r>
        <w:r>
          <w:rPr>
            <w:rStyle w:val="Hyperlink"/>
          </w:rPr>
          <w:t xml:space="preserve">infection and association with growth and enteric inflammation in children under 2 years of age in low-resource settings</w:t>
        </w:r>
      </w:hyperlink>
      <w:r>
        <w:t xml:space="preserve">.</w:t>
      </w:r>
      <w:r>
        <w:t xml:space="preserve"> </w:t>
      </w:r>
      <w:r>
        <w:rPr>
          <w:iCs/>
          <w:i/>
        </w:rPr>
        <w:t xml:space="preserve">Scientific Reports</w:t>
      </w:r>
      <w:r>
        <w:t xml:space="preserve"> </w:t>
      </w:r>
      <w:r>
        <w:t xml:space="preserve">2019;</w:t>
      </w:r>
      <w:r>
        <w:t xml:space="preserve"> </w:t>
      </w:r>
      <w:r>
        <w:rPr>
          <w:bCs/>
          <w:b/>
        </w:rPr>
        <w:t xml:space="preserve">9</w:t>
      </w:r>
      <w:r>
        <w:t xml:space="preserve">: 17124.</w:t>
      </w:r>
    </w:p>
    <w:bookmarkEnd w:id="142"/>
    <w:bookmarkStart w:id="144" w:name="ref-headeyExposurePoultryHarmful2016"/>
    <w:p>
      <w:pPr>
        <w:pStyle w:val="Bibliography"/>
      </w:pPr>
      <w:r>
        <w:t xml:space="preserve">56</w:t>
      </w:r>
      <w:r>
        <w:t xml:space="preserve"> </w:t>
      </w:r>
      <w:r>
        <w:t xml:space="preserve">	</w:t>
      </w:r>
      <w:r>
        <w:t xml:space="preserve">Headey D, Hirvonen K.</w:t>
      </w:r>
      <w:r>
        <w:t xml:space="preserve"> </w:t>
      </w:r>
      <w:hyperlink r:id="rId143">
        <w:r>
          <w:rPr>
            <w:rStyle w:val="Hyperlink"/>
          </w:rPr>
          <w:t xml:space="preserve">Is</w:t>
        </w:r>
        <w:r>
          <w:rPr>
            <w:rStyle w:val="Hyperlink"/>
          </w:rPr>
          <w:t xml:space="preserve"> </w:t>
        </w:r>
        <w:r>
          <w:rPr>
            <w:rStyle w:val="Hyperlink"/>
          </w:rPr>
          <w:t xml:space="preserve">Exposure</w:t>
        </w:r>
        <w:r>
          <w:rPr>
            <w:rStyle w:val="Hyperlink"/>
          </w:rPr>
          <w:t xml:space="preserve"> </w:t>
        </w:r>
        <w:r>
          <w:rPr>
            <w:rStyle w:val="Hyperlink"/>
          </w:rPr>
          <w:t xml:space="preserve">to</w:t>
        </w:r>
        <w:r>
          <w:rPr>
            <w:rStyle w:val="Hyperlink"/>
          </w:rPr>
          <w:t xml:space="preserve"> </w:t>
        </w:r>
        <w:r>
          <w:rPr>
            <w:rStyle w:val="Hyperlink"/>
          </w:rPr>
          <w:t xml:space="preserve">Poultry Harmful</w:t>
        </w:r>
        <w:r>
          <w:rPr>
            <w:rStyle w:val="Hyperlink"/>
          </w:rPr>
          <w:t xml:space="preserve"> </w:t>
        </w:r>
        <w:r>
          <w:rPr>
            <w:rStyle w:val="Hyperlink"/>
          </w:rPr>
          <w:t xml:space="preserve">to</w:t>
        </w:r>
        <w:r>
          <w:rPr>
            <w:rStyle w:val="Hyperlink"/>
          </w:rPr>
          <w:t xml:space="preserve"> </w:t>
        </w:r>
        <w:r>
          <w:rPr>
            <w:rStyle w:val="Hyperlink"/>
          </w:rPr>
          <w:t xml:space="preserve">Child Nutrition</w:t>
        </w:r>
        <w:r>
          <w:rPr>
            <w:rStyle w:val="Hyperlink"/>
          </w:rPr>
          <w:t xml:space="preserve">?</w:t>
        </w:r>
        <w:r>
          <w:rPr>
            <w:rStyle w:val="Hyperlink"/>
          </w:rPr>
          <w:t xml:space="preserve"> </w:t>
        </w:r>
        <w:r>
          <w:rPr>
            <w:rStyle w:val="Hyperlink"/>
          </w:rPr>
          <w:t xml:space="preserve">An Observational Analysis</w:t>
        </w:r>
        <w:r>
          <w:rPr>
            <w:rStyle w:val="Hyperlink"/>
          </w:rPr>
          <w:t xml:space="preserve"> </w:t>
        </w:r>
        <w:r>
          <w:rPr>
            <w:rStyle w:val="Hyperlink"/>
          </w:rPr>
          <w:t xml:space="preserve">for</w:t>
        </w:r>
        <w:r>
          <w:rPr>
            <w:rStyle w:val="Hyperlink"/>
          </w:rPr>
          <w:t xml:space="preserve"> </w:t>
        </w:r>
        <w:r>
          <w:rPr>
            <w:rStyle w:val="Hyperlink"/>
          </w:rPr>
          <w:t xml:space="preserve">Rural Ethiopia</w:t>
        </w:r>
      </w:hyperlink>
      <w:r>
        <w:t xml:space="preserve">.</w:t>
      </w:r>
      <w:r>
        <w:t xml:space="preserve"> </w:t>
      </w:r>
      <w:r>
        <w:rPr>
          <w:iCs/>
          <w:i/>
        </w:rPr>
        <w:t xml:space="preserve">PLOS ONE</w:t>
      </w:r>
      <w:r>
        <w:t xml:space="preserve"> </w:t>
      </w:r>
      <w:r>
        <w:t xml:space="preserve">2016;</w:t>
      </w:r>
      <w:r>
        <w:t xml:space="preserve"> </w:t>
      </w:r>
      <w:r>
        <w:rPr>
          <w:bCs/>
          <w:b/>
        </w:rPr>
        <w:t xml:space="preserve">11</w:t>
      </w:r>
      <w:r>
        <w:t xml:space="preserve">: e0160590.</w:t>
      </w:r>
    </w:p>
    <w:bookmarkEnd w:id="144"/>
    <w:bookmarkStart w:id="146" w:name="ref-odagiriHumanFecalPathogen2016"/>
    <w:p>
      <w:pPr>
        <w:pStyle w:val="Bibliography"/>
      </w:pPr>
      <w:r>
        <w:t xml:space="preserve">57</w:t>
      </w:r>
      <w:r>
        <w:t xml:space="preserve"> </w:t>
      </w:r>
      <w:r>
        <w:t xml:space="preserve">	</w:t>
      </w:r>
      <w:r>
        <w:t xml:space="preserve">Odagiri M, Schriewer A, Daniels ME,</w:t>
      </w:r>
      <w:r>
        <w:t xml:space="preserve"> </w:t>
      </w:r>
      <w:r>
        <w:rPr>
          <w:iCs/>
          <w:i/>
        </w:rPr>
        <w:t xml:space="preserve">et al.</w:t>
      </w:r>
      <w:r>
        <w:t xml:space="preserve"> </w:t>
      </w:r>
      <w:hyperlink r:id="rId145">
        <w:r>
          <w:rPr>
            <w:rStyle w:val="Hyperlink"/>
          </w:rPr>
          <w:t xml:space="preserve">Human fecal and pathogen exposure pathways in rural</w:t>
        </w:r>
        <w:r>
          <w:rPr>
            <w:rStyle w:val="Hyperlink"/>
          </w:rPr>
          <w:t xml:space="preserve"> </w:t>
        </w:r>
        <w:r>
          <w:rPr>
            <w:rStyle w:val="Hyperlink"/>
          </w:rPr>
          <w:t xml:space="preserve">Indian</w:t>
        </w:r>
        <w:r>
          <w:rPr>
            <w:rStyle w:val="Hyperlink"/>
          </w:rPr>
          <w:t xml:space="preserve"> </w:t>
        </w:r>
        <w:r>
          <w:rPr>
            <w:rStyle w:val="Hyperlink"/>
          </w:rPr>
          <w:t xml:space="preserve">villages and the effect of increased latrine coverage</w:t>
        </w:r>
      </w:hyperlink>
      <w:r>
        <w:t xml:space="preserve">.</w:t>
      </w:r>
      <w:r>
        <w:t xml:space="preserve"> </w:t>
      </w:r>
      <w:r>
        <w:rPr>
          <w:iCs/>
          <w:i/>
        </w:rPr>
        <w:t xml:space="preserve">Water Research</w:t>
      </w:r>
      <w:r>
        <w:t xml:space="preserve"> </w:t>
      </w:r>
      <w:r>
        <w:t xml:space="preserve">2016;</w:t>
      </w:r>
      <w:r>
        <w:t xml:space="preserve"> </w:t>
      </w:r>
      <w:r>
        <w:rPr>
          <w:bCs/>
          <w:b/>
        </w:rPr>
        <w:t xml:space="preserve">100</w:t>
      </w:r>
      <w:r>
        <w:t xml:space="preserve">: 232–44.</w:t>
      </w:r>
    </w:p>
    <w:bookmarkEnd w:id="146"/>
    <w:bookmarkStart w:id="148" w:name="X57fb6a9a0467e0563a528599200f7c49a1040ef"/>
    <w:p>
      <w:pPr>
        <w:pStyle w:val="Bibliography"/>
      </w:pPr>
      <w:r>
        <w:t xml:space="preserve">58</w:t>
      </w:r>
      <w:r>
        <w:t xml:space="preserve"> </w:t>
      </w:r>
      <w:r>
        <w:t xml:space="preserve">	</w:t>
      </w:r>
      <w:r>
        <w:t xml:space="preserve">Hodge J, Chang HH, Boisson S, Collin SM, Peletz R, Clasen T.</w:t>
      </w:r>
      <w:r>
        <w:t xml:space="preserve"> </w:t>
      </w:r>
      <w:hyperlink r:id="rId147">
        <w:r>
          <w:rPr>
            <w:rStyle w:val="Hyperlink"/>
          </w:rPr>
          <w:t xml:space="preserve">Assessing the</w:t>
        </w:r>
        <w:r>
          <w:rPr>
            <w:rStyle w:val="Hyperlink"/>
          </w:rPr>
          <w:t xml:space="preserve"> </w:t>
        </w:r>
        <w:r>
          <w:rPr>
            <w:rStyle w:val="Hyperlink"/>
          </w:rPr>
          <w:t xml:space="preserve">Association</w:t>
        </w:r>
        <w:r>
          <w:rPr>
            <w:rStyle w:val="Hyperlink"/>
          </w:rPr>
          <w:t xml:space="preserve"> </w:t>
        </w:r>
        <w:r>
          <w:rPr>
            <w:rStyle w:val="Hyperlink"/>
          </w:rPr>
          <w:t xml:space="preserve">between</w:t>
        </w:r>
        <w:r>
          <w:rPr>
            <w:rStyle w:val="Hyperlink"/>
          </w:rPr>
          <w:t xml:space="preserve"> </w:t>
        </w:r>
        <w:r>
          <w:rPr>
            <w:rStyle w:val="Hyperlink"/>
          </w:rPr>
          <w:t xml:space="preserve">Thermotolerant Coliforms</w:t>
        </w:r>
        <w:r>
          <w:rPr>
            <w:rStyle w:val="Hyperlink"/>
          </w:rPr>
          <w:t xml:space="preserve"> </w:t>
        </w:r>
        <w:r>
          <w:rPr>
            <w:rStyle w:val="Hyperlink"/>
          </w:rPr>
          <w:t xml:space="preserve">in</w:t>
        </w:r>
        <w:r>
          <w:rPr>
            <w:rStyle w:val="Hyperlink"/>
          </w:rPr>
          <w:t xml:space="preserve"> </w:t>
        </w:r>
        <w:r>
          <w:rPr>
            <w:rStyle w:val="Hyperlink"/>
          </w:rPr>
          <w:t xml:space="preserve">Drinking Water</w:t>
        </w:r>
        <w:r>
          <w:rPr>
            <w:rStyle w:val="Hyperlink"/>
          </w:rPr>
          <w:t xml:space="preserve"> </w:t>
        </w:r>
        <w:r>
          <w:rPr>
            <w:rStyle w:val="Hyperlink"/>
          </w:rPr>
          <w:t xml:space="preserve">and</w:t>
        </w:r>
        <w:r>
          <w:rPr>
            <w:rStyle w:val="Hyperlink"/>
          </w:rPr>
          <w:t xml:space="preserve"> </w:t>
        </w:r>
        <w:r>
          <w:rPr>
            <w:rStyle w:val="Hyperlink"/>
          </w:rPr>
          <w:t xml:space="preserve">Diarrhea</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w:t>
        </w:r>
        <w:r>
          <w:rPr>
            <w:rStyle w:val="Hyperlink"/>
          </w:rPr>
          <w:t xml:space="preserve"> </w:t>
        </w:r>
        <w:r>
          <w:rPr>
            <w:rStyle w:val="Hyperlink"/>
          </w:rPr>
          <w:t xml:space="preserve">Individual-Level Data</w:t>
        </w:r>
        <w:r>
          <w:rPr>
            <w:rStyle w:val="Hyperlink"/>
          </w:rPr>
          <w:t xml:space="preserve"> </w:t>
        </w:r>
        <w:r>
          <w:rPr>
            <w:rStyle w:val="Hyperlink"/>
          </w:rPr>
          <w:t xml:space="preserve">from</w:t>
        </w:r>
        <w:r>
          <w:rPr>
            <w:rStyle w:val="Hyperlink"/>
          </w:rPr>
          <w:t xml:space="preserve"> </w:t>
        </w:r>
        <w:r>
          <w:rPr>
            <w:rStyle w:val="Hyperlink"/>
          </w:rPr>
          <w:t xml:space="preserve">Multiple Studies</w:t>
        </w:r>
      </w:hyperlink>
      <w:r>
        <w:t xml:space="preserve">.</w:t>
      </w:r>
      <w:r>
        <w:t xml:space="preserve"> </w:t>
      </w:r>
      <w:r>
        <w:rPr>
          <w:iCs/>
          <w:i/>
        </w:rPr>
        <w:t xml:space="preserve">Environmental Health Perspectives</w:t>
      </w:r>
      <w:r>
        <w:t xml:space="preserve"> </w:t>
      </w:r>
      <w:r>
        <w:t xml:space="preserve">2016;</w:t>
      </w:r>
      <w:r>
        <w:t xml:space="preserve"> </w:t>
      </w:r>
      <w:r>
        <w:rPr>
          <w:bCs/>
          <w:b/>
        </w:rPr>
        <w:t xml:space="preserve">124</w:t>
      </w:r>
      <w:r>
        <w:t xml:space="preserve">: 1560–7.</w:t>
      </w:r>
    </w:p>
    <w:bookmarkEnd w:id="148"/>
    <w:bookmarkStart w:id="150" w:name="ref-levyDriversWaterQuality2009"/>
    <w:p>
      <w:pPr>
        <w:pStyle w:val="Bibliography"/>
      </w:pPr>
      <w:r>
        <w:t xml:space="preserve">59</w:t>
      </w:r>
      <w:r>
        <w:t xml:space="preserve"> </w:t>
      </w:r>
      <w:r>
        <w:t xml:space="preserve">	</w:t>
      </w:r>
      <w:r>
        <w:t xml:space="preserve">Levy K, Hubbard AE, Nelson KL, Eisenberg JNS.</w:t>
      </w:r>
      <w:r>
        <w:t xml:space="preserve"> </w:t>
      </w:r>
      <w:hyperlink r:id="rId149">
        <w:r>
          <w:rPr>
            <w:rStyle w:val="Hyperlink"/>
          </w:rPr>
          <w:t xml:space="preserve">Drivers of</w:t>
        </w:r>
        <w:r>
          <w:rPr>
            <w:rStyle w:val="Hyperlink"/>
          </w:rPr>
          <w:t xml:space="preserve"> </w:t>
        </w:r>
        <w:r>
          <w:rPr>
            <w:rStyle w:val="Hyperlink"/>
          </w:rPr>
          <w:t xml:space="preserve">Water Quality Variability</w:t>
        </w:r>
        <w:r>
          <w:rPr>
            <w:rStyle w:val="Hyperlink"/>
          </w:rPr>
          <w:t xml:space="preserve"> </w:t>
        </w:r>
        <w:r>
          <w:rPr>
            <w:rStyle w:val="Hyperlink"/>
          </w:rPr>
          <w:t xml:space="preserve">in</w:t>
        </w:r>
        <w:r>
          <w:rPr>
            <w:rStyle w:val="Hyperlink"/>
          </w:rPr>
          <w:t xml:space="preserve"> </w:t>
        </w:r>
        <w:r>
          <w:rPr>
            <w:rStyle w:val="Hyperlink"/>
          </w:rPr>
          <w:t xml:space="preserve">Northern Coastal Ecuador</w:t>
        </w:r>
      </w:hyperlink>
      <w:r>
        <w:t xml:space="preserve">.</w:t>
      </w:r>
      <w:r>
        <w:t xml:space="preserve"> </w:t>
      </w:r>
      <w:r>
        <w:rPr>
          <w:iCs/>
          <w:i/>
        </w:rPr>
        <w:t xml:space="preserve">Environmental science &amp; technology</w:t>
      </w:r>
      <w:r>
        <w:t xml:space="preserve"> </w:t>
      </w:r>
      <w:r>
        <w:t xml:space="preserve">2009;</w:t>
      </w:r>
      <w:r>
        <w:t xml:space="preserve"> </w:t>
      </w:r>
      <w:r>
        <w:rPr>
          <w:bCs/>
          <w:b/>
        </w:rPr>
        <w:t xml:space="preserve">43</w:t>
      </w:r>
      <w:r>
        <w:t xml:space="preserve">: 1788–97.</w:t>
      </w:r>
    </w:p>
    <w:bookmarkEnd w:id="150"/>
    <w:bookmarkStart w:id="152" w:name="ref-ramVariabilityHandContamination2011"/>
    <w:p>
      <w:pPr>
        <w:pStyle w:val="Bibliography"/>
      </w:pPr>
      <w:r>
        <w:t xml:space="preserve">60</w:t>
      </w:r>
      <w:r>
        <w:t xml:space="preserve"> </w:t>
      </w:r>
      <w:r>
        <w:t xml:space="preserve">	</w:t>
      </w:r>
      <w:r>
        <w:t xml:space="preserve">Ram PK, Jahid I, Halder AK,</w:t>
      </w:r>
      <w:r>
        <w:t xml:space="preserve"> </w:t>
      </w:r>
      <w:r>
        <w:rPr>
          <w:iCs/>
          <w:i/>
        </w:rPr>
        <w:t xml:space="preserve">et al.</w:t>
      </w:r>
      <w:r>
        <w:t xml:space="preserve"> </w:t>
      </w:r>
      <w:hyperlink r:id="rId151">
        <w:r>
          <w:rPr>
            <w:rStyle w:val="Hyperlink"/>
          </w:rPr>
          <w:t xml:space="preserve">Variability in hand contamination based on serial measurements: Implications for assessment of hand-cleansing behavior and disease risk</w:t>
        </w:r>
      </w:hyperlink>
      <w:r>
        <w:t xml:space="preserve">.</w:t>
      </w:r>
      <w:r>
        <w:t xml:space="preserve"> </w:t>
      </w:r>
      <w:r>
        <w:rPr>
          <w:iCs/>
          <w:i/>
        </w:rPr>
        <w:t xml:space="preserve">The American Journal of Tropical Medicine and Hygiene</w:t>
      </w:r>
      <w:r>
        <w:t xml:space="preserve"> </w:t>
      </w:r>
      <w:r>
        <w:t xml:space="preserve">2011;</w:t>
      </w:r>
      <w:r>
        <w:t xml:space="preserve"> </w:t>
      </w:r>
      <w:r>
        <w:rPr>
          <w:bCs/>
          <w:b/>
        </w:rPr>
        <w:t xml:space="preserve">84</w:t>
      </w:r>
      <w:r>
        <w:t xml:space="preserve">: 510–6.</w:t>
      </w:r>
    </w:p>
    <w:bookmarkEnd w:id="152"/>
    <w:bookmarkStart w:id="154" w:name="ref-wadeHealthRisksChildren2022"/>
    <w:p>
      <w:pPr>
        <w:pStyle w:val="Bibliography"/>
      </w:pPr>
      <w:r>
        <w:t xml:space="preserve">61</w:t>
      </w:r>
      <w:r>
        <w:t xml:space="preserve"> </w:t>
      </w:r>
      <w:r>
        <w:t xml:space="preserve">	</w:t>
      </w:r>
      <w:r>
        <w:t xml:space="preserve">Wade TJ, Arnold BF, Schiff K,</w:t>
      </w:r>
      <w:r>
        <w:t xml:space="preserve"> </w:t>
      </w:r>
      <w:r>
        <w:rPr>
          <w:iCs/>
          <w:i/>
        </w:rPr>
        <w:t xml:space="preserve">et al.</w:t>
      </w:r>
      <w:r>
        <w:t xml:space="preserve"> </w:t>
      </w:r>
      <w:hyperlink r:id="rId153">
        <w:r>
          <w:rPr>
            <w:rStyle w:val="Hyperlink"/>
          </w:rPr>
          <w:t xml:space="preserve">Health risks to children from exposure to fecally-contaminated recreational water</w:t>
        </w:r>
      </w:hyperlink>
      <w:r>
        <w:t xml:space="preserve">.</w:t>
      </w:r>
      <w:r>
        <w:t xml:space="preserve"> </w:t>
      </w:r>
      <w:r>
        <w:rPr>
          <w:iCs/>
          <w:i/>
        </w:rPr>
        <w:t xml:space="preserve">PLOS ONE</w:t>
      </w:r>
      <w:r>
        <w:t xml:space="preserve"> </w:t>
      </w:r>
      <w:r>
        <w:t xml:space="preserve">2022;</w:t>
      </w:r>
      <w:r>
        <w:t xml:space="preserve"> </w:t>
      </w:r>
      <w:r>
        <w:rPr>
          <w:bCs/>
          <w:b/>
        </w:rPr>
        <w:t xml:space="preserve">17</w:t>
      </w:r>
      <w:r>
        <w:t xml:space="preserve">: e0266749.</w:t>
      </w:r>
    </w:p>
    <w:bookmarkEnd w:id="154"/>
    <w:bookmarkStart w:id="156" w:name="X474a11941f8014983166b9eb14a24e6711c6d24"/>
    <w:p>
      <w:pPr>
        <w:pStyle w:val="Bibliography"/>
      </w:pPr>
      <w:r>
        <w:t xml:space="preserve">62</w:t>
      </w:r>
      <w:r>
        <w:t xml:space="preserve"> </w:t>
      </w:r>
      <w:r>
        <w:t xml:space="preserve">	</w:t>
      </w:r>
      <w:r>
        <w:t xml:space="preserve">Goddard FGB, Ban R, Barr DB,</w:t>
      </w:r>
      <w:r>
        <w:t xml:space="preserve"> </w:t>
      </w:r>
      <w:r>
        <w:rPr>
          <w:iCs/>
          <w:i/>
        </w:rPr>
        <w:t xml:space="preserve">et al.</w:t>
      </w:r>
      <w:r>
        <w:t xml:space="preserve"> </w:t>
      </w:r>
      <w:hyperlink r:id="rId155">
        <w:r>
          <w:rPr>
            <w:rStyle w:val="Hyperlink"/>
          </w:rPr>
          <w:t xml:space="preserve">Measuring</w:t>
        </w:r>
        <w:r>
          <w:rPr>
            <w:rStyle w:val="Hyperlink"/>
          </w:rPr>
          <w:t xml:space="preserve"> </w:t>
        </w:r>
        <w:r>
          <w:rPr>
            <w:rStyle w:val="Hyperlink"/>
          </w:rPr>
          <w:t xml:space="preserve">Environmental Exposure</w:t>
        </w:r>
        <w:r>
          <w:rPr>
            <w:rStyle w:val="Hyperlink"/>
          </w:rPr>
          <w:t xml:space="preserve"> </w:t>
        </w:r>
        <w:r>
          <w:rPr>
            <w:rStyle w:val="Hyperlink"/>
          </w:rPr>
          <w:t xml:space="preserve">to</w:t>
        </w:r>
        <w:r>
          <w:rPr>
            <w:rStyle w:val="Hyperlink"/>
          </w:rPr>
          <w:t xml:space="preserve"> </w:t>
        </w:r>
        <w:r>
          <w:rPr>
            <w:rStyle w:val="Hyperlink"/>
          </w:rPr>
          <w:t xml:space="preserve">Enteric Pathogens</w:t>
        </w:r>
        <w:r>
          <w:rPr>
            <w:rStyle w:val="Hyperlink"/>
          </w:rPr>
          <w:t xml:space="preserve"> </w:t>
        </w:r>
        <w:r>
          <w:rPr>
            <w:rStyle w:val="Hyperlink"/>
          </w:rPr>
          <w:t xml:space="preserve">in</w:t>
        </w:r>
        <w:r>
          <w:rPr>
            <w:rStyle w:val="Hyperlink"/>
          </w:rPr>
          <w:t xml:space="preserve"> </w:t>
        </w:r>
        <w:r>
          <w:rPr>
            <w:rStyle w:val="Hyperlink"/>
          </w:rPr>
          <w:t xml:space="preserve">Low-Income Settings</w:t>
        </w:r>
        <w:r>
          <w:rPr>
            <w:rStyle w:val="Hyperlink"/>
          </w:rPr>
          <w:t xml:space="preserve">:</w:t>
        </w:r>
        <w:r>
          <w:rPr>
            <w:rStyle w:val="Hyperlink"/>
          </w:rPr>
          <w:t xml:space="preserve"> </w:t>
        </w:r>
        <w:r>
          <w:rPr>
            <w:rStyle w:val="Hyperlink"/>
          </w:rPr>
          <w:t xml:space="preserve">Review</w:t>
        </w:r>
        <w:r>
          <w:rPr>
            <w:rStyle w:val="Hyperlink"/>
          </w:rPr>
          <w:t xml:space="preserve"> </w:t>
        </w:r>
        <w:r>
          <w:rPr>
            <w:rStyle w:val="Hyperlink"/>
          </w:rPr>
          <w:t xml:space="preserve">and</w:t>
        </w:r>
        <w:r>
          <w:rPr>
            <w:rStyle w:val="Hyperlink"/>
          </w:rPr>
          <w:t xml:space="preserve"> </w:t>
        </w:r>
        <w:r>
          <w:rPr>
            <w:rStyle w:val="Hyperlink"/>
          </w:rPr>
          <w:t xml:space="preserve">Recommendations</w:t>
        </w:r>
        <w:r>
          <w:rPr>
            <w:rStyle w:val="Hyperlink"/>
          </w:rPr>
          <w:t xml:space="preserve"> </w:t>
        </w:r>
        <w:r>
          <w:rPr>
            <w:rStyle w:val="Hyperlink"/>
          </w:rPr>
          <w:t xml:space="preserve">of an</w:t>
        </w:r>
        <w:r>
          <w:rPr>
            <w:rStyle w:val="Hyperlink"/>
          </w:rPr>
          <w:t xml:space="preserve"> </w:t>
        </w:r>
        <w:r>
          <w:rPr>
            <w:rStyle w:val="Hyperlink"/>
          </w:rPr>
          <w:t xml:space="preserve">Interdisciplinary Working Group</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11673–91.</w:t>
      </w:r>
    </w:p>
    <w:bookmarkEnd w:id="156"/>
    <w:bookmarkStart w:id="158" w:name="ref-kwongHandObjectMouthingRural2016"/>
    <w:p>
      <w:pPr>
        <w:pStyle w:val="Bibliography"/>
      </w:pPr>
      <w:r>
        <w:t xml:space="preserve">63</w:t>
      </w:r>
      <w:r>
        <w:t xml:space="preserve"> </w:t>
      </w:r>
      <w:r>
        <w:t xml:space="preserve">	</w:t>
      </w:r>
      <w:r>
        <w:t xml:space="preserve">Kwong LH, Ercumen A, Pickering AJ, Unicomb L, Davis J, Luby SP.</w:t>
      </w:r>
      <w:r>
        <w:t xml:space="preserve"> </w:t>
      </w:r>
      <w:hyperlink r:id="rId157">
        <w:r>
          <w:rPr>
            <w:rStyle w:val="Hyperlink"/>
          </w:rPr>
          <w:t xml:space="preserve">Hand- and</w:t>
        </w:r>
        <w:r>
          <w:rPr>
            <w:rStyle w:val="Hyperlink"/>
          </w:rPr>
          <w:t xml:space="preserve"> </w:t>
        </w:r>
        <w:r>
          <w:rPr>
            <w:rStyle w:val="Hyperlink"/>
          </w:rPr>
          <w:t xml:space="preserve">Object-Mouthing</w:t>
        </w:r>
        <w:r>
          <w:rPr>
            <w:rStyle w:val="Hyperlink"/>
          </w:rPr>
          <w:t xml:space="preserve"> </w:t>
        </w:r>
        <w:r>
          <w:rPr>
            <w:rStyle w:val="Hyperlink"/>
          </w:rPr>
          <w:t xml:space="preserve">of</w:t>
        </w:r>
        <w:r>
          <w:rPr>
            <w:rStyle w:val="Hyperlink"/>
          </w:rPr>
          <w:t xml:space="preserve"> </w:t>
        </w:r>
        <w:r>
          <w:rPr>
            <w:rStyle w:val="Hyperlink"/>
          </w:rPr>
          <w:t xml:space="preserve">Rural Bangladeshi Children</w:t>
        </w:r>
        <w:r>
          <w:rPr>
            <w:rStyle w:val="Hyperlink"/>
          </w:rPr>
          <w:t xml:space="preserve"> </w:t>
        </w:r>
        <w:r>
          <w:rPr>
            <w:rStyle w:val="Hyperlink"/>
          </w:rPr>
          <w:t xml:space="preserve">3-18</w:t>
        </w:r>
        <w:r>
          <w:rPr>
            <w:rStyle w:val="Hyperlink"/>
          </w:rPr>
          <w:t xml:space="preserve"> </w:t>
        </w:r>
        <w:r>
          <w:rPr>
            <w:rStyle w:val="Hyperlink"/>
          </w:rPr>
          <w:t xml:space="preserve">Months Old</w:t>
        </w:r>
      </w:hyperlink>
      <w:r>
        <w:t xml:space="preserve">.</w:t>
      </w:r>
      <w:r>
        <w:t xml:space="preserve"> </w:t>
      </w:r>
      <w:r>
        <w:rPr>
          <w:iCs/>
          <w:i/>
        </w:rPr>
        <w:t xml:space="preserve">International Journal of Environmental Research and Public Health</w:t>
      </w:r>
      <w:r>
        <w:t xml:space="preserve"> </w:t>
      </w:r>
      <w:r>
        <w:t xml:space="preserve">2016;</w:t>
      </w:r>
      <w:r>
        <w:t xml:space="preserve"> </w:t>
      </w:r>
      <w:r>
        <w:rPr>
          <w:bCs/>
          <w:b/>
        </w:rPr>
        <w:t xml:space="preserve">13</w:t>
      </w:r>
      <w:r>
        <w:t xml:space="preserve">: E563.</w:t>
      </w:r>
    </w:p>
    <w:bookmarkEnd w:id="158"/>
    <w:bookmarkStart w:id="160" w:name="Xe9f896e0fbb222dd76e3cde440d54cee7f0016c"/>
    <w:p>
      <w:pPr>
        <w:pStyle w:val="Bibliography"/>
      </w:pPr>
      <w:r>
        <w:t xml:space="preserve">64</w:t>
      </w:r>
      <w:r>
        <w:t xml:space="preserve"> </w:t>
      </w:r>
      <w:r>
        <w:t xml:space="preserve">	</w:t>
      </w:r>
      <w:r>
        <w:t xml:space="preserve">Kwong LH, Ercumen A, Pickering AJ, Unicomb L, Davis J, Luby SP.</w:t>
      </w:r>
      <w:r>
        <w:t xml:space="preserve"> </w:t>
      </w:r>
      <w:hyperlink r:id="rId159">
        <w:r>
          <w:rPr>
            <w:rStyle w:val="Hyperlink"/>
          </w:rPr>
          <w:t xml:space="preserve">Age-related changes to environmental exposure: Variation in the frequency that young children place hands and objects in their mouths</w:t>
        </w:r>
      </w:hyperlink>
      <w:r>
        <w:t xml:space="preserve">.</w:t>
      </w:r>
      <w:r>
        <w:t xml:space="preserve"> </w:t>
      </w:r>
      <w:r>
        <w:rPr>
          <w:iCs/>
          <w:i/>
        </w:rPr>
        <w:t xml:space="preserve">Journal of exposure science &amp; environmental epidemiology</w:t>
      </w:r>
      <w:r>
        <w:t xml:space="preserve"> </w:t>
      </w:r>
      <w:r>
        <w:t xml:space="preserve">2020;</w:t>
      </w:r>
      <w:r>
        <w:t xml:space="preserve"> </w:t>
      </w:r>
      <w:r>
        <w:rPr>
          <w:bCs/>
          <w:b/>
        </w:rPr>
        <w:t xml:space="preserve">30</w:t>
      </w:r>
      <w:r>
        <w:t xml:space="preserve">: 205–16.</w:t>
      </w:r>
    </w:p>
    <w:bookmarkEnd w:id="160"/>
    <w:bookmarkStart w:id="162" w:name="ref-robbAssessmentFecalExposure2017"/>
    <w:p>
      <w:pPr>
        <w:pStyle w:val="Bibliography"/>
      </w:pPr>
      <w:r>
        <w:t xml:space="preserve">65</w:t>
      </w:r>
      <w:r>
        <w:t xml:space="preserve"> </w:t>
      </w:r>
      <w:r>
        <w:t xml:space="preserve">	</w:t>
      </w:r>
      <w:r>
        <w:t xml:space="preserve">Robb K, Null C, Teunis P, Yakubu H, Armah G, Moe CL.</w:t>
      </w:r>
      <w:r>
        <w:t xml:space="preserve"> </w:t>
      </w:r>
      <w:hyperlink r:id="rId161">
        <w:r>
          <w:rPr>
            <w:rStyle w:val="Hyperlink"/>
          </w:rPr>
          <w:t xml:space="preserve">Assessment of</w:t>
        </w:r>
        <w:r>
          <w:rPr>
            <w:rStyle w:val="Hyperlink"/>
          </w:rPr>
          <w:t xml:space="preserve"> </w:t>
        </w:r>
        <w:r>
          <w:rPr>
            <w:rStyle w:val="Hyperlink"/>
          </w:rPr>
          <w:t xml:space="preserve">Fecal Exposure Pathways</w:t>
        </w:r>
        <w:r>
          <w:rPr>
            <w:rStyle w:val="Hyperlink"/>
          </w:rPr>
          <w:t xml:space="preserve"> </w:t>
        </w:r>
        <w:r>
          <w:rPr>
            <w:rStyle w:val="Hyperlink"/>
          </w:rPr>
          <w:t xml:space="preserve">in</w:t>
        </w:r>
        <w:r>
          <w:rPr>
            <w:rStyle w:val="Hyperlink"/>
          </w:rPr>
          <w:t xml:space="preserve"> </w:t>
        </w:r>
        <w:r>
          <w:rPr>
            <w:rStyle w:val="Hyperlink"/>
          </w:rPr>
          <w:t xml:space="preserve">Low-Income Urban Neighborhoods</w:t>
        </w:r>
        <w:r>
          <w:rPr>
            <w:rStyle w:val="Hyperlink"/>
          </w:rPr>
          <w:t xml:space="preserve"> </w:t>
        </w:r>
        <w:r>
          <w:rPr>
            <w:rStyle w:val="Hyperlink"/>
          </w:rPr>
          <w:t xml:space="preserve">in</w:t>
        </w:r>
        <w:r>
          <w:rPr>
            <w:rStyle w:val="Hyperlink"/>
          </w:rPr>
          <w:t xml:space="preserve"> </w:t>
        </w:r>
        <w:r>
          <w:rPr>
            <w:rStyle w:val="Hyperlink"/>
          </w:rPr>
          <w:t xml:space="preserve">Accra</w:t>
        </w:r>
        <w:r>
          <w:rPr>
            <w:rStyle w:val="Hyperlink"/>
          </w:rPr>
          <w:t xml:space="preserve">,</w:t>
        </w:r>
        <w:r>
          <w:rPr>
            <w:rStyle w:val="Hyperlink"/>
          </w:rPr>
          <w:t xml:space="preserve"> </w:t>
        </w:r>
        <w:r>
          <w:rPr>
            <w:rStyle w:val="Hyperlink"/>
          </w:rPr>
          <w:t xml:space="preserve">Ghana</w:t>
        </w:r>
        <w:r>
          <w:rPr>
            <w:rStyle w:val="Hyperlink"/>
          </w:rPr>
          <w:t xml:space="preserve">:</w:t>
        </w:r>
        <w:r>
          <w:rPr>
            <w:rStyle w:val="Hyperlink"/>
          </w:rPr>
          <w:t xml:space="preserve"> </w:t>
        </w:r>
        <w:r>
          <w:rPr>
            <w:rStyle w:val="Hyperlink"/>
          </w:rPr>
          <w:t xml:space="preserve">Rationale</w:t>
        </w:r>
        <w:r>
          <w:rPr>
            <w:rStyle w:val="Hyperlink"/>
          </w:rPr>
          <w:t xml:space="preserve">,</w:t>
        </w:r>
        <w:r>
          <w:rPr>
            <w:rStyle w:val="Hyperlink"/>
          </w:rPr>
          <w:t xml:space="preserve"> </w:t>
        </w:r>
        <w:r>
          <w:rPr>
            <w:rStyle w:val="Hyperlink"/>
          </w:rPr>
          <w:t xml:space="preserve">Design</w:t>
        </w:r>
        <w:r>
          <w:rPr>
            <w:rStyle w:val="Hyperlink"/>
          </w:rPr>
          <w:t xml:space="preserve">,</w:t>
        </w:r>
        <w:r>
          <w:rPr>
            <w:rStyle w:val="Hyperlink"/>
          </w:rPr>
          <w:t xml:space="preserve"> </w:t>
        </w:r>
        <w:r>
          <w:rPr>
            <w:rStyle w:val="Hyperlink"/>
          </w:rPr>
          <w:t xml:space="preserve">Methods</w:t>
        </w:r>
        <w:r>
          <w:rPr>
            <w:rStyle w:val="Hyperlink"/>
          </w:rPr>
          <w:t xml:space="preserve">, and</w:t>
        </w:r>
        <w:r>
          <w:rPr>
            <w:rStyle w:val="Hyperlink"/>
          </w:rPr>
          <w:t xml:space="preserve"> </w:t>
        </w:r>
        <w:r>
          <w:rPr>
            <w:rStyle w:val="Hyperlink"/>
          </w:rPr>
          <w:t xml:space="preserve">Key Findings</w:t>
        </w:r>
        <w:r>
          <w:rPr>
            <w:rStyle w:val="Hyperlink"/>
          </w:rPr>
          <w:t xml:space="preserve"> </w:t>
        </w:r>
        <w:r>
          <w:rPr>
            <w:rStyle w:val="Hyperlink"/>
          </w:rPr>
          <w:t xml:space="preserve">of the</w:t>
        </w:r>
        <w:r>
          <w:rPr>
            <w:rStyle w:val="Hyperlink"/>
          </w:rPr>
          <w:t xml:space="preserve"> </w:t>
        </w:r>
        <w:r>
          <w:rPr>
            <w:rStyle w:val="Hyperlink"/>
          </w:rPr>
          <w:t xml:space="preserve">SaniPath Study</w:t>
        </w:r>
      </w:hyperlink>
      <w:r>
        <w:t xml:space="preserve">.</w:t>
      </w:r>
      <w:r>
        <w:t xml:space="preserve"> </w:t>
      </w:r>
      <w:r>
        <w:rPr>
          <w:iCs/>
          <w:i/>
        </w:rPr>
        <w:t xml:space="preserve">The American Journal of Tropical Medicine and Hygiene</w:t>
      </w:r>
      <w:r>
        <w:t xml:space="preserve"> </w:t>
      </w:r>
      <w:r>
        <w:t xml:space="preserve">2017;</w:t>
      </w:r>
      <w:r>
        <w:t xml:space="preserve"> </w:t>
      </w:r>
      <w:r>
        <w:rPr>
          <w:bCs/>
          <w:b/>
        </w:rPr>
        <w:t xml:space="preserve">97</w:t>
      </w:r>
      <w:r>
        <w:t xml:space="preserve">: 1020–32.</w:t>
      </w:r>
    </w:p>
    <w:bookmarkEnd w:id="162"/>
    <w:bookmarkStart w:id="164" w:name="ref-rajSaniPathExposureAssessment2020"/>
    <w:p>
      <w:pPr>
        <w:pStyle w:val="Bibliography"/>
      </w:pPr>
      <w:r>
        <w:t xml:space="preserve">66</w:t>
      </w:r>
      <w:r>
        <w:t xml:space="preserve"> </w:t>
      </w:r>
      <w:r>
        <w:t xml:space="preserve">	</w:t>
      </w:r>
      <w:r>
        <w:t xml:space="preserve">Raj SJ, Wang Y, Yakubu H,</w:t>
      </w:r>
      <w:r>
        <w:t xml:space="preserve"> </w:t>
      </w:r>
      <w:r>
        <w:rPr>
          <w:iCs/>
          <w:i/>
        </w:rPr>
        <w:t xml:space="preserve">et al.</w:t>
      </w:r>
      <w:r>
        <w:t xml:space="preserve"> </w:t>
      </w:r>
      <w:hyperlink r:id="rId163">
        <w:r>
          <w:rPr>
            <w:rStyle w:val="Hyperlink"/>
          </w:rPr>
          <w:t xml:space="preserve">The</w:t>
        </w:r>
        <w:r>
          <w:rPr>
            <w:rStyle w:val="Hyperlink"/>
          </w:rPr>
          <w:t xml:space="preserve"> </w:t>
        </w:r>
        <w:r>
          <w:rPr>
            <w:rStyle w:val="Hyperlink"/>
          </w:rPr>
          <w:t xml:space="preserve">SaniPath Exposure Assessment Tool</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quantitative approach for assessing exposure to fecal contamination through multiple pathways in low resource urban settlements</w:t>
        </w:r>
      </w:hyperlink>
      <w:r>
        <w:t xml:space="preserve">.</w:t>
      </w:r>
      <w:r>
        <w:t xml:space="preserve"> </w:t>
      </w:r>
      <w:r>
        <w:rPr>
          <w:iCs/>
          <w:i/>
        </w:rPr>
        <w:t xml:space="preserve">PloS One</w:t>
      </w:r>
      <w:r>
        <w:t xml:space="preserve"> </w:t>
      </w:r>
      <w:r>
        <w:t xml:space="preserve">2020;</w:t>
      </w:r>
      <w:r>
        <w:t xml:space="preserve"> </w:t>
      </w:r>
      <w:r>
        <w:rPr>
          <w:bCs/>
          <w:b/>
        </w:rPr>
        <w:t xml:space="preserve">15</w:t>
      </w:r>
      <w:r>
        <w:t xml:space="preserve">: e0234364.</w:t>
      </w:r>
    </w:p>
    <w:bookmarkEnd w:id="164"/>
    <w:bookmarkEnd w:id="165"/>
    <w:bookmarkEnd w:id="166"/>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32437520" w:numId="1">
    <w:abstractNumId w:val="13"/>
  </w:num>
  <w:num w16cid:durableId="862520574" w:numId="2">
    <w:abstractNumId w:val="12"/>
  </w:num>
  <w:num w16cid:durableId="1970935980" w:numId="3">
    <w:abstractNumId w:val="12"/>
  </w:num>
  <w:num w16cid:durableId="844366100" w:numId="4">
    <w:abstractNumId w:val="12"/>
  </w:num>
  <w:num w16cid:durableId="1064067761" w:numId="5">
    <w:abstractNumId w:val="12"/>
  </w:num>
  <w:num w16cid:durableId="1971551114" w:numId="6">
    <w:abstractNumId w:val="12"/>
  </w:num>
  <w:num w16cid:durableId="434011637" w:numId="7">
    <w:abstractNumId w:val="12"/>
  </w:num>
  <w:num w16cid:durableId="2091997373" w:numId="8">
    <w:abstractNumId w:val="12"/>
  </w:num>
  <w:num w16cid:durableId="1874614058" w:numId="9">
    <w:abstractNumId w:val="12"/>
  </w:num>
  <w:num w16cid:durableId="732852027" w:numId="10">
    <w:abstractNumId w:val="12"/>
  </w:num>
  <w:num w16cid:durableId="1922445938" w:numId="11">
    <w:abstractNumId w:val="12"/>
  </w:num>
  <w:num w16cid:durableId="184443622" w:numId="12">
    <w:abstractNumId w:val="0"/>
  </w:num>
  <w:num w16cid:durableId="659507044" w:numId="13">
    <w:abstractNumId w:val="10"/>
  </w:num>
  <w:num w16cid:durableId="1301810914" w:numId="14">
    <w:abstractNumId w:val="8"/>
  </w:num>
  <w:num w16cid:durableId="886258080" w:numId="15">
    <w:abstractNumId w:val="7"/>
  </w:num>
  <w:num w16cid:durableId="540435429" w:numId="16">
    <w:abstractNumId w:val="6"/>
  </w:num>
  <w:num w16cid:durableId="1127161648" w:numId="17">
    <w:abstractNumId w:val="5"/>
  </w:num>
  <w:num w16cid:durableId="1901748209" w:numId="18">
    <w:abstractNumId w:val="9"/>
  </w:num>
  <w:num w16cid:durableId="1049647443" w:numId="19">
    <w:abstractNumId w:val="4"/>
  </w:num>
  <w:num w16cid:durableId="1932469596" w:numId="20">
    <w:abstractNumId w:val="3"/>
  </w:num>
  <w:num w16cid:durableId="1599605182" w:numId="21">
    <w:abstractNumId w:val="2"/>
  </w:num>
  <w:num w16cid:durableId="713844817" w:numId="22">
    <w:abstractNumId w:val="1"/>
  </w:num>
  <w:num w16cid:durableId="1866168419" w:numId="23">
    <w:abstractNumId w:val="14"/>
  </w:num>
  <w:num w16cid:durableId="90325248" w:numId="24">
    <w:abstractNumId w:val="11"/>
  </w:num>
  <w:num w16cid:durableId="1082141776"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 w:styleId="PlaceholderText" w:type="character">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02/tox.2530060208" TargetMode="External" /><Relationship Type="http://schemas.openxmlformats.org/officeDocument/2006/relationships/hyperlink" Id="rId121" Target="https://doi.org/10.1007/s40572-020-00278-1" TargetMode="External" /><Relationship Type="http://schemas.openxmlformats.org/officeDocument/2006/relationships/hyperlink" Id="rId113" Target="https://doi.org/10.1016/S0140-6736(13)60844-2"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5" Target="https://doi.org/10.1016/S0889-8553(05)70263-6" TargetMode="External" /><Relationship Type="http://schemas.openxmlformats.org/officeDocument/2006/relationships/hyperlink" Id="rId85" Target="https://doi.org/10.1016/S2214-109X(14)70307-9" TargetMode="External" /><Relationship Type="http://schemas.openxmlformats.org/officeDocument/2006/relationships/hyperlink" Id="rId99"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5"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127" Target="https://doi.org/10.1016/j.ijheh.2020.113496" TargetMode="External" /><Relationship Type="http://schemas.openxmlformats.org/officeDocument/2006/relationships/hyperlink" Id="rId133" Target="https://doi.org/10.1016/j.jpeds.2020.09.013" TargetMode="External" /><Relationship Type="http://schemas.openxmlformats.org/officeDocument/2006/relationships/hyperlink" Id="rId125" Target="https://doi.org/10.1016/j.scitotenv.2014.09.040" TargetMode="External" /><Relationship Type="http://schemas.openxmlformats.org/officeDocument/2006/relationships/hyperlink" Id="rId61" Target="https://doi.org/10.1016/j.watres.2011.02.025" TargetMode="External" /><Relationship Type="http://schemas.openxmlformats.org/officeDocument/2006/relationships/hyperlink" Id="rId119" Target="https://doi.org/10.1016/j.watres.2012.12.046" TargetMode="External" /><Relationship Type="http://schemas.openxmlformats.org/officeDocument/2006/relationships/hyperlink" Id="rId129" Target="https://doi.org/10.1016/j.watres.2016.02.036" TargetMode="External" /><Relationship Type="http://schemas.openxmlformats.org/officeDocument/2006/relationships/hyperlink" Id="rId145" Target="https://doi.org/10.1016/j.watres.2016.05.015" TargetMode="External" /><Relationship Type="http://schemas.openxmlformats.org/officeDocument/2006/relationships/hyperlink" Id="rId155" Target="https://doi.org/10.1021/acs.est.0c02421" TargetMode="External" /><Relationship Type="http://schemas.openxmlformats.org/officeDocument/2006/relationships/hyperlink" Id="rId97" Target="https://doi.org/10.1021/acs.est.1c01538" TargetMode="External" /><Relationship Type="http://schemas.openxmlformats.org/officeDocument/2006/relationships/hyperlink" Id="rId93" Target="https://doi.org/10.1021/acs.est.1c02168" TargetMode="External" /><Relationship Type="http://schemas.openxmlformats.org/officeDocument/2006/relationships/hyperlink" Id="rId91" Target="https://doi.org/10.1021/acs.est.9b04835" TargetMode="External" /><Relationship Type="http://schemas.openxmlformats.org/officeDocument/2006/relationships/hyperlink" Id="rId87" Target="https://doi.org/10.1021/acs.estlett.6b00382" TargetMode="External" /><Relationship Type="http://schemas.openxmlformats.org/officeDocument/2006/relationships/hyperlink" Id="rId123" Target="https://doi.org/10.1021/es304367t" TargetMode="External" /><Relationship Type="http://schemas.openxmlformats.org/officeDocument/2006/relationships/hyperlink" Id="rId159" Target="https://doi.org/10.1038/s41370-019-0115-8" TargetMode="External" /><Relationship Type="http://schemas.openxmlformats.org/officeDocument/2006/relationships/hyperlink" Id="rId141" Target="https://doi.org/10.1038/s41598-019-53533-3" TargetMode="External" /><Relationship Type="http://schemas.openxmlformats.org/officeDocument/2006/relationships/hyperlink" Id="rId68" Target="https://doi.org/10.1093/aje/kwh090" TargetMode="External" /><Relationship Type="http://schemas.openxmlformats.org/officeDocument/2006/relationships/hyperlink" Id="rId103" Target="https://doi.org/10.1093/aje/kws281" TargetMode="External" /><Relationship Type="http://schemas.openxmlformats.org/officeDocument/2006/relationships/hyperlink" Id="rId79" Target="https://doi.org/10.1093/aje/kww165" TargetMode="External" /><Relationship Type="http://schemas.openxmlformats.org/officeDocument/2006/relationships/hyperlink" Id="rId83" Target="https://doi.org/10.1093/ije/dyz157" TargetMode="External" /><Relationship Type="http://schemas.openxmlformats.org/officeDocument/2006/relationships/hyperlink" Id="rId101" Target="https://doi.org/10.1093/infdis/jix668" TargetMode="External" /><Relationship Type="http://schemas.openxmlformats.org/officeDocument/2006/relationships/hyperlink" Id="rId137" Target="https://doi.org/10.1093/trstmh/tru056" TargetMode="External" /><Relationship Type="http://schemas.openxmlformats.org/officeDocument/2006/relationships/hyperlink" Id="rId89" Target="https://doi.org/10.1101/2020.09.29.318097" TargetMode="External" /><Relationship Type="http://schemas.openxmlformats.org/officeDocument/2006/relationships/hyperlink" Id="rId74" Target="https://doi.org/10.1111/j.1651-2227.2006.tb02379.x" TargetMode="External" /><Relationship Type="http://schemas.openxmlformats.org/officeDocument/2006/relationships/hyperlink" Id="rId111" Target="https://doi.org/10.1128/aem.44.5.1138-1143.1982" TargetMode="External" /><Relationship Type="http://schemas.openxmlformats.org/officeDocument/2006/relationships/hyperlink" Id="rId109" Target="https://doi.org/10.1186/1471-2334-8-64" TargetMode="External" /><Relationship Type="http://schemas.openxmlformats.org/officeDocument/2006/relationships/hyperlink" Id="rId147" Target="https://doi.org/10.1289/EHP156" TargetMode="External" /><Relationship Type="http://schemas.openxmlformats.org/officeDocument/2006/relationships/hyperlink" Id="rId95"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43" Target="https://doi.org/10.1371/journal.pone.0160590" TargetMode="External" /><Relationship Type="http://schemas.openxmlformats.org/officeDocument/2006/relationships/hyperlink" Id="rId163" Target="https://doi.org/10.1371/journal.pone.0234364" TargetMode="External" /><Relationship Type="http://schemas.openxmlformats.org/officeDocument/2006/relationships/hyperlink" Id="rId153" Target="https://doi.org/10.1371/journal.pone.0266749" TargetMode="External" /><Relationship Type="http://schemas.openxmlformats.org/officeDocument/2006/relationships/hyperlink" Id="rId77" Target="https://doi.org/10.1515/em-2013-0005" TargetMode="External" /><Relationship Type="http://schemas.openxmlformats.org/officeDocument/2006/relationships/hyperlink" Id="rId70" Target="https://doi.org/10.18637/jss.v016.i09" TargetMode="External" /><Relationship Type="http://schemas.openxmlformats.org/officeDocument/2006/relationships/hyperlink" Id="rId57" Target="https://doi.org/10.2166/wh.2011.117" TargetMode="External" /><Relationship Type="http://schemas.openxmlformats.org/officeDocument/2006/relationships/hyperlink" Id="rId72" Target="https://doi.org/10.2307/3001666" TargetMode="External" /><Relationship Type="http://schemas.openxmlformats.org/officeDocument/2006/relationships/hyperlink" Id="rId157" Target="https://doi.org/10.3390/ijerph13060563" TargetMode="External" /><Relationship Type="http://schemas.openxmlformats.org/officeDocument/2006/relationships/hyperlink" Id="rId117"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5" Target="https://doi.org/10.4269/ajtmh.14-0694" TargetMode="External" /><Relationship Type="http://schemas.openxmlformats.org/officeDocument/2006/relationships/hyperlink" Id="rId66" Target="https://doi.org/10.4269/ajtmh.15-0274" TargetMode="External" /><Relationship Type="http://schemas.openxmlformats.org/officeDocument/2006/relationships/hyperlink" Id="rId161" Target="https://doi.org/10.4269/ajtmh.16-0508" TargetMode="External" /><Relationship Type="http://schemas.openxmlformats.org/officeDocument/2006/relationships/hyperlink" Id="rId131" Target="https://doi.org/10.4269/ajtmh.19-0012" TargetMode="External" /><Relationship Type="http://schemas.openxmlformats.org/officeDocument/2006/relationships/hyperlink" Id="rId107" Target="https://doi.org/10.4269/ajtmh.19-0639" TargetMode="External" /><Relationship Type="http://schemas.openxmlformats.org/officeDocument/2006/relationships/hyperlink" Id="rId151"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1" Target="https://doi.org/10.7554/eLife.62278" TargetMode="External" /><Relationship Type="http://schemas.openxmlformats.org/officeDocument/2006/relationships/hyperlink" Id="rId24" Target="https://github.com/amertens/wash-ipd" TargetMode="External" /><Relationship Type="http://schemas.openxmlformats.org/officeDocument/2006/relationships/hyperlink" Id="rId23" Target="https://osf.io/8sgzn/" TargetMode="External" /><Relationship Type="http://schemas.openxmlformats.org/officeDocument/2006/relationships/hyperlink" Id="rId139" Target="https://www.ncbi.nlm.nih.gov/pmc/articles/PMC2491135" TargetMode="External" /><Relationship Type="http://schemas.openxmlformats.org/officeDocument/2006/relationships/hyperlink" Id="rId149" Target="https://www.ncbi.nlm.nih.gov/pmc/articles/PMC3419269" TargetMode="External" /><Relationship Type="http://schemas.openxmlformats.org/officeDocument/2006/relationships/hyperlink" Id="rId64" Target="https://www.ncbi.nlm.nih.gov/pubmed/16817681"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2/tox.2530060208" TargetMode="External" /><Relationship Type="http://schemas.openxmlformats.org/officeDocument/2006/relationships/hyperlink" Id="rId121" Target="https://doi.org/10.1007/s40572-020-00278-1" TargetMode="External" /><Relationship Type="http://schemas.openxmlformats.org/officeDocument/2006/relationships/hyperlink" Id="rId113" Target="https://doi.org/10.1016/S0140-6736(13)60844-2"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5" Target="https://doi.org/10.1016/S0889-8553(05)70263-6" TargetMode="External" /><Relationship Type="http://schemas.openxmlformats.org/officeDocument/2006/relationships/hyperlink" Id="rId85" Target="https://doi.org/10.1016/S2214-109X(14)70307-9" TargetMode="External" /><Relationship Type="http://schemas.openxmlformats.org/officeDocument/2006/relationships/hyperlink" Id="rId99"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5"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127" Target="https://doi.org/10.1016/j.ijheh.2020.113496" TargetMode="External" /><Relationship Type="http://schemas.openxmlformats.org/officeDocument/2006/relationships/hyperlink" Id="rId133" Target="https://doi.org/10.1016/j.jpeds.2020.09.013" TargetMode="External" /><Relationship Type="http://schemas.openxmlformats.org/officeDocument/2006/relationships/hyperlink" Id="rId125" Target="https://doi.org/10.1016/j.scitotenv.2014.09.040" TargetMode="External" /><Relationship Type="http://schemas.openxmlformats.org/officeDocument/2006/relationships/hyperlink" Id="rId61" Target="https://doi.org/10.1016/j.watres.2011.02.025" TargetMode="External" /><Relationship Type="http://schemas.openxmlformats.org/officeDocument/2006/relationships/hyperlink" Id="rId119" Target="https://doi.org/10.1016/j.watres.2012.12.046" TargetMode="External" /><Relationship Type="http://schemas.openxmlformats.org/officeDocument/2006/relationships/hyperlink" Id="rId129" Target="https://doi.org/10.1016/j.watres.2016.02.036" TargetMode="External" /><Relationship Type="http://schemas.openxmlformats.org/officeDocument/2006/relationships/hyperlink" Id="rId145" Target="https://doi.org/10.1016/j.watres.2016.05.015" TargetMode="External" /><Relationship Type="http://schemas.openxmlformats.org/officeDocument/2006/relationships/hyperlink" Id="rId155" Target="https://doi.org/10.1021/acs.est.0c02421" TargetMode="External" /><Relationship Type="http://schemas.openxmlformats.org/officeDocument/2006/relationships/hyperlink" Id="rId97" Target="https://doi.org/10.1021/acs.est.1c01538" TargetMode="External" /><Relationship Type="http://schemas.openxmlformats.org/officeDocument/2006/relationships/hyperlink" Id="rId93" Target="https://doi.org/10.1021/acs.est.1c02168" TargetMode="External" /><Relationship Type="http://schemas.openxmlformats.org/officeDocument/2006/relationships/hyperlink" Id="rId91" Target="https://doi.org/10.1021/acs.est.9b04835" TargetMode="External" /><Relationship Type="http://schemas.openxmlformats.org/officeDocument/2006/relationships/hyperlink" Id="rId87" Target="https://doi.org/10.1021/acs.estlett.6b00382" TargetMode="External" /><Relationship Type="http://schemas.openxmlformats.org/officeDocument/2006/relationships/hyperlink" Id="rId123" Target="https://doi.org/10.1021/es304367t" TargetMode="External" /><Relationship Type="http://schemas.openxmlformats.org/officeDocument/2006/relationships/hyperlink" Id="rId159" Target="https://doi.org/10.1038/s41370-019-0115-8" TargetMode="External" /><Relationship Type="http://schemas.openxmlformats.org/officeDocument/2006/relationships/hyperlink" Id="rId141" Target="https://doi.org/10.1038/s41598-019-53533-3" TargetMode="External" /><Relationship Type="http://schemas.openxmlformats.org/officeDocument/2006/relationships/hyperlink" Id="rId68" Target="https://doi.org/10.1093/aje/kwh090" TargetMode="External" /><Relationship Type="http://schemas.openxmlformats.org/officeDocument/2006/relationships/hyperlink" Id="rId103" Target="https://doi.org/10.1093/aje/kws281" TargetMode="External" /><Relationship Type="http://schemas.openxmlformats.org/officeDocument/2006/relationships/hyperlink" Id="rId79" Target="https://doi.org/10.1093/aje/kww165" TargetMode="External" /><Relationship Type="http://schemas.openxmlformats.org/officeDocument/2006/relationships/hyperlink" Id="rId83" Target="https://doi.org/10.1093/ije/dyz157" TargetMode="External" /><Relationship Type="http://schemas.openxmlformats.org/officeDocument/2006/relationships/hyperlink" Id="rId101" Target="https://doi.org/10.1093/infdis/jix668" TargetMode="External" /><Relationship Type="http://schemas.openxmlformats.org/officeDocument/2006/relationships/hyperlink" Id="rId137" Target="https://doi.org/10.1093/trstmh/tru056" TargetMode="External" /><Relationship Type="http://schemas.openxmlformats.org/officeDocument/2006/relationships/hyperlink" Id="rId89" Target="https://doi.org/10.1101/2020.09.29.318097" TargetMode="External" /><Relationship Type="http://schemas.openxmlformats.org/officeDocument/2006/relationships/hyperlink" Id="rId74" Target="https://doi.org/10.1111/j.1651-2227.2006.tb02379.x" TargetMode="External" /><Relationship Type="http://schemas.openxmlformats.org/officeDocument/2006/relationships/hyperlink" Id="rId111" Target="https://doi.org/10.1128/aem.44.5.1138-1143.1982" TargetMode="External" /><Relationship Type="http://schemas.openxmlformats.org/officeDocument/2006/relationships/hyperlink" Id="rId109" Target="https://doi.org/10.1186/1471-2334-8-64" TargetMode="External" /><Relationship Type="http://schemas.openxmlformats.org/officeDocument/2006/relationships/hyperlink" Id="rId147" Target="https://doi.org/10.1289/EHP156" TargetMode="External" /><Relationship Type="http://schemas.openxmlformats.org/officeDocument/2006/relationships/hyperlink" Id="rId95"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43" Target="https://doi.org/10.1371/journal.pone.0160590" TargetMode="External" /><Relationship Type="http://schemas.openxmlformats.org/officeDocument/2006/relationships/hyperlink" Id="rId163" Target="https://doi.org/10.1371/journal.pone.0234364" TargetMode="External" /><Relationship Type="http://schemas.openxmlformats.org/officeDocument/2006/relationships/hyperlink" Id="rId153" Target="https://doi.org/10.1371/journal.pone.0266749" TargetMode="External" /><Relationship Type="http://schemas.openxmlformats.org/officeDocument/2006/relationships/hyperlink" Id="rId77" Target="https://doi.org/10.1515/em-2013-0005" TargetMode="External" /><Relationship Type="http://schemas.openxmlformats.org/officeDocument/2006/relationships/hyperlink" Id="rId70" Target="https://doi.org/10.18637/jss.v016.i09" TargetMode="External" /><Relationship Type="http://schemas.openxmlformats.org/officeDocument/2006/relationships/hyperlink" Id="rId57" Target="https://doi.org/10.2166/wh.2011.117" TargetMode="External" /><Relationship Type="http://schemas.openxmlformats.org/officeDocument/2006/relationships/hyperlink" Id="rId72" Target="https://doi.org/10.2307/3001666" TargetMode="External" /><Relationship Type="http://schemas.openxmlformats.org/officeDocument/2006/relationships/hyperlink" Id="rId157" Target="https://doi.org/10.3390/ijerph13060563" TargetMode="External" /><Relationship Type="http://schemas.openxmlformats.org/officeDocument/2006/relationships/hyperlink" Id="rId117"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5" Target="https://doi.org/10.4269/ajtmh.14-0694" TargetMode="External" /><Relationship Type="http://schemas.openxmlformats.org/officeDocument/2006/relationships/hyperlink" Id="rId66" Target="https://doi.org/10.4269/ajtmh.15-0274" TargetMode="External" /><Relationship Type="http://schemas.openxmlformats.org/officeDocument/2006/relationships/hyperlink" Id="rId161" Target="https://doi.org/10.4269/ajtmh.16-0508" TargetMode="External" /><Relationship Type="http://schemas.openxmlformats.org/officeDocument/2006/relationships/hyperlink" Id="rId131" Target="https://doi.org/10.4269/ajtmh.19-0012" TargetMode="External" /><Relationship Type="http://schemas.openxmlformats.org/officeDocument/2006/relationships/hyperlink" Id="rId107" Target="https://doi.org/10.4269/ajtmh.19-0639" TargetMode="External" /><Relationship Type="http://schemas.openxmlformats.org/officeDocument/2006/relationships/hyperlink" Id="rId151"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1" Target="https://doi.org/10.7554/eLife.62278" TargetMode="External" /><Relationship Type="http://schemas.openxmlformats.org/officeDocument/2006/relationships/hyperlink" Id="rId24" Target="https://github.com/amertens/wash-ipd" TargetMode="External" /><Relationship Type="http://schemas.openxmlformats.org/officeDocument/2006/relationships/hyperlink" Id="rId23" Target="https://osf.io/8sgzn/" TargetMode="External" /><Relationship Type="http://schemas.openxmlformats.org/officeDocument/2006/relationships/hyperlink" Id="rId139" Target="https://www.ncbi.nlm.nih.gov/pmc/articles/PMC2491135" TargetMode="External" /><Relationship Type="http://schemas.openxmlformats.org/officeDocument/2006/relationships/hyperlink" Id="rId149" Target="https://www.ncbi.nlm.nih.gov/pmc/articles/PMC3419269" TargetMode="External" /><Relationship Type="http://schemas.openxmlformats.org/officeDocument/2006/relationships/hyperlink" Id="rId64" Target="https://www.ncbi.nlm.nih.gov/pubmed/168176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2022-09-04T01:39:10Z</dcterms:created>
  <dcterms:modified xsi:type="dcterms:W3CDTF">2022-09-04T01:39:10Z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