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p>
    <w:p>
      <w:pPr>
        <w:pStyle w:val="BodyText"/>
      </w:pPr>
      <w:r>
        <w:rPr>
          <w:bCs/>
          <w:b/>
        </w:rPr>
        <w:t xml:space="preserve">Findings:</w:t>
      </w:r>
      <w:r>
        <w:t xml:space="preserve"> </w:t>
      </w:r>
      <w:r>
        <w:t xml:space="preserve">We identified and received data from nine eligible publications within five intervention studies. Pathogen detection in environmental samples was associated with increased prevalence of infection with the same pathogen and lower HAZ (</w:t>
      </w:r>
      <m:oMath>
        <m:r>
          <m:t>Δ</m:t>
        </m:r>
      </m:oMath>
      <w:r>
        <w:t xml:space="preserve"> </w:t>
      </w:r>
      <w:r>
        <w:t xml:space="preserve">HAZ=-0.09 (95% CI: -0.18, -0.01)) but not with diarrhoea (prevalence ratio [PR]: 1.17 (95% CI: 0.94, 1.46)). Detection of MST markers was not associated with diarrhoea (95% CI: , ); animal markers: (95% CI: , )) or HAZ (human markers</w:t>
      </w:r>
      <w:r>
        <w:t xml:space="preserve"> </w:t>
      </w:r>
      <m:oMath>
        <m:r>
          <m:t>Δ</m:t>
        </m:r>
      </m:oMath>
      <w:r>
        <w:t xml:space="preserve"> </w:t>
      </w:r>
      <w:r>
        <w:t xml:space="preserve">HAZ=0.00 (95% CI: -0.13, 0.14); animal markers:</w:t>
      </w:r>
      <w:r>
        <w:t xml:space="preserve"> </w:t>
      </w:r>
      <m:oMath>
        <m:r>
          <m:t>Δ</m:t>
        </m:r>
      </m:oMath>
      <w:r>
        <w:t xml:space="preserve"> </w:t>
      </w:r>
      <w:r>
        <w:t xml:space="preserve">HAZ=0.00 (95% CI: -0.21, 0.21)).</w:t>
      </w:r>
    </w:p>
    <w:p>
      <w:pPr>
        <w:pStyle w:val="BodyText"/>
      </w:pP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pPr>
        <w:pStyle w:val="BodyText"/>
      </w:pP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 </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End w:id="22"/>
    <w:bookmarkStart w:id="25" w:name="methods"/>
    <w:p>
      <w:pPr>
        <w:pStyle w:val="Heading2"/>
      </w:pPr>
      <w:r>
        <w:t xml:space="preserve">Methods</w:t>
      </w:r>
    </w:p>
    <w:p>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Pr>
          <w:vertAlign w:val="superscript"/>
        </w:rPr>
        <w:t xml:space="preserve">15</w:t>
      </w:r>
      <w:r>
        <w:t xml:space="preserve"> </w:t>
      </w:r>
      <w:r>
        <w:t xml:space="preserve">We limited the search to intervention studies to allow assessing intervention effects on environmental contamination as an additional objective.</w:t>
      </w:r>
      <w:r>
        <w:rPr>
          <w:vertAlign w:val="superscript"/>
        </w:rPr>
        <w:t xml:space="preserve">15</w:t>
      </w:r>
      <w:r>
        <w:t xml:space="preserve"> </w:t>
      </w:r>
      <w:r>
        <w:t xml:space="preserve">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23">
        <w:r>
          <w:rPr>
            <w:rStyle w:val="Hyperlink"/>
          </w:rPr>
          <w:t xml:space="preserve">https://osf.io/8sgzn/</w:t>
        </w:r>
      </w:hyperlink>
      <w:r>
        <w:t xml:space="preserve">). We followed PRISMA guidelines (Figure S1, Table S1) and evaluated bias in studies using an adapted version of the Newcastle-Ottawa scale (Table S2).</w:t>
      </w:r>
      <w:r>
        <w:rPr>
          <w:vertAlign w:val="superscript"/>
        </w:rPr>
        <w:t xml:space="preserve">16</w:t>
      </w:r>
      <w:r>
        <w:t xml:space="preserve"> </w:t>
      </w:r>
      <w:r>
        <w:t xml:space="preserve">Details on our systematic review have been described elsewhere.</w:t>
      </w:r>
      <w:r>
        <w:rPr>
          <w:vertAlign w:val="superscript"/>
        </w:rPr>
        <w:t xml:space="preserve">15</w:t>
      </w:r>
    </w:p>
    <w:p>
      <w:pPr>
        <w:pStyle w:val="BodyText"/>
      </w:pPr>
      <w:r>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 xml:space="preserve">17</w:t>
      </w:r>
      <w:r>
        <w:t xml:space="preserve"> </w:t>
      </w:r>
      <w:r>
        <w:t xml:space="preserve">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 xml:space="preserve">18</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pPr>
        <w:pStyle w:val="BodyText"/>
      </w:pPr>
      <w:r>
        <w:t xml:space="preserve">We examined associations between the environmental exposures and child health outcomes using covariate-adjusted regression models. For binary outcomes, we estimated prevalence ratios (PRs) using modified Poisson regression.</w:t>
      </w:r>
      <w:r>
        <w:rPr>
          <w:vertAlign w:val="superscript"/>
        </w:rPr>
        <w:t xml:space="preserve">19</w:t>
      </w:r>
      <w:r>
        <w:t xml:space="preserve"> </w:t>
      </w:r>
      <w:r>
        <w:t xml:space="preserve">For continuous outcomes, we used linear regression to estimate mean differences. We used the Huber Sandwich Estimator to calculate robust standard errors to account for repeated sampling or clustered designs.</w:t>
      </w:r>
      <w:r>
        <w:rPr>
          <w:vertAlign w:val="superscript"/>
        </w:rPr>
        <w:t xml:space="preserve">20</w:t>
      </w:r>
      <w:r>
        <w:t xml:space="preserve"> </w:t>
      </w:r>
      <w:r>
        <w:t xml:space="preserve">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w:t>
      </w:r>
      <w:r>
        <w:t xml:space="preserve"> </w:t>
      </w:r>
      <m:oMath>
        <m:r>
          <m:rPr>
            <m:sty m:val="p"/>
          </m:rPr>
          <m:t>≥</m:t>
        </m:r>
      </m:oMath>
      <w:r>
        <w:t xml:space="preserve"> </w:t>
      </w:r>
      <w:r>
        <w:t xml:space="preserve">4 studies, we tested for heterogeneity using Cochran’s Q-tests.</w:t>
      </w:r>
      <w:r>
        <w:rPr>
          <w:vertAlign w:val="superscript"/>
        </w:rPr>
        <w:t xml:space="preserve">21</w:t>
      </w:r>
      <w:r>
        <w:t xml:space="preserve"> </w:t>
      </w:r>
      <w:r>
        <w:t xml:space="preserve">We pooled estimates with fixed-effects models if there was no evidence of significant heterogeneity (p-value&gt;0.2), and with random-effects models otherwise.</w:t>
      </w:r>
    </w:p>
    <w:p>
      <w:pPr>
        <w:pStyle w:val="BodyText"/>
      </w:pPr>
      <w:r>
        <w:t xml:space="preserve">We conducted subgroup analyses by child age and sex, animal ownership, season, and study setting. We used the following age groups based on WHO motor milestones: immobile (</w:t>
      </w:r>
      <m:oMath>
        <m:r>
          <m:rPr>
            <m:sty m:val="p"/>
          </m:rPr>
          <m:t>≤</m:t>
        </m:r>
      </m:oMath>
      <w:r>
        <w:t xml:space="preserve"> </w:t>
      </w:r>
      <w:r>
        <w:t xml:space="preserve">254 days), crawling (&gt;254 days - 1 year), walking pre-school-age (1-5 years) and school-age (&gt;5 years).</w:t>
      </w:r>
      <w:r>
        <w:rPr>
          <w:vertAlign w:val="superscript"/>
        </w:rPr>
        <w:t xml:space="preserve">22</w:t>
      </w:r>
      <w:r>
        <w:t xml:space="preserve"> </w:t>
      </w:r>
      <w:r>
        <w:t xml:space="preserve">We defined animal ownership as the reported presence of any domestic animal in the compound. We defined the wet season for each study as the six months of highest average rainfall, obtained from weather records.</w:t>
      </w:r>
      <w:r>
        <w:rPr>
          <w:vertAlign w:val="superscript"/>
        </w:rPr>
        <w:t xml:space="preserve">23</w:t>
      </w:r>
      <w:r>
        <w:t xml:space="preserve"> </w:t>
      </w:r>
      <w:r>
        <w:t xml:space="preserve">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 xml:space="preserve">24</w:t>
      </w:r>
      <w:r>
        <w:t xml:space="preserve"> </w:t>
      </w:r>
      <w:r>
        <w:t xml:space="preserve">A p-value &lt;0.2 on the interaction term was considered evidence of effect modification.</w:t>
      </w:r>
    </w:p>
    <w:p>
      <w:pPr>
        <w:pStyle w:val="BodyText"/>
      </w:pPr>
      <w:r>
        <w:t xml:space="preserve">As sensitivity analyses, we compared (1) covariate-adjusted vs. unadjusted estimates, and (2) adjusted estimates from parametric regression models vs. flexible machine-learning based targeted maximum likelihood estimation (TMLE) models.</w:t>
      </w:r>
      <w:r>
        <w:rPr>
          <w:vertAlign w:val="superscript"/>
        </w:rPr>
        <w:t xml:space="preserve">25</w:t>
      </w:r>
      <w:r>
        <w:t xml:space="preserve"> </w:t>
      </w:r>
      <w:r>
        <w:t xml:space="preserve">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24">
        <w:r>
          <w:rPr>
            <w:rStyle w:val="Hyperlink"/>
          </w:rPr>
          <w:t xml:space="preserve">https://github.com/amertens/wash-ipd</w:t>
        </w:r>
      </w:hyperlink>
      <w:r>
        <w:t xml:space="preserve">).</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 xml:space="preserve">8,9</w:t>
      </w:r>
      <w:r>
        <w:t xml:space="preserve"> </w:t>
      </w:r>
      <w:r>
        <w:t xml:space="preserve">the Maputo Sanitation (MapSan) trial in Mozambique,</w:t>
      </w:r>
      <w:r>
        <w:rPr>
          <w:vertAlign w:val="superscript"/>
        </w:rPr>
        <w:t xml:space="preserve">26</w:t>
      </w:r>
      <w:r>
        <w:t xml:space="preserve"> </w:t>
      </w:r>
      <w:r>
        <w:t xml:space="preserve">the Gram Vikas study in India,</w:t>
      </w:r>
      <w:r>
        <w:rPr>
          <w:vertAlign w:val="superscript"/>
        </w:rPr>
        <w:t xml:space="preserve">27</w:t>
      </w:r>
      <w:r>
        <w:t xml:space="preserve"> </w:t>
      </w:r>
      <w:r>
        <w:t xml:space="preserve">and the Total Sanitation Campaign (TSC) trial in India.</w:t>
      </w:r>
      <w:r>
        <w:rPr>
          <w:vertAlign w:val="superscript"/>
        </w:rPr>
        <w:t xml:space="preserve">28</w:t>
      </w:r>
      <w:r>
        <w:t xml:space="preserve"> </w:t>
      </w:r>
      <w:r>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w:t>
      </w:r>
      <w:r>
        <w:t xml:space="preserve"> </w:t>
      </w:r>
      <w:r>
        <w:t xml:space="preserve">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 xml:space="preserve">8,26–28</w:t>
      </w:r>
      <w:r>
        <w:t xml:space="preserve"> </w:t>
      </w:r>
      <w:r>
        <w:t xml:space="preserve">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Pr>
          <w:vertAlign w:val="superscript"/>
        </w:rPr>
        <w:t xml:space="preserve">9</w:t>
      </w:r>
      <w:r>
        <w:t xml:space="preserve"> </w:t>
      </w:r>
      <w:r>
        <w:t xml:space="preserve">The studies reported analysis of various environmental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Vibrio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quantitative polymerase chain reaction (qPCR). Additional details on the study designs, environmental sample collection, and laboratory methods are available elsewhere.</w:t>
      </w:r>
      <w:r>
        <w:rPr>
          <w:vertAlign w:val="superscript"/>
        </w:rPr>
        <w:t xml:space="preserve">15</w:t>
      </w:r>
      <w:r>
        <w:t xml:space="preserve"> </w:t>
      </w:r>
      <w:r>
        <w:t xml:space="preserve">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bookmarkEnd w:id="26"/>
    <w:bookmarkStart w:id="32" w:name="Xa1d6f8db804a75a8547ef2a782b4100645813fa"/>
    <w:p>
      <w:pPr>
        <w:pStyle w:val="Heading3"/>
      </w:pPr>
      <w:r>
        <w:t xml:space="preserve">Associations between environmental contamination and child health outcomes</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(Figure 1).</w:t>
      </w:r>
    </w:p>
    <w:bookmarkEnd w:id="27"/>
    <w:bookmarkStart w:id="28" w:name="associations-with-diarrhoea"/>
    <w:p>
      <w:pPr>
        <w:pStyle w:val="Heading4"/>
      </w:pPr>
      <w:r>
        <w:t xml:space="preserve">Associations with diarrhoea</w:t>
      </w:r>
    </w:p>
    <w:p>
      <w:pPr>
        <w:pStyle w:val="FirstParagraph"/>
      </w:pPr>
      <w:r>
        <w:t xml:space="preserve">Presence of any enteropathogen in any type of environmental sample (specifically child hand rinses and soil) was associated with higher diarrhoea prevalence in two studies</w:t>
      </w:r>
      <w:r>
        <w:rPr>
          <w:vertAlign w:val="superscript"/>
        </w:rPr>
        <w:t xml:space="preserve">29,30</w:t>
      </w:r>
      <w:r>
        <w:t xml:space="preserve"> </w:t>
      </w:r>
      <w:r>
        <w:t xml:space="preserve">but not when pooled across studies (pooled PR: 1.17 (95% CI: 0.94, 1.46), Figure 2). Broken down by pathogen group, viruses on child hands and soil-transmitted helminths (STH) in soil</w:t>
      </w:r>
      <w:r>
        <w:rPr>
          <w:vertAlign w:val="superscript"/>
        </w:rPr>
        <w:t xml:space="preserve">30</w:t>
      </w:r>
      <w:r>
        <w:t xml:space="preserve"> </w:t>
      </w:r>
      <w:r>
        <w:t xml:space="preserve">were associated with higher diarrhoea prevalence while bacteria on child hands</w:t>
      </w:r>
      <w:r>
        <w:rPr>
          <w:vertAlign w:val="superscript"/>
        </w:rPr>
        <w:t xml:space="preserve">31</w:t>
      </w:r>
      <w:r>
        <w:t xml:space="preserve"> </w:t>
      </w:r>
      <w:r>
        <w:t xml:space="preserve">and protozoa in soil</w:t>
      </w:r>
      <w:r>
        <w:rPr>
          <w:vertAlign w:val="superscript"/>
        </w:rPr>
        <w:t xml:space="preserve">32</w:t>
      </w:r>
      <w:r>
        <w:t xml:space="preserve"> </w:t>
      </w:r>
      <w:r>
        <w:t xml:space="preserve">were borderline associated with increased diarrhoea; most other associations were null (Figure S4). Most associations between specific pathogens in the environment and diarrhoea were null, but rotavirus on child hands,</w:t>
      </w:r>
      <w:r>
        <w:rPr>
          <w:vertAlign w:val="superscript"/>
        </w:rPr>
        <w:t xml:space="preserve">29</w:t>
      </w:r>
      <w:r>
        <w:t xml:space="preserve"> </w:t>
      </w:r>
      <w:r>
        <w:t xml:space="preserve">Ascaris in household soil,</w:t>
      </w:r>
      <w:r>
        <w:rPr>
          <w:vertAlign w:val="superscript"/>
        </w:rPr>
        <w:t xml:space="preserve">30</w:t>
      </w:r>
      <w:r>
        <w:t xml:space="preserve"> </w:t>
      </w:r>
      <w:r>
        <w:t xml:space="preserve">and Giardia in latrine soil</w:t>
      </w:r>
      <w:r>
        <w:rPr>
          <w:vertAlign w:val="superscript"/>
        </w:rPr>
        <w:t xml:space="preserve">32</w:t>
      </w:r>
      <w:r>
        <w:t xml:space="preserve"> </w:t>
      </w:r>
      <w:r>
        <w:t xml:space="preserve">were significantly associated with 1.5-2.3 times higher diarrhoea prevalence (Figure S5). Detection of astrovirus in soil</w:t>
      </w:r>
      <w:r>
        <w:rPr>
          <w:vertAlign w:val="superscript"/>
        </w:rPr>
        <w:t xml:space="preserve">33</w:t>
      </w:r>
      <w:r>
        <w:t xml:space="preserve"> </w:t>
      </w:r>
      <w:r>
        <w:t xml:space="preserve">and pathogenic E. coli on child hands</w:t>
      </w:r>
      <w:r>
        <w:rPr>
          <w:vertAlign w:val="superscript"/>
        </w:rPr>
        <w:t xml:space="preserve">31</w:t>
      </w:r>
      <w:r>
        <w:t xml:space="preserve"> </w:t>
      </w:r>
      <w:r>
        <w:t xml:space="preserve">was also borderline associated with increased diarrhoea (Figure S5). Increasing abundance of Ascaris and rotavirus in household soil,</w:t>
      </w:r>
      <w:r>
        <w:rPr>
          <w:vertAlign w:val="superscript"/>
        </w:rPr>
        <w:t xml:space="preserve">29,30,33</w:t>
      </w:r>
      <w:r>
        <w:t xml:space="preserve"> </w:t>
      </w:r>
      <w:r>
        <w:t xml:space="preserve">and rotavirus on child hands</w:t>
      </w:r>
      <w:r>
        <w:rPr>
          <w:vertAlign w:val="superscript"/>
        </w:rPr>
        <w:t xml:space="preserve">29</w:t>
      </w:r>
      <w:r>
        <w:t xml:space="preserve"> </w:t>
      </w:r>
      <w:r>
        <w:t xml:space="preserve">was associated with higher diarrhoea prevalence as well (Figure S6).</w:t>
      </w:r>
    </w:p>
    <w:p>
      <w:pPr>
        <w:pStyle w:val="BodyText"/>
      </w:pPr>
      <w:r>
        <w:t xml:space="preserve">There was no significant association with diarrhoea for the presence of any MST marker (no pooled estimate, Figure 2) or human-specific MST markers (pooled PR: (95% CI: , ), Figure S4) in any sample type. Detection of any animal MST markers in any sample type was associated with 4-fold higher diarrhoea prevalence in one study (PR: 1.00 (95% CI: NA, NA))</w:t>
      </w:r>
      <w:r>
        <w:rPr>
          <w:vertAlign w:val="superscript"/>
        </w:rPr>
        <w:t xml:space="preserve">34</w:t>
      </w:r>
      <w:r>
        <w:t xml:space="preserve"> </w:t>
      </w:r>
      <w:r>
        <w:t xml:space="preserve">but not pooled across studies (pooled PR: (95% CI: , ), Figure S4). Detection of the avian GFD marker in any sample type was associated with 2.4-fold higher diarrhoea in the same study,</w:t>
      </w:r>
      <w:r>
        <w:rPr>
          <w:vertAlign w:val="superscript"/>
        </w:rPr>
        <w:t xml:space="preserve">34</w:t>
      </w:r>
      <w:r>
        <w:t xml:space="preserve"> </w:t>
      </w:r>
      <w:r>
        <w:t xml:space="preserve">and the same marker in stored water and on child hands was borderline associated with increased diarrhoea in a different study (Figure S7).</w:t>
      </w:r>
      <w:r>
        <w:rPr>
          <w:vertAlign w:val="superscript"/>
        </w:rPr>
        <w:t xml:space="preserve">29</w:t>
      </w:r>
    </w:p>
    <w:bookmarkEnd w:id="28"/>
    <w:bookmarkStart w:id="29" w:name="associations-with-child-growth"/>
    <w:p>
      <w:pPr>
        <w:pStyle w:val="Heading4"/>
      </w:pPr>
      <w:r>
        <w:t xml:space="preserve">Associations with child growth</w:t>
      </w:r>
    </w:p>
    <w:p>
      <w:pPr>
        <w:pStyle w:val="FirstParagraph"/>
      </w:pPr>
      <w:r>
        <w:t xml:space="preserve">Most studies showed slightly lower HAZ associated with enteropathogen detection in environmental samples but associations could not be distinguished from chance. Pooled across studies, detection of any enteropathogen in any sample type was significantly associated with lower HAZ (pooled mean difference [</w:t>
      </w:r>
      <m:oMath>
        <m:r>
          <m:t>Δ</m:t>
        </m:r>
      </m:oMath>
      <w:r>
        <w:t xml:space="preserve"> </w:t>
      </w:r>
      <w:r>
        <w:t xml:space="preserve">HAZ]: -0.09 (95% CI: -0.18, -0.01), Figure 3). Broken down by pathogen groups, presence of protozoa on child hands was associated with lower HAZ (</w:t>
      </w:r>
      <m:oMath>
        <m:r>
          <m:t>Δ</m:t>
        </m:r>
      </m:oMath>
      <w:r>
        <w:t xml:space="preserve"> </w:t>
      </w:r>
      <w:r>
        <w:t xml:space="preserve">HAZ= -0.51 (95% CI: -0.93, -0.08), Figure S4) in one study.</w:t>
      </w:r>
      <w:r>
        <w:rPr>
          <w:vertAlign w:val="superscript"/>
        </w:rPr>
        <w:t xml:space="preserve">31</w:t>
      </w:r>
      <w:r>
        <w:t xml:space="preserve"> </w:t>
      </w:r>
      <w:r>
        <w:t xml:space="preserve">Among individual pathogens, detection of</w:t>
      </w:r>
      <w:r>
        <w:t xml:space="preserve"> </w:t>
      </w:r>
      <w:r>
        <w:rPr>
          <w:iCs/>
          <w:i/>
        </w:rPr>
        <w:t xml:space="preserve">Ascaris</w:t>
      </w:r>
      <w:r>
        <w:t xml:space="preserve"> </w:t>
      </w:r>
      <w:r>
        <w:t xml:space="preserve">in soil,</w:t>
      </w:r>
      <w:r>
        <w:rPr>
          <w:vertAlign w:val="superscript"/>
        </w:rPr>
        <w:t xml:space="preserve">33</w:t>
      </w:r>
      <w:r>
        <w:t xml:space="preserve"> </w:t>
      </w:r>
      <w:r>
        <w:rPr>
          <w:iCs/>
          <w:i/>
        </w:rPr>
        <w:t xml:space="preserve">Giardia</w:t>
      </w:r>
      <w:r>
        <w:t xml:space="preserve"> </w:t>
      </w:r>
      <w:r>
        <w:t xml:space="preserve">on child hands,</w:t>
      </w:r>
      <w:r>
        <w:rPr>
          <w:vertAlign w:val="superscript"/>
        </w:rPr>
        <w:t xml:space="preserve">32</w:t>
      </w:r>
      <w:r>
        <w:t xml:space="preserve"> </w:t>
      </w:r>
      <w:r>
        <w:t xml:space="preserve">and rotavirus in soil</w:t>
      </w:r>
      <w:r>
        <w:rPr>
          <w:vertAlign w:val="superscript"/>
        </w:rPr>
        <w:t xml:space="preserve">32</w:t>
      </w:r>
      <w:r>
        <w:t xml:space="preserve"> </w:t>
      </w:r>
      <w:r>
        <w:t xml:space="preserve">was significantly associated with lower HAZ (</w:t>
      </w:r>
      <m:oMath>
        <m:r>
          <m:t>Δ</m:t>
        </m:r>
      </m:oMath>
      <w:r>
        <w:t xml:space="preserve"> </w:t>
      </w:r>
      <w:r>
        <w:t xml:space="preserve">HAZ from -0.22 to -0.51, Figure S5). Many associations between individual pathogens and HAZ were null, but several pathogens in different sample types were associated with higher HAZ (Figure S5). Associations between the abundance of specific enteropathogens and HAZ, and between the presence/abundance of enteropathogens and WAZ, WHZ, stunting and wasting were inconsistent (Figures S5 and S6). For multiple pathogens, detection in environmental samples was associated or nearly associated with a higher prevalence of underweight children (Figure S5).</w:t>
      </w:r>
    </w:p>
    <w:p>
      <w:pPr>
        <w:pStyle w:val="BodyText"/>
      </w:pPr>
      <w:r>
        <w:t xml:space="preserve">There was no association with HAZ for the detection of any MST marker (pooled</w:t>
      </w:r>
      <w:r>
        <w:t xml:space="preserve"> </w:t>
      </w:r>
      <m:oMath>
        <m:r>
          <m:t>Δ</m:t>
        </m:r>
      </m:oMath>
      <w:r>
        <w:t xml:space="preserve"> </w:t>
      </w:r>
      <w:r>
        <w:t xml:space="preserve">HAZ: -0.02 (95% CI: -0.27, 0.24), Figure 1), any human-specific marker (pooled</w:t>
      </w:r>
      <w:r>
        <w:t xml:space="preserve"> </w:t>
      </w:r>
      <m:oMath>
        <m:r>
          <m:t>Δ</m:t>
        </m:r>
      </m:oMath>
      <w:r>
        <w:t xml:space="preserve"> </w:t>
      </w:r>
      <w:r>
        <w:t xml:space="preserve">HAZ: 0.00 (95% CI: -0.13, 0.14), Figure S4) or animal-specific marker (pooled</w:t>
      </w:r>
      <w:r>
        <w:t xml:space="preserve"> </w:t>
      </w:r>
      <m:oMath>
        <m:r>
          <m:t>Δ</m:t>
        </m:r>
      </m:oMath>
      <w:r>
        <w:t xml:space="preserve"> </w:t>
      </w:r>
      <w:r>
        <w:t xml:space="preserve">HAZ: 0.00 (95% CI: -0.21, 0.21), Figure S4) in any environmental sample. In one study, detection of any MST marker in stored water was associated with lower HAZ (</w:t>
      </w:r>
      <m:oMath>
        <m:r>
          <m:t>Δ</m:t>
        </m:r>
      </m:oMath>
      <w:r>
        <w:t xml:space="preserve"> </w:t>
      </w:r>
      <w:r>
        <w:t xml:space="preserve">HAZ: -0.23 (95% CI: -0.45, -0.02), Figure 3),</w:t>
      </w:r>
      <w:r>
        <w:rPr>
          <w:vertAlign w:val="superscript"/>
        </w:rPr>
        <w:t xml:space="preserve">29</w:t>
      </w:r>
      <w:r>
        <w:t xml:space="preserve"> </w:t>
      </w:r>
      <w:r>
        <w:t xml:space="preserve">this was driven by animal markers (Figure S4) and specifically the avian GFD marker (Figure S7). Associations between the presence/abundance of individual MST markers and growth measures were inconsistent and mostly null (Figures S4, S7, S8). Within individual studies, some markers were repeatedly associated with reduced growth across multiple metrics (</w:t>
      </w:r>
      <m:oMath>
        <m:r>
          <m:t>Δ</m:t>
        </m:r>
      </m:oMath>
      <w:r>
        <w:t xml:space="preserve"> </w:t>
      </w:r>
      <w:r>
        <w:t xml:space="preserve">z from -0.24 to -0.40), such as animal markers (BacCow) in soil, and avian (GFD) and ruminant (BacR) markers in stored water (Figure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(Figures S7, S8).</w:t>
      </w:r>
    </w:p>
    <w:bookmarkEnd w:id="29"/>
    <w:bookmarkStart w:id="30" w:name="subgroup-analyses"/>
    <w:p>
      <w:pPr>
        <w:pStyle w:val="Heading4"/>
      </w:pPr>
      <w:r>
        <w:t xml:space="preserve">Subgroup analyses</w:t>
      </w:r>
    </w:p>
    <w:p>
      <w:pPr>
        <w:pStyle w:val="FirstParagraph"/>
      </w:pPr>
      <w:r>
        <w:t xml:space="preserve">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detection in environmental samples was associated with a larger growth deficit in boys (</w:t>
      </w:r>
      <m:oMath>
        <m:r>
          <m:t>Δ</m:t>
        </m:r>
      </m:oMath>
      <w:r>
        <w:t xml:space="preserve"> </w:t>
      </w:r>
      <w:r>
        <w:t xml:space="preserve">HAZ: -0.12 (95% CI: -0.24, 0.00)) than in girls (</w:t>
      </w:r>
      <m:oMath>
        <m:r>
          <m:t>Δ</m:t>
        </m:r>
      </m:oMath>
      <w:r>
        <w:t xml:space="preserve"> </w:t>
      </w:r>
      <w:r>
        <w:t xml:space="preserve">HAZ -0.07 (95% CI: -0.19, 0.05), Figure S12).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(95% CI: , )) but not the dry season (Figure S14). MST markers were not associated with diarrhoea in either season. Estimates did not differ between urban and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bookmarkEnd w:id="31"/>
    <w:bookmarkEnd w:id="32"/>
    <w:bookmarkEnd w:id="33"/>
    <w:bookmarkStart w:id="34" w:name="discussion"/>
    <w:p>
      <w:pPr>
        <w:pStyle w:val="Heading2"/>
      </w:pPr>
      <w:r>
        <w:t xml:space="preserve">Discussion</w:t>
      </w:r>
    </w:p>
    <w:p>
      <w:pPr>
        <w:pStyle w:val="FirstParagraph"/>
      </w:pPr>
      <w:r>
        <w:t xml:space="preserve">Detection of enteropathogens in the domestic environment was associated with higher prevalence of subsequent infection with the same pathogen and lower HAZ (pooled</w:t>
      </w:r>
      <w:r>
        <w:t xml:space="preserve"> </w:t>
      </w:r>
      <m:oMath>
        <m:r>
          <m:t>Δ</m:t>
        </m:r>
      </m:oMath>
      <w:r>
        <w:t xml:space="preserve"> </w:t>
      </w:r>
      <w:r>
        <w:t xml:space="preserve">HAZ: -0.09 (95% CI: -0.18, -0.01)) but not diarrhoea (pooled PR: 1.17 (95% CI: 0.94, 1.46)) among children. However, some individual pathogens were associated with increased diarrhoea. Overall, human or animal MST markers were not associated with diarrhoea (pooled PR: (95% CI: , ) for human markers, (95% CI: , ) for animal markers) or child growth (pooled</w:t>
      </w:r>
      <w:r>
        <w:t xml:space="preserve"> </w:t>
      </w:r>
      <m:oMath>
        <m:r>
          <m:t>Δ</m:t>
        </m:r>
      </m:oMath>
      <w:r>
        <w:t xml:space="preserve"> </w:t>
      </w:r>
      <w:r>
        <w:t xml:space="preserve">HAZ: 0.00 (95% CI: -0.13, 0.14) for human markers, 0.00 (95% CI: -0.21, 0.21) for animal markers). In individual studies, though, the avian GFD marker was associated with increased diarrhoea, and the BacCow, avian GFD, and ruminant BacR markers were associated with reduced growth across multiple metrics.</w:t>
      </w:r>
    </w:p>
    <w:p>
      <w:pPr>
        <w:pStyle w:val="BodyText"/>
      </w:pPr>
      <w:r>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w:t>
      </w:r>
      <w:r>
        <w:t xml:space="preserve"> </w:t>
      </w:r>
      <m:oMath>
        <m:r>
          <m:rPr>
            <m:sty m:val="p"/>
          </m:rPr>
          <m:t>≥</m:t>
        </m:r>
      </m:oMath>
      <w:r>
        <w:t xml:space="preserve"> </w:t>
      </w:r>
      <w:r>
        <w:t xml:space="preserve">1 pathogen in 65% of non-diarrhoeal stools vs. 77% of diarrhoeal stools.</w:t>
      </w:r>
      <w:r>
        <w:rPr>
          <w:vertAlign w:val="superscript"/>
        </w:rPr>
        <w:t xml:space="preserve">35</w:t>
      </w:r>
      <w:r>
        <w:t xml:space="preserve"> </w:t>
      </w:r>
      <w:r>
        <w:t xml:space="preserve">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 xml:space="preserve">36</w:t>
      </w:r>
      <w:r>
        <w:t xml:space="preserve"> </w:t>
      </w:r>
      <w:r>
        <w:t xml:space="preserve">and non-pathogenic etiologies can cause diarrhoea symptoms. Caregiver-reported diarrhoea is also subject to poor recall and potential misclassification.</w:t>
      </w:r>
      <w:r>
        <w:rPr>
          <w:vertAlign w:val="superscript"/>
        </w:rPr>
        <w:t xml:space="preserve">37</w:t>
      </w:r>
      <w:r>
        <w:t xml:space="preserve"> </w:t>
      </w:r>
      <w:r>
        <w:t xml:space="preserve">In a study in Bangladesh, survey questions on diarrhoea symptoms, pictorial surveys and visual assessment of stool had poor agreement with each other and low sensitivity and specificity against pathogen detection in stool.</w:t>
      </w:r>
      <w:r>
        <w:rPr>
          <w:vertAlign w:val="superscript"/>
        </w:rPr>
        <w:t xml:space="preserve">38</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Pathogens in the environment that were associated with increased diarrhoea in individual studies in our analysis included</w:t>
      </w:r>
      <w:r>
        <w:t xml:space="preserve"> </w:t>
      </w:r>
      <w:r>
        <w:rPr>
          <w:iCs/>
          <w:i/>
        </w:rPr>
        <w:t xml:space="preserve">Ascaris</w:t>
      </w:r>
      <w:r>
        <w:t xml:space="preserve">,</w:t>
      </w:r>
      <w:r>
        <w:t xml:space="preserve"> </w:t>
      </w:r>
      <w:r>
        <w:rPr>
          <w:iCs/>
          <w:i/>
        </w:rPr>
        <w:t xml:space="preserve">Giardia</w:t>
      </w:r>
      <w:r>
        <w:t xml:space="preserve">, astrovirus, and rotavirus. These associations could be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astrovirus, and rotavirus are resilient to environmental stress.</w:t>
      </w:r>
      <w:r>
        <w:rPr>
          <w:vertAlign w:val="superscript"/>
        </w:rPr>
        <w:t xml:space="preserve">40–42</w:t>
      </w:r>
      <w:r>
        <w:t xml:space="preserve"> </w:t>
      </w:r>
      <w:r>
        <w:t xml:space="preserve">Among these, rotavirus and astrovirus have been identified in multi-country case-control studies among the pathogens with the highest attributable burden of child diarrhoea in low-income countries.</w:t>
      </w:r>
      <w:r>
        <w:rPr>
          <w:vertAlign w:val="superscript"/>
        </w:rPr>
        <w:t xml:space="preserve">35,43</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environmental data to estimate associations with diarrhoea for these pathogens except for a null association with</w:t>
      </w:r>
      <w:r>
        <w:t xml:space="preserve"> </w:t>
      </w:r>
      <w:r>
        <w:rPr>
          <w:iCs/>
          <w:i/>
        </w:rPr>
        <w:t xml:space="preserve">Shigella</w:t>
      </w:r>
      <w:r>
        <w:t xml:space="preserve"> </w:t>
      </w:r>
      <w:r>
        <w:t xml:space="preserve">in one study. We also note that</w:t>
      </w:r>
      <w:r>
        <w:t xml:space="preserve"> </w:t>
      </w:r>
      <w:r>
        <w:rPr>
          <w:iCs/>
          <w:i/>
        </w:rPr>
        <w:t xml:space="preserve">Ascaris</w:t>
      </w:r>
      <w:r>
        <w:t xml:space="preserve"> </w:t>
      </w:r>
      <w:r>
        <w:t xml:space="preserve">infections typically do not lead to diarrhoeal symptoms</w:t>
      </w:r>
      <w:r>
        <w:rPr>
          <w:vertAlign w:val="superscript"/>
        </w:rPr>
        <w:t xml:space="preserve">44</w:t>
      </w:r>
      <w:r>
        <w:t xml:space="preserve"> </w:t>
      </w:r>
      <w:r>
        <w:t xml:space="preserve">and the observed association in our analysis could reflect a chance finding, co-occurrence of other pathogens in the soil samples, or residual confounding.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pPr>
        <w:pStyle w:val="BodyText"/>
      </w:pPr>
      <w:r>
        <w:t xml:space="preserve">The MST markers in our analysis, including human (HumM2, HF183, BacHum,</w:t>
      </w:r>
      <w:r>
        <w:t xml:space="preserve"> </w:t>
      </w:r>
      <w:r>
        <w:rPr>
          <w:iCs/>
          <w:i/>
        </w:rPr>
        <w:t xml:space="preserve">M. smithii</w:t>
      </w:r>
      <w:r>
        <w:t xml:space="preserve">),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 xml:space="preserve">45</w:t>
      </w:r>
      <w:r>
        <w:t xml:space="preserve"> </w:t>
      </w:r>
      <w:r>
        <w:t xml:space="preserve">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 xml:space="preserve">46,47</w:t>
      </w:r>
      <w:r>
        <w:t xml:space="preserve"> </w:t>
      </w:r>
      <w:r>
        <w:t xml:space="preserve">A validation study from 16 countries on six continents found that that the sensitivity of BacHum, BacCow and BacR was 87-92%, while host-specificity was 69% for BacHum, 57% for BacCow and 84% for BacR.</w:t>
      </w:r>
      <w:r>
        <w:rPr>
          <w:vertAlign w:val="superscript"/>
        </w:rPr>
        <w:t xml:space="preserve">48</w:t>
      </w:r>
      <w:r>
        <w:t xml:space="preserve"> </w:t>
      </w:r>
      <w:r>
        <w:t xml:space="preserve">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 xml:space="preserve">49</w:t>
      </w:r>
      <w:r>
        <w:t xml:space="preserve"> </w:t>
      </w:r>
      <w:r>
        <w:t xml:space="preserve">The selected animal marker (BacCow) had 95% sensitivity and 100% specificity.</w:t>
      </w:r>
      <w:r>
        <w:rPr>
          <w:vertAlign w:val="superscript"/>
        </w:rPr>
        <w:t xml:space="preserve">49</w:t>
      </w:r>
      <w:r>
        <w:t xml:space="preserve"> </w:t>
      </w:r>
      <w:r>
        <w:t xml:space="preserve">For WASH Benefits Bangladesh, the selected HumM2, BacR and GFD markers had &gt;80% sensitivity and specificity tested against local human, chicken/duck, cow and goat faeces. For MapSan, the selected human markers (HF183,</w:t>
      </w:r>
      <w:r>
        <w:t xml:space="preserve"> </w:t>
      </w:r>
      <w:r>
        <w:rPr>
          <w:iCs/>
          <w:i/>
        </w:rPr>
        <w:t xml:space="preserve">M. smithii</w:t>
      </w:r>
      <w:r>
        <w:t xml:space="preserve">) had 64-71% sensitivity and 67-71% specificity, and they cross-reacted with avian feces.</w:t>
      </w:r>
      <w:r>
        <w:rPr>
          <w:vertAlign w:val="superscript"/>
        </w:rPr>
        <w:t xml:space="preserve">50</w:t>
      </w:r>
      <w:r>
        <w:t xml:space="preserve"> </w:t>
      </w:r>
      <w:r>
        <w:t xml:space="preserve">The avian GFD marker had 78% sensitivity and 100% specificity.</w:t>
      </w:r>
      <w:r>
        <w:rPr>
          <w:vertAlign w:val="superscript"/>
        </w:rPr>
        <w:t xml:space="preserve">50</w:t>
      </w:r>
      <w:r>
        <w:t xml:space="preserve"> </w:t>
      </w:r>
      <w:r>
        <w:t xml:space="preserve">A large body of research focused on recreational waters in high-income countries indicates that human MST markers in environmental matrices do not predict gastrointestinal illness.</w:t>
      </w:r>
      <w:r>
        <w:rPr>
          <w:vertAlign w:val="superscript"/>
        </w:rPr>
        <w:t xml:space="preserve">51</w:t>
      </w:r>
      <w:r>
        <w:t xml:space="preserve"> </w:t>
      </w:r>
      <w:r>
        <w:t xml:space="preserve">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 xml:space="preserve">48</w:t>
      </w:r>
      <w:r>
        <w:t xml:space="preserve"> </w:t>
      </w:r>
      <w:r>
        <w:t xml:space="preserve">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 xml:space="preserve">52–58</w:t>
      </w:r>
      <w:r>
        <w:t xml:space="preserve"> </w:t>
      </w:r>
      <w:r>
        <w:t xml:space="preserve">Our findings of health associations with avian faecal markers also suggest that well-performing MST markers can be a useful tool for detecting zoonotic health risks.</w:t>
      </w:r>
    </w:p>
    <w:p>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for improved water sources but not for surface water sources in India.</w:t>
      </w:r>
      <w:r>
        <w:rPr>
          <w:vertAlign w:val="superscript"/>
        </w:rPr>
        <w:t xml:space="preserve">59</w:t>
      </w:r>
      <w:r>
        <w:t xml:space="preserve"> </w:t>
      </w:r>
      <w:r>
        <w:t xml:space="preserve">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 xml:space="preserve">59</w:t>
      </w:r>
      <w:r>
        <w:t xml:space="preserve"> </w:t>
      </w:r>
      <w:r>
        <w:t xml:space="preserve">Most other studies in low-income countries have characterized environmental faecal contamination using FIB. Meta-analyses indicate that</w:t>
      </w:r>
      <w:r>
        <w:t xml:space="preserve"> </w:t>
      </w:r>
      <w:r>
        <w:rPr>
          <w:iCs/>
          <w:i/>
        </w:rPr>
        <w:t xml:space="preserve">E. coli</w:t>
      </w:r>
      <w:r>
        <w:t xml:space="preserve"> </w:t>
      </w:r>
      <w:r>
        <w:t xml:space="preserve">and thermotolerant coliforms in drinking water are associated with increased risk of diarrhoea.</w:t>
      </w:r>
      <w:r>
        <w:rPr>
          <w:vertAlign w:val="superscript"/>
        </w:rPr>
        <w:t xml:space="preserve">13,60</w:t>
      </w:r>
      <w:r>
        <w:t xml:space="preserve"> </w:t>
      </w:r>
      <w:r>
        <w:t xml:space="preserve">An IPD analysis found that the odds of diarrhoea increased by 9% for each log</w:t>
      </w:r>
      <w:r>
        <w:rPr>
          <w:vertAlign w:val="subscript"/>
        </w:rPr>
        <w:t xml:space="preserve">10</w:t>
      </w:r>
      <w:r>
        <w:t xml:space="preserve"> </w:t>
      </w:r>
      <w:r>
        <w:t xml:space="preserve">FIB increase in drinking water and by 11% for each log</w:t>
      </w:r>
      <w:r>
        <w:rPr>
          <w:vertAlign w:val="subscript"/>
        </w:rPr>
        <w:t xml:space="preserve">10</w:t>
      </w:r>
      <w:r>
        <w:t xml:space="preserve"> </w:t>
      </w:r>
      <w:r>
        <w:t xml:space="preserve">FIB increase on child hands.</w:t>
      </w:r>
      <w:r>
        <w:rPr>
          <w:vertAlign w:val="superscript"/>
        </w:rPr>
        <w:t xml:space="preserve">10</w:t>
      </w:r>
      <w:r>
        <w:t xml:space="preserve"> </w:t>
      </w:r>
      <w:r>
        <w:t xml:space="preserve">In the same analysis, a log</w:t>
      </w:r>
      <w:r>
        <w:rPr>
          <w:vertAlign w:val="subscript"/>
        </w:rPr>
        <w:t xml:space="preserve">10</w:t>
      </w:r>
      <w:r>
        <w:t xml:space="preserve"> </w:t>
      </w:r>
      <w:r>
        <w:t xml:space="preserve">increase in FIB in drinking water and on fomites was associated with slightly lower HAZ (</w:t>
      </w:r>
      <m:oMath>
        <m:r>
          <m:t>Δ</m:t>
        </m:r>
      </m:oMath>
      <w:r>
        <w:t xml:space="preserve"> </w:t>
      </w:r>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 </w:t>
      </w:r>
      <w:r>
        <w:t xml:space="preserve">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pPr>
        <w:pStyle w:val="BodyText"/>
      </w:pPr>
      <w:r>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Pr>
          <w:vertAlign w:val="superscript"/>
        </w:rPr>
        <w:t xml:space="preserve">11–13</w:t>
      </w:r>
      <w:r>
        <w:t xml:space="preserve"> </w:t>
      </w:r>
      <w:r>
        <w:t xml:space="preserve">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 xml:space="preserve">61,62</w:t>
      </w:r>
      <w:r>
        <w:t xml:space="preserve"> </w:t>
      </w:r>
      <w:r>
        <w:t xml:space="preserve">so grab samples capturing one point in time and space are unlikely to adequately characterize contamination. In an analysis among beachgoers in the US, averaging repeated</w:t>
      </w:r>
      <w:r>
        <w:t xml:space="preserve"> </w:t>
      </w:r>
      <w:r>
        <w:rPr>
          <w:iCs/>
          <w:i/>
        </w:rPr>
        <w:t xml:space="preserve">Enterococcus</w:t>
      </w:r>
      <w:r>
        <w:t xml:space="preserve"> </w:t>
      </w:r>
      <w:r>
        <w:t xml:space="preserve">measurements in recreational waters revealed associations with gastrointestinal illness among swimmers</w:t>
      </w:r>
      <w:r>
        <w:rPr>
          <w:vertAlign w:val="superscript"/>
        </w:rPr>
        <w:t xml:space="preserve">63</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 xml:space="preserve">64</w:t>
      </w:r>
      <w:r>
        <w:t xml:space="preserve"> </w:t>
      </w:r>
      <w:r>
        <w:t xml:space="preserve">Children’s contact patterns with environmental matrices vary with age and setting.</w:t>
      </w:r>
      <w:r>
        <w:rPr>
          <w:vertAlign w:val="superscript"/>
        </w:rPr>
        <w:t xml:space="preserve">65,66</w:t>
      </w:r>
      <w:r>
        <w:t xml:space="preserve"> </w:t>
      </w:r>
      <w:r>
        <w:t xml:space="preserve">Combining assessments of these patterns with environmental measurements may better predict health risks.</w:t>
      </w:r>
      <w:r>
        <w:rPr>
          <w:vertAlign w:val="superscript"/>
        </w:rPr>
        <w:t xml:space="preserve">67,68</w:t>
      </w:r>
    </w:p>
    <w:p>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bookmarkEnd w:id="34"/>
    <w:bookmarkStart w:id="169" w:name="references"/>
    <w:p>
      <w:pPr>
        <w:pStyle w:val="Heading2"/>
      </w:pPr>
      <w:r>
        <w:t xml:space="preserve">References</w:t>
      </w:r>
    </w:p>
    <w:bookmarkStart w:id="168"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4" w:name="X4ea7256b642a81e90b5df5e4071b9e34f6788d7"/>
    <w:p>
      <w:pPr>
        <w:pStyle w:val="Bibliography"/>
      </w:pPr>
      <w:r>
        <w:t xml:space="preserve">16</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64"/>
    <w:bookmarkStart w:id="66" w:name="Xb085e99df1676528103e53921e4b5a693e2fb9a"/>
    <w:p>
      <w:pPr>
        <w:pStyle w:val="Bibliography"/>
      </w:pPr>
      <w:r>
        <w:t xml:space="preserve">17</w:t>
      </w:r>
      <w:r>
        <w:t xml:space="preserve"> </w:t>
      </w:r>
      <w:r>
        <w:t xml:space="preserve">	</w:t>
      </w:r>
      <w:r>
        <w:t xml:space="preserve">WHO Multicentre Growth Reference Study Group.</w:t>
      </w:r>
      <w:r>
        <w:t xml:space="preserve"> </w:t>
      </w:r>
      <w:hyperlink r:id="rId65">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6"/>
    <w:bookmarkStart w:id="68" w:name="X325faf369aa13b3d7167bcca72f53c68b904f73"/>
    <w:p>
      <w:pPr>
        <w:pStyle w:val="Bibliography"/>
      </w:pPr>
      <w:r>
        <w:t xml:space="preserve">18</w:t>
      </w:r>
      <w:r>
        <w:t xml:space="preserve"> </w:t>
      </w:r>
      <w:r>
        <w:t xml:space="preserve">	</w:t>
      </w:r>
      <w:r>
        <w:t xml:space="preserve">Luby SP, Halder AK, Huda TMd,</w:t>
      </w:r>
      <w:r>
        <w:t xml:space="preserve"> </w:t>
      </w:r>
      <w:r>
        <w:rPr>
          <w:iCs/>
          <w:i/>
        </w:rPr>
        <w:t xml:space="preserve">et al.</w:t>
      </w:r>
      <w:r>
        <w:t xml:space="preserve"> </w:t>
      </w:r>
      <w:hyperlink r:id="rId67">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8"/>
    <w:bookmarkStart w:id="70" w:name="ref-zouModifiedPoissonRegression2004"/>
    <w:p>
      <w:pPr>
        <w:pStyle w:val="Bibliography"/>
      </w:pPr>
      <w:r>
        <w:t xml:space="preserve">19</w:t>
      </w:r>
      <w:r>
        <w:t xml:space="preserve"> </w:t>
      </w:r>
      <w:r>
        <w:t xml:space="preserve">	</w:t>
      </w:r>
      <w:r>
        <w:t xml:space="preserve">Zou G.</w:t>
      </w:r>
      <w:r>
        <w:t xml:space="preserve"> </w:t>
      </w:r>
      <w:hyperlink r:id="rId69">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70"/>
    <w:bookmarkStart w:id="72" w:name="X04fc24c9e84bb9ecddf82005ed2d8be64e788e3"/>
    <w:p>
      <w:pPr>
        <w:pStyle w:val="Bibliography"/>
      </w:pPr>
      <w:r>
        <w:t xml:space="preserve">20</w:t>
      </w:r>
      <w:r>
        <w:t xml:space="preserve"> </w:t>
      </w:r>
      <w:r>
        <w:t xml:space="preserve">	</w:t>
      </w:r>
      <w:r>
        <w:t xml:space="preserve">Zeileis A.</w:t>
      </w:r>
      <w:r>
        <w:t xml:space="preserve"> </w:t>
      </w:r>
      <w:hyperlink r:id="rId71">
        <w:r>
          <w:rPr>
            <w:rStyle w:val="Hyperlink"/>
          </w:rPr>
          <w:t xml:space="preserve">Object-oriented</w:t>
        </w:r>
        <w:r>
          <w:rPr>
            <w:rStyle w:val="Hyperlink"/>
          </w:rPr>
          <w:t xml:space="preserve"> </w:t>
        </w:r>
        <w:r>
          <w:rPr>
            <w:rStyle w:val="Hyperlink"/>
          </w:rPr>
          <w:t xml:space="preserve">Computation</w:t>
        </w:r>
        <w:r>
          <w:rPr>
            <w:rStyle w:val="Hyperlink"/>
          </w:rPr>
          <w:t xml:space="preserve"> </w:t>
        </w:r>
        <w:r>
          <w:rPr>
            <w:rStyle w:val="Hyperlink"/>
          </w:rPr>
          <w:t xml:space="preserve">of</w:t>
        </w:r>
        <w:r>
          <w:rPr>
            <w:rStyle w:val="Hyperlink"/>
          </w:rPr>
          <w:t xml:space="preserve"> </w:t>
        </w:r>
        <w:r>
          <w:rPr>
            <w:rStyle w:val="Hyperlink"/>
          </w:rPr>
          <w:t xml:space="preserve">Sandwich Estimators</w:t>
        </w:r>
      </w:hyperlink>
      <w:r>
        <w:t xml:space="preserve">.</w:t>
      </w:r>
      <w:r>
        <w:t xml:space="preserve"> </w:t>
      </w:r>
      <w:r>
        <w:rPr>
          <w:iCs/>
          <w:i/>
        </w:rPr>
        <w:t xml:space="preserve">Journal of Statistical Software</w:t>
      </w:r>
      <w:r>
        <w:t xml:space="preserve"> </w:t>
      </w:r>
      <w:r>
        <w:t xml:space="preserve">2006;</w:t>
      </w:r>
      <w:r>
        <w:t xml:space="preserve"> </w:t>
      </w:r>
      <w:r>
        <w:rPr>
          <w:bCs/>
          <w:b/>
        </w:rPr>
        <w:t xml:space="preserve">16</w:t>
      </w:r>
      <w:r>
        <w:t xml:space="preserve">: 1–6.</w:t>
      </w:r>
    </w:p>
    <w:bookmarkEnd w:id="72"/>
    <w:bookmarkStart w:id="74" w:name="X0d8fe7285a459ef2a123c0bbff98fb4aa7c6fc5"/>
    <w:p>
      <w:pPr>
        <w:pStyle w:val="Bibliography"/>
      </w:pPr>
      <w:r>
        <w:t xml:space="preserve">21</w:t>
      </w:r>
      <w:r>
        <w:t xml:space="preserve"> </w:t>
      </w:r>
      <w:r>
        <w:t xml:space="preserve">	</w:t>
      </w:r>
      <w:r>
        <w:t xml:space="preserve">Cochran WG.</w:t>
      </w:r>
      <w:r>
        <w:t xml:space="preserve"> </w:t>
      </w:r>
      <w:hyperlink r:id="rId73">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4"/>
    <w:bookmarkStart w:id="76" w:name="X2b757688074e61078315a9b965c91fa89ad5f8d"/>
    <w:p>
      <w:pPr>
        <w:pStyle w:val="Bibliography"/>
      </w:pPr>
      <w:r>
        <w:t xml:space="preserve">22</w:t>
      </w:r>
      <w:r>
        <w:t xml:space="preserve"> </w:t>
      </w:r>
      <w:r>
        <w:t xml:space="preserve">	</w:t>
      </w:r>
      <w:r>
        <w:t xml:space="preserve">WHO Multicentre Growth Reference Study Group.</w:t>
      </w:r>
      <w:r>
        <w:t xml:space="preserve"> </w:t>
      </w:r>
      <w:hyperlink r:id="rId75">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6"/>
    <w:bookmarkStart w:id="77" w:name="ref-d.o.oWeatherAtlasWeather"/>
    <w:p>
      <w:pPr>
        <w:pStyle w:val="Bibliography"/>
      </w:pPr>
      <w:r>
        <w:t xml:space="preserve">23</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7"/>
    <w:bookmarkStart w:id="79" w:name="ref-vanderweeleTutorialInteraction2014"/>
    <w:p>
      <w:pPr>
        <w:pStyle w:val="Bibliography"/>
      </w:pPr>
      <w:r>
        <w:t xml:space="preserve">24</w:t>
      </w:r>
      <w:r>
        <w:t xml:space="preserve"> </w:t>
      </w:r>
      <w:r>
        <w:t xml:space="preserve">	</w:t>
      </w:r>
      <w:r>
        <w:t xml:space="preserve">VanderWeele TJ, Knol MJ.</w:t>
      </w:r>
      <w:r>
        <w:t xml:space="preserve"> </w:t>
      </w:r>
      <w:hyperlink r:id="rId78">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9"/>
    <w:bookmarkStart w:id="81" w:name="ref-schulerTargetedMaximumLikelihood2017"/>
    <w:p>
      <w:pPr>
        <w:pStyle w:val="Bibliography"/>
      </w:pPr>
      <w:r>
        <w:t xml:space="preserve">25</w:t>
      </w:r>
      <w:r>
        <w:t xml:space="preserve"> </w:t>
      </w:r>
      <w:r>
        <w:t xml:space="preserve">	</w:t>
      </w:r>
      <w:r>
        <w:t xml:space="preserve">Schuler MS, Rose S.</w:t>
      </w:r>
      <w:r>
        <w:t xml:space="preserve"> </w:t>
      </w:r>
      <w:hyperlink r:id="rId80">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81"/>
    <w:bookmarkStart w:id="83" w:name="ref-kneeEffectsUrbanSanitation2021"/>
    <w:p>
      <w:pPr>
        <w:pStyle w:val="Bibliography"/>
      </w:pPr>
      <w:r>
        <w:t xml:space="preserve">26</w:t>
      </w:r>
      <w:r>
        <w:t xml:space="preserve"> </w:t>
      </w:r>
      <w:r>
        <w:t xml:space="preserve">	</w:t>
      </w:r>
      <w:r>
        <w:t xml:space="preserve">Knee J, Sumner T, Adriano Z,</w:t>
      </w:r>
      <w:r>
        <w:t xml:space="preserve"> </w:t>
      </w:r>
      <w:r>
        <w:rPr>
          <w:iCs/>
          <w:i/>
        </w:rPr>
        <w:t xml:space="preserve">et al.</w:t>
      </w:r>
      <w:r>
        <w:t xml:space="preserve"> </w:t>
      </w:r>
      <w:hyperlink r:id="rId82">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3"/>
    <w:bookmarkStart w:id="85" w:name="X5228fa985af5ce71b0c533e44873ca75e261300"/>
    <w:p>
      <w:pPr>
        <w:pStyle w:val="Bibliography"/>
      </w:pPr>
      <w:r>
        <w:t xml:space="preserve">27</w:t>
      </w:r>
      <w:r>
        <w:t xml:space="preserve"> </w:t>
      </w:r>
      <w:r>
        <w:t xml:space="preserve">	</w:t>
      </w:r>
      <w:r>
        <w:t xml:space="preserve">Reese H, Routray P, Torondel B,</w:t>
      </w:r>
      <w:r>
        <w:t xml:space="preserve"> </w:t>
      </w:r>
      <w:r>
        <w:rPr>
          <w:iCs/>
          <w:i/>
        </w:rPr>
        <w:t xml:space="preserve">et al.</w:t>
      </w:r>
      <w:r>
        <w:t xml:space="preserve"> </w:t>
      </w:r>
      <w:hyperlink r:id="rId8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5"/>
    <w:bookmarkStart w:id="87" w:name="Xd991f8dfcb33adf9c25dec389b3b0d8e33f406d"/>
    <w:p>
      <w:pPr>
        <w:pStyle w:val="Bibliography"/>
      </w:pPr>
      <w:r>
        <w:t xml:space="preserve">28</w:t>
      </w:r>
      <w:r>
        <w:t xml:space="preserve"> </w:t>
      </w:r>
      <w:r>
        <w:t xml:space="preserve">	</w:t>
      </w:r>
      <w:r>
        <w:t xml:space="preserve">Clasen T, Boisson S, Routray P,</w:t>
      </w:r>
      <w:r>
        <w:t xml:space="preserve"> </w:t>
      </w:r>
      <w:r>
        <w:rPr>
          <w:iCs/>
          <w:i/>
        </w:rPr>
        <w:t xml:space="preserve">et al.</w:t>
      </w:r>
      <w:r>
        <w:t xml:space="preserve"> </w:t>
      </w:r>
      <w:hyperlink r:id="rId86">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7"/>
    <w:bookmarkStart w:id="89" w:name="Xf2a03ad0ba8e597b78cac8eb44474a2515beb21"/>
    <w:p>
      <w:pPr>
        <w:pStyle w:val="Bibliography"/>
      </w:pPr>
      <w:r>
        <w:t xml:space="preserve">29</w:t>
      </w:r>
      <w:r>
        <w:t xml:space="preserve"> </w:t>
      </w:r>
      <w:r>
        <w:t xml:space="preserve">	</w:t>
      </w:r>
      <w:r>
        <w:t xml:space="preserve">Boehm AB, Wang D, Ercumen A,</w:t>
      </w:r>
      <w:r>
        <w:t xml:space="preserve"> </w:t>
      </w:r>
      <w:r>
        <w:rPr>
          <w:iCs/>
          <w:i/>
        </w:rPr>
        <w:t xml:space="preserve">et al.</w:t>
      </w:r>
      <w:r>
        <w:t xml:space="preserve"> </w:t>
      </w:r>
      <w:hyperlink r:id="rId88">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9"/>
    <w:bookmarkStart w:id="91" w:name="Xda33b900c79b319f16c7caa64a1c94f62a2b60d"/>
    <w:p>
      <w:pPr>
        <w:pStyle w:val="Bibliography"/>
      </w:pPr>
      <w:r>
        <w:t xml:space="preserve">30</w:t>
      </w:r>
      <w:r>
        <w:t xml:space="preserve"> </w:t>
      </w:r>
      <w:r>
        <w:t xml:space="preserve">	</w:t>
      </w:r>
      <w:r>
        <w:t xml:space="preserve">Kwong LH, Sen D, Islam S,</w:t>
      </w:r>
      <w:r>
        <w:t xml:space="preserve"> </w:t>
      </w:r>
      <w:r>
        <w:rPr>
          <w:iCs/>
          <w:i/>
        </w:rPr>
        <w:t xml:space="preserve">et al.</w:t>
      </w:r>
      <w:r>
        <w:t xml:space="preserve"> </w:t>
      </w:r>
      <w:hyperlink r:id="rId90">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91"/>
    <w:bookmarkStart w:id="93" w:name="X9dcf9420471408d0f247188f0ab66b2bab98776"/>
    <w:p>
      <w:pPr>
        <w:pStyle w:val="Bibliography"/>
      </w:pPr>
      <w:r>
        <w:t xml:space="preserve">31</w:t>
      </w:r>
      <w:r>
        <w:t xml:space="preserve"> </w:t>
      </w:r>
      <w:r>
        <w:t xml:space="preserve">	</w:t>
      </w:r>
      <w:r>
        <w:t xml:space="preserve">Fuhrmeister ER, Ercumen A, Pickering AJ,</w:t>
      </w:r>
      <w:r>
        <w:t xml:space="preserve"> </w:t>
      </w:r>
      <w:r>
        <w:rPr>
          <w:iCs/>
          <w:i/>
        </w:rPr>
        <w:t xml:space="preserve">et al.</w:t>
      </w:r>
      <w:r>
        <w:t xml:space="preserve"> </w:t>
      </w:r>
      <w:hyperlink r:id="rId92">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3"/>
    <w:bookmarkStart w:id="95" w:name="ref-caponeImpactUrbanSanitation2021"/>
    <w:p>
      <w:pPr>
        <w:pStyle w:val="Bibliography"/>
      </w:pPr>
      <w:r>
        <w:t xml:space="preserve">32</w:t>
      </w:r>
      <w:r>
        <w:t xml:space="preserve"> </w:t>
      </w:r>
      <w:r>
        <w:t xml:space="preserve">	</w:t>
      </w:r>
      <w:r>
        <w:t xml:space="preserve">Capone D, Berendes D, Cumming O,</w:t>
      </w:r>
      <w:r>
        <w:t xml:space="preserve"> </w:t>
      </w:r>
      <w:r>
        <w:rPr>
          <w:iCs/>
          <w:i/>
        </w:rPr>
        <w:t xml:space="preserve">et al.</w:t>
      </w:r>
      <w:r>
        <w:t xml:space="preserve"> </w:t>
      </w:r>
      <w:hyperlink r:id="rId94">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5"/>
    <w:bookmarkStart w:id="97" w:name="Xf9e2a4a9eb87275ea3c8190d2addb0f7bef699d"/>
    <w:p>
      <w:pPr>
        <w:pStyle w:val="Bibliography"/>
      </w:pPr>
      <w:r>
        <w:t xml:space="preserve">33</w:t>
      </w:r>
      <w:r>
        <w:t xml:space="preserve"> </w:t>
      </w:r>
      <w:r>
        <w:t xml:space="preserve">	</w:t>
      </w:r>
      <w:r>
        <w:t xml:space="preserve">Steinbaum L, Mboya J, Mahoney R, Njenga SM, Null C, Pickering AJ.</w:t>
      </w:r>
      <w:r>
        <w:t xml:space="preserve"> </w:t>
      </w:r>
      <w:hyperlink r:id="rId96">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7"/>
    <w:bookmarkStart w:id="99" w:name="ref-holcombImpactsUrbanSanitation2021"/>
    <w:p>
      <w:pPr>
        <w:pStyle w:val="Bibliography"/>
      </w:pPr>
      <w:r>
        <w:t xml:space="preserve">34</w:t>
      </w:r>
      <w:r>
        <w:t xml:space="preserve"> </w:t>
      </w:r>
      <w:r>
        <w:t xml:space="preserve">	</w:t>
      </w:r>
      <w:r>
        <w:t xml:space="preserve">Holcomb DA, Knee J, Capone D,</w:t>
      </w:r>
      <w:r>
        <w:t xml:space="preserve"> </w:t>
      </w:r>
      <w:r>
        <w:rPr>
          <w:iCs/>
          <w:i/>
        </w:rPr>
        <w:t xml:space="preserve">et al.</w:t>
      </w:r>
      <w:r>
        <w:t xml:space="preserve"> </w:t>
      </w:r>
      <w:hyperlink r:id="rId98">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99"/>
    <w:bookmarkStart w:id="101" w:name="X361173ab8320ad3938a8eb9d501624ab76df10b"/>
    <w:p>
      <w:pPr>
        <w:pStyle w:val="Bibliography"/>
      </w:pPr>
      <w:r>
        <w:t xml:space="preserve">35</w:t>
      </w:r>
      <w:r>
        <w:t xml:space="preserve"> </w:t>
      </w:r>
      <w:r>
        <w:t xml:space="preserve">	</w:t>
      </w:r>
      <w:r>
        <w:t xml:space="preserve">Platts-Mills JA, Babji S, Bodhidatta L,</w:t>
      </w:r>
      <w:r>
        <w:t xml:space="preserve"> </w:t>
      </w:r>
      <w:r>
        <w:rPr>
          <w:iCs/>
          <w:i/>
        </w:rPr>
        <w:t xml:space="preserve">et al.</w:t>
      </w:r>
      <w:r>
        <w:t xml:space="preserve"> </w:t>
      </w:r>
      <w:hyperlink r:id="rId100">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101"/>
    <w:bookmarkStart w:id="103" w:name="ref-rogawskiQuantifyingImpactNatural2018"/>
    <w:p>
      <w:pPr>
        <w:pStyle w:val="Bibliography"/>
      </w:pPr>
      <w:r>
        <w:t xml:space="preserve">36</w:t>
      </w:r>
      <w:r>
        <w:t xml:space="preserve"> </w:t>
      </w:r>
      <w:r>
        <w:t xml:space="preserve">	</w:t>
      </w:r>
      <w:r>
        <w:t xml:space="preserve">Rogawski ET, Platts-Mills JA, Colgate ER,</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3"/>
    <w:bookmarkStart w:id="105" w:name="ref-arnoldOptimalRecallPeriod2013"/>
    <w:p>
      <w:pPr>
        <w:pStyle w:val="Bibliography"/>
      </w:pPr>
      <w:r>
        <w:t xml:space="preserve">37</w:t>
      </w:r>
      <w:r>
        <w:t xml:space="preserve"> </w:t>
      </w:r>
      <w:r>
        <w:t xml:space="preserve">	</w:t>
      </w:r>
      <w:r>
        <w:t xml:space="preserve">Arnold BF, Galiani S, Ram PK,</w:t>
      </w:r>
      <w:r>
        <w:t xml:space="preserve"> </w:t>
      </w:r>
      <w:r>
        <w:rPr>
          <w:iCs/>
          <w:i/>
        </w:rPr>
        <w:t xml:space="preserve">et al.</w:t>
      </w:r>
      <w:r>
        <w:t xml:space="preserve"> </w:t>
      </w:r>
      <w:hyperlink r:id="rId104">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5"/>
    <w:bookmarkStart w:id="107" w:name="X28b8f7a62df31f893e94c92fe8813b1071b54c6"/>
    <w:p>
      <w:pPr>
        <w:pStyle w:val="Bibliography"/>
      </w:pPr>
      <w:r>
        <w:t xml:space="preserve">38</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6">
        <w:r>
          <w:rPr>
            <w:rStyle w:val="Hyperlink"/>
          </w:rPr>
          <w:t xml:space="preserve">10.1016/j.eclinm.2021.101205</w:t>
        </w:r>
      </w:hyperlink>
      <w:r>
        <w:t xml:space="preserve">.</w:t>
      </w:r>
    </w:p>
    <w:bookmarkEnd w:id="107"/>
    <w:bookmarkStart w:id="109" w:name="ref-brownStoolBasedPathogenDetection2020"/>
    <w:p>
      <w:pPr>
        <w:pStyle w:val="Bibliography"/>
      </w:pPr>
      <w:r>
        <w:t xml:space="preserve">39</w:t>
      </w:r>
      <w:r>
        <w:t xml:space="preserve"> </w:t>
      </w:r>
      <w:r>
        <w:t xml:space="preserve">	</w:t>
      </w:r>
      <w:r>
        <w:t xml:space="preserve">Brown J,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9"/>
    <w:bookmarkStart w:id="111" w:name="ref-alfaUVvisibleMarkerConfirms2008"/>
    <w:p>
      <w:pPr>
        <w:pStyle w:val="Bibliography"/>
      </w:pPr>
      <w:r>
        <w:t xml:space="preserve">40</w:t>
      </w:r>
      <w:r>
        <w:t xml:space="preserve"> </w:t>
      </w:r>
      <w:r>
        <w:t xml:space="preserve">	</w:t>
      </w:r>
      <w:r>
        <w:t xml:space="preserve">Alfa MJ, Dueck C, Olson N,</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1"/>
    <w:bookmarkStart w:id="113" w:name="ref-blackSurvivalRatesParasite1982"/>
    <w:p>
      <w:pPr>
        <w:pStyle w:val="Bibliography"/>
      </w:pPr>
      <w:r>
        <w:t xml:space="preserve">41</w:t>
      </w:r>
      <w:r>
        <w:t xml:space="preserve"> </w:t>
      </w:r>
      <w:r>
        <w:t xml:space="preserve">	</w:t>
      </w:r>
      <w:r>
        <w:t xml:space="preserve">Black MI, Scarpino PV, O’Donnell CJ, Meyer KB, Jones JV, Kaneshiro ES.</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3"/>
    <w:bookmarkStart w:id="115" w:name="Xe53e0c78e29f76ee7a08da529571350d6dacebc"/>
    <w:p>
      <w:pPr>
        <w:pStyle w:val="Bibliography"/>
      </w:pPr>
      <w:r>
        <w:t xml:space="preserve">42</w:t>
      </w:r>
      <w:r>
        <w:t xml:space="preserve"> </w:t>
      </w:r>
      <w:r>
        <w:t xml:space="preserve">	</w:t>
      </w:r>
      <w:r>
        <w:t xml:space="preserve">Espinosa AC, Mazari-Hiriart M, Espinosa R, Maruri-Avidal L, Méndez E, Arias CF.</w:t>
      </w:r>
      <w:r>
        <w:t xml:space="preserve"> </w:t>
      </w:r>
      <w:hyperlink r:id="rId114">
        <w:r>
          <w:rPr>
            <w:rStyle w:val="Hyperlink"/>
          </w:rPr>
          <w:t xml:space="preserve">Infectivity and genome persistence of rotavirus and astrovirus in groundwater and surface water</w:t>
        </w:r>
      </w:hyperlink>
      <w:r>
        <w:t xml:space="preserve">.</w:t>
      </w:r>
      <w:r>
        <w:t xml:space="preserve"> </w:t>
      </w:r>
      <w:r>
        <w:rPr>
          <w:iCs/>
          <w:i/>
        </w:rPr>
        <w:t xml:space="preserve">Water Research</w:t>
      </w:r>
      <w:r>
        <w:t xml:space="preserve"> </w:t>
      </w:r>
      <w:r>
        <w:t xml:space="preserve">2008;</w:t>
      </w:r>
      <w:r>
        <w:t xml:space="preserve"> </w:t>
      </w:r>
      <w:r>
        <w:rPr>
          <w:bCs/>
          <w:b/>
        </w:rPr>
        <w:t xml:space="preserve">42</w:t>
      </w:r>
      <w:r>
        <w:t xml:space="preserve">: 2618–28.</w:t>
      </w:r>
    </w:p>
    <w:bookmarkEnd w:id="115"/>
    <w:bookmarkStart w:id="117" w:name="ref-kotloffBurdenAetiologyDiarrhoeal2013"/>
    <w:p>
      <w:pPr>
        <w:pStyle w:val="Bibliography"/>
      </w:pPr>
      <w:r>
        <w:t xml:space="preserve">43</w:t>
      </w:r>
      <w:r>
        <w:t xml:space="preserve"> </w:t>
      </w:r>
      <w:r>
        <w:t xml:space="preserve">	</w:t>
      </w:r>
      <w:r>
        <w:t xml:space="preserve">Kotloff KL, Nataro JP, Blackwelder WC,</w:t>
      </w:r>
      <w:r>
        <w:t xml:space="preserve"> </w:t>
      </w:r>
      <w:r>
        <w:rPr>
          <w:iCs/>
          <w:i/>
        </w:rPr>
        <w:t xml:space="preserve">et al.</w:t>
      </w:r>
      <w:r>
        <w:t xml:space="preserve"> </w:t>
      </w:r>
      <w:hyperlink r:id="rId116">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7"/>
    <w:bookmarkStart w:id="119" w:name="ref-khurooASCARIASIS1996"/>
    <w:p>
      <w:pPr>
        <w:pStyle w:val="Bibliography"/>
      </w:pPr>
      <w:r>
        <w:t xml:space="preserve">44</w:t>
      </w:r>
      <w:r>
        <w:t xml:space="preserve"> </w:t>
      </w:r>
      <w:r>
        <w:t xml:space="preserve">	</w:t>
      </w:r>
      <w:r>
        <w:t xml:space="preserve">Khuroo MS.</w:t>
      </w:r>
      <w:r>
        <w:t xml:space="preserve"> </w:t>
      </w:r>
      <w:hyperlink r:id="rId118">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9"/>
    <w:bookmarkStart w:id="121" w:name="ref-ahmedCurrentStatusMarker2016"/>
    <w:p>
      <w:pPr>
        <w:pStyle w:val="Bibliography"/>
      </w:pPr>
      <w:r>
        <w:t xml:space="preserve">45</w:t>
      </w:r>
      <w:r>
        <w:t xml:space="preserve"> </w:t>
      </w:r>
      <w:r>
        <w:t xml:space="preserve">	</w:t>
      </w:r>
      <w:r>
        <w:t xml:space="preserve">Ahmed W, Hughes B, Harwood VJ.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1"/>
    <w:bookmarkStart w:id="123" w:name="Xff5461ced33daa2db28e576edab0bed3265b0d6"/>
    <w:p>
      <w:pPr>
        <w:pStyle w:val="Bibliography"/>
      </w:pPr>
      <w:r>
        <w:t xml:space="preserve">46</w:t>
      </w:r>
      <w:r>
        <w:t xml:space="preserve"> </w:t>
      </w:r>
      <w:r>
        <w:t xml:space="preserve">	</w:t>
      </w:r>
      <w:r>
        <w:t xml:space="preserve">Boehm AB, Van De Werfhorst LC, Griffith JF,</w:t>
      </w:r>
      <w:r>
        <w:t xml:space="preserve"> </w:t>
      </w:r>
      <w:r>
        <w:rPr>
          <w:iCs/>
          <w:i/>
        </w:rPr>
        <w:t xml:space="preserve">et al.</w:t>
      </w:r>
      <w:r>
        <w:t xml:space="preserve"> </w:t>
      </w:r>
      <w:hyperlink r:id="rId122">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23"/>
    <w:bookmarkStart w:id="125" w:name="ref-holcombMicrobialIndicatorsFecal2020"/>
    <w:p>
      <w:pPr>
        <w:pStyle w:val="Bibliography"/>
      </w:pPr>
      <w:r>
        <w:t xml:space="preserve">47</w:t>
      </w:r>
      <w:r>
        <w:t xml:space="preserve"> </w:t>
      </w:r>
      <w:r>
        <w:t xml:space="preserve">	</w:t>
      </w:r>
      <w:r>
        <w:t xml:space="preserve">Holcomb DA, Stewart JR.</w:t>
      </w:r>
      <w:r>
        <w:t xml:space="preserve"> </w:t>
      </w:r>
      <w:hyperlink r:id="rId124">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25"/>
    <w:bookmarkStart w:id="127" w:name="X8f4bf48b100f335b534f57a0aa587c0a4ee0d9a"/>
    <w:p>
      <w:pPr>
        <w:pStyle w:val="Bibliography"/>
      </w:pPr>
      <w:r>
        <w:t xml:space="preserve">48</w:t>
      </w:r>
      <w:r>
        <w:t xml:space="preserve"> </w:t>
      </w:r>
      <w:r>
        <w:t xml:space="preserve">	</w:t>
      </w:r>
      <w:r>
        <w:t xml:space="preserve">Reischer GH, Ebdon JE, Bauer JM,</w:t>
      </w:r>
      <w:r>
        <w:t xml:space="preserve"> </w:t>
      </w:r>
      <w:r>
        <w:rPr>
          <w:iCs/>
          <w:i/>
        </w:rPr>
        <w:t xml:space="preserve">et al.</w:t>
      </w:r>
      <w:r>
        <w:t xml:space="preserve"> </w:t>
      </w:r>
      <w:hyperlink r:id="rId126">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7"/>
    <w:bookmarkStart w:id="129" w:name="Xe1c8834819d06a0c30d8ca86a994cb457d93554"/>
    <w:p>
      <w:pPr>
        <w:pStyle w:val="Bibliography"/>
      </w:pPr>
      <w:r>
        <w:t xml:space="preserve">49</w:t>
      </w:r>
      <w:r>
        <w:t xml:space="preserve"> </w:t>
      </w:r>
      <w:r>
        <w:t xml:space="preserve">	</w:t>
      </w:r>
      <w:r>
        <w:t xml:space="preserve">Odagiri M, Schriewer A, Hanley K,</w:t>
      </w:r>
      <w:r>
        <w:t xml:space="preserve"> </w:t>
      </w:r>
      <w:r>
        <w:rPr>
          <w:iCs/>
          <w:i/>
        </w:rPr>
        <w:t xml:space="preserve">et al.</w:t>
      </w:r>
      <w:r>
        <w:t xml:space="preserve"> </w:t>
      </w:r>
      <w:hyperlink r:id="rId128">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9"/>
    <w:bookmarkStart w:id="131" w:name="ref-holcombHumanFecalContamination2020"/>
    <w:p>
      <w:pPr>
        <w:pStyle w:val="Bibliography"/>
      </w:pPr>
      <w:r>
        <w:t xml:space="preserve">50</w:t>
      </w:r>
      <w:r>
        <w:t xml:space="preserve"> </w:t>
      </w:r>
      <w:r>
        <w:t xml:space="preserve">	</w:t>
      </w:r>
      <w:r>
        <w:t xml:space="preserve">Holcomb DA, Knee J, Sumner T,</w:t>
      </w:r>
      <w:r>
        <w:t xml:space="preserve"> </w:t>
      </w:r>
      <w:r>
        <w:rPr>
          <w:iCs/>
          <w:i/>
        </w:rPr>
        <w:t xml:space="preserve">et al.</w:t>
      </w:r>
      <w:r>
        <w:t xml:space="preserve"> </w:t>
      </w:r>
      <w:hyperlink r:id="rId130">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131"/>
    <w:bookmarkStart w:id="133" w:name="X68f4979cb9354f36269d5b8bd65ef82bf51876f"/>
    <w:p>
      <w:pPr>
        <w:pStyle w:val="Bibliography"/>
      </w:pPr>
      <w:r>
        <w:t xml:space="preserve">51</w:t>
      </w:r>
      <w:r>
        <w:t xml:space="preserve"> </w:t>
      </w:r>
      <w:r>
        <w:t xml:space="preserve">	</w:t>
      </w:r>
      <w:r>
        <w:t xml:space="preserve">Griffith JF, Weisberg SB, Arnold BF, Cao Y, Schiff KC, Colford JM.</w:t>
      </w:r>
      <w:r>
        <w:t xml:space="preserve"> </w:t>
      </w:r>
      <w:hyperlink r:id="rId132">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33"/>
    <w:bookmarkStart w:id="135" w:name="X3ba82e295fb5e7aa742c64bd8d9a3e519bd4195"/>
    <w:p>
      <w:pPr>
        <w:pStyle w:val="Bibliography"/>
      </w:pPr>
      <w:r>
        <w:t xml:space="preserve">52</w:t>
      </w:r>
      <w:r>
        <w:t xml:space="preserve"> </w:t>
      </w:r>
      <w:r>
        <w:t xml:space="preserve">	</w:t>
      </w:r>
      <w:r>
        <w:t xml:space="preserve">Ercumen A, Prottas C, Harris A, Dioguardi A, Dowd G, Guiteras R.</w:t>
      </w:r>
      <w:r>
        <w:t xml:space="preserve"> </w:t>
      </w:r>
      <w:hyperlink r:id="rId134">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35"/>
    <w:bookmarkStart w:id="137" w:name="ref-georgeChildMouthingFeces2021"/>
    <w:p>
      <w:pPr>
        <w:pStyle w:val="Bibliography"/>
      </w:pPr>
      <w:r>
        <w:t xml:space="preserve">53</w:t>
      </w:r>
      <w:r>
        <w:t xml:space="preserve"> </w:t>
      </w:r>
      <w:r>
        <w:t xml:space="preserve">	</w:t>
      </w:r>
      <w:r>
        <w:t xml:space="preserve">George CM, Cirhuza LB, Kuhl J,</w:t>
      </w:r>
      <w:r>
        <w:t xml:space="preserve"> </w:t>
      </w:r>
      <w:r>
        <w:rPr>
          <w:iCs/>
          <w:i/>
        </w:rPr>
        <w:t xml:space="preserve">et al.</w:t>
      </w:r>
      <w:r>
        <w:t xml:space="preserve"> </w:t>
      </w:r>
      <w:hyperlink r:id="rId136">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37"/>
    <w:bookmarkStart w:id="139" w:name="ref-georgeFecalMarkersEnvironmental2015"/>
    <w:p>
      <w:pPr>
        <w:pStyle w:val="Bibliography"/>
      </w:pPr>
      <w:r>
        <w:t xml:space="preserve">54</w:t>
      </w:r>
      <w:r>
        <w:t xml:space="preserve"> </w:t>
      </w:r>
      <w:r>
        <w:t xml:space="preserve">	</w:t>
      </w:r>
      <w:r>
        <w:t xml:space="preserve">George CM, Oldja L, Biswas SK,</w:t>
      </w:r>
      <w:r>
        <w:t xml:space="preserve"> </w:t>
      </w:r>
      <w:r>
        <w:rPr>
          <w:iCs/>
          <w:i/>
        </w:rPr>
        <w:t xml:space="preserve">et al.</w:t>
      </w:r>
      <w:r>
        <w:t xml:space="preserve"> </w:t>
      </w:r>
      <w:hyperlink r:id="rId138">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9"/>
    <w:bookmarkStart w:id="141" w:name="ref-zambranoHumanDiarrheaInfections2014"/>
    <w:p>
      <w:pPr>
        <w:pStyle w:val="Bibliography"/>
      </w:pPr>
      <w:r>
        <w:t xml:space="preserve">55</w:t>
      </w:r>
      <w:r>
        <w:t xml:space="preserve"> </w:t>
      </w:r>
      <w:r>
        <w:t xml:space="preserve">	</w:t>
      </w:r>
      <w:r>
        <w:t xml:space="preserve">Zambrano LD, Levy K, Menezes NP, Freeman MC.</w:t>
      </w:r>
      <w:r>
        <w:t xml:space="preserve"> </w:t>
      </w:r>
      <w:hyperlink r:id="rId140">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41"/>
    <w:bookmarkStart w:id="143" w:name="X27e5f587e6c80eb31b3abd285447339a3880fde"/>
    <w:p>
      <w:pPr>
        <w:pStyle w:val="Bibliography"/>
      </w:pPr>
      <w:r>
        <w:t xml:space="preserve">56</w:t>
      </w:r>
      <w:r>
        <w:t xml:space="preserve"> </w:t>
      </w:r>
      <w:r>
        <w:t xml:space="preserve">	</w:t>
      </w:r>
      <w:r>
        <w:t xml:space="preserve">Grados O, Bravo N, Black RE, Butzler JP.</w:t>
      </w:r>
      <w:r>
        <w:t xml:space="preserve"> </w:t>
      </w:r>
      <w:hyperlink r:id="rId142">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43"/>
    <w:bookmarkStart w:id="145" w:name="X6237623ded5ffd56f795a728338205e5c74de4e"/>
    <w:p>
      <w:pPr>
        <w:pStyle w:val="Bibliography"/>
      </w:pPr>
      <w:r>
        <w:t xml:space="preserve">57</w:t>
      </w:r>
      <w:r>
        <w:t xml:space="preserve"> </w:t>
      </w:r>
      <w:r>
        <w:t xml:space="preserve">	</w:t>
      </w:r>
      <w:r>
        <w:t xml:space="preserve">Haque MA, Platts-Mills JA, Mduma E,</w:t>
      </w:r>
      <w:r>
        <w:t xml:space="preserve"> </w:t>
      </w:r>
      <w:r>
        <w:rPr>
          <w:iCs/>
          <w:i/>
        </w:rPr>
        <w:t xml:space="preserve">et al.</w:t>
      </w:r>
      <w:r>
        <w:t xml:space="preserve"> </w:t>
      </w:r>
      <w:hyperlink r:id="rId144">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45"/>
    <w:bookmarkStart w:id="147" w:name="ref-headeyExposurePoultryHarmful2016"/>
    <w:p>
      <w:pPr>
        <w:pStyle w:val="Bibliography"/>
      </w:pPr>
      <w:r>
        <w:t xml:space="preserve">58</w:t>
      </w:r>
      <w:r>
        <w:t xml:space="preserve"> </w:t>
      </w:r>
      <w:r>
        <w:t xml:space="preserve">	</w:t>
      </w:r>
      <w:r>
        <w:t xml:space="preserve">Headey D, Hirvonen K.</w:t>
      </w:r>
      <w:r>
        <w:t xml:space="preserve"> </w:t>
      </w:r>
      <w:hyperlink r:id="rId146">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47"/>
    <w:bookmarkStart w:id="149" w:name="ref-odagiriHumanFecalPathogen2016"/>
    <w:p>
      <w:pPr>
        <w:pStyle w:val="Bibliography"/>
      </w:pPr>
      <w:r>
        <w:t xml:space="preserve">59</w:t>
      </w:r>
      <w:r>
        <w:t xml:space="preserve"> </w:t>
      </w:r>
      <w:r>
        <w:t xml:space="preserve">	</w:t>
      </w:r>
      <w:r>
        <w:t xml:space="preserve">Odagiri M, Schriewer A, Daniels ME,</w:t>
      </w:r>
      <w:r>
        <w:t xml:space="preserve"> </w:t>
      </w:r>
      <w:r>
        <w:rPr>
          <w:iCs/>
          <w:i/>
        </w:rPr>
        <w:t xml:space="preserve">et al.</w:t>
      </w:r>
      <w:r>
        <w:t xml:space="preserve"> </w:t>
      </w:r>
      <w:hyperlink r:id="rId148">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9"/>
    <w:bookmarkStart w:id="151" w:name="X57fb6a9a0467e0563a528599200f7c49a1040ef"/>
    <w:p>
      <w:pPr>
        <w:pStyle w:val="Bibliography"/>
      </w:pPr>
      <w:r>
        <w:t xml:space="preserve">60</w:t>
      </w:r>
      <w:r>
        <w:t xml:space="preserve"> </w:t>
      </w:r>
      <w:r>
        <w:t xml:space="preserve">	</w:t>
      </w:r>
      <w:r>
        <w:t xml:space="preserve">Hodge J, Chang HH, Boisson S, Collin SM, Peletz R, Clasen T.</w:t>
      </w:r>
      <w:r>
        <w:t xml:space="preserve"> </w:t>
      </w:r>
      <w:hyperlink r:id="rId150">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51"/>
    <w:bookmarkStart w:id="153" w:name="ref-levyDriversWaterQuality2009"/>
    <w:p>
      <w:pPr>
        <w:pStyle w:val="Bibliography"/>
      </w:pPr>
      <w:r>
        <w:t xml:space="preserve">61</w:t>
      </w:r>
      <w:r>
        <w:t xml:space="preserve"> </w:t>
      </w:r>
      <w:r>
        <w:t xml:space="preserve">	</w:t>
      </w:r>
      <w:r>
        <w:t xml:space="preserve">Levy K, Hubbard AE, Nelson KL, Eisenberg JNS.</w:t>
      </w:r>
      <w:r>
        <w:t xml:space="preserve"> </w:t>
      </w:r>
      <w:hyperlink r:id="rId152">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53"/>
    <w:bookmarkStart w:id="155" w:name="ref-ramVariabilityHandContamination2011"/>
    <w:p>
      <w:pPr>
        <w:pStyle w:val="Bibliography"/>
      </w:pPr>
      <w:r>
        <w:t xml:space="preserve">62</w:t>
      </w:r>
      <w:r>
        <w:t xml:space="preserve"> </w:t>
      </w:r>
      <w:r>
        <w:t xml:space="preserve">	</w:t>
      </w:r>
      <w:r>
        <w:t xml:space="preserve">Ram PK, Jahid I, Halder AK,</w:t>
      </w:r>
      <w:r>
        <w:t xml:space="preserve"> </w:t>
      </w:r>
      <w:r>
        <w:rPr>
          <w:iCs/>
          <w:i/>
        </w:rPr>
        <w:t xml:space="preserve">et al.</w:t>
      </w:r>
      <w:r>
        <w:t xml:space="preserve"> </w:t>
      </w:r>
      <w:hyperlink r:id="rId154">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5"/>
    <w:bookmarkStart w:id="157" w:name="ref-wadeHealthRisksChildren2022"/>
    <w:p>
      <w:pPr>
        <w:pStyle w:val="Bibliography"/>
      </w:pPr>
      <w:r>
        <w:t xml:space="preserve">63</w:t>
      </w:r>
      <w:r>
        <w:t xml:space="preserve"> </w:t>
      </w:r>
      <w:r>
        <w:t xml:space="preserve">	</w:t>
      </w:r>
      <w:r>
        <w:t xml:space="preserve">Wade TJ, Arnold BF, Schiff K,</w:t>
      </w:r>
      <w:r>
        <w:t xml:space="preserve"> </w:t>
      </w:r>
      <w:r>
        <w:rPr>
          <w:iCs/>
          <w:i/>
        </w:rPr>
        <w:t xml:space="preserve">et al.</w:t>
      </w:r>
      <w:r>
        <w:t xml:space="preserve"> </w:t>
      </w:r>
      <w:hyperlink r:id="rId156">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7"/>
    <w:bookmarkStart w:id="159" w:name="X474a11941f8014983166b9eb14a24e6711c6d24"/>
    <w:p>
      <w:pPr>
        <w:pStyle w:val="Bibliography"/>
      </w:pPr>
      <w:r>
        <w:t xml:space="preserve">64</w:t>
      </w:r>
      <w:r>
        <w:t xml:space="preserve"> </w:t>
      </w:r>
      <w:r>
        <w:t xml:space="preserve">	</w:t>
      </w:r>
      <w:r>
        <w:t xml:space="preserve">Goddard FGB, Ban R, Barr DB,</w:t>
      </w:r>
      <w:r>
        <w:t xml:space="preserve"> </w:t>
      </w:r>
      <w:r>
        <w:rPr>
          <w:iCs/>
          <w:i/>
        </w:rPr>
        <w:t xml:space="preserve">et al.</w:t>
      </w:r>
      <w:r>
        <w:t xml:space="preserve"> </w:t>
      </w:r>
      <w:hyperlink r:id="rId158">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9"/>
    <w:bookmarkStart w:id="161" w:name="ref-kwongHandObjectMouthingRural2016"/>
    <w:p>
      <w:pPr>
        <w:pStyle w:val="Bibliography"/>
      </w:pPr>
      <w:r>
        <w:t xml:space="preserve">65</w:t>
      </w:r>
      <w:r>
        <w:t xml:space="preserve"> </w:t>
      </w:r>
      <w:r>
        <w:t xml:space="preserve">	</w:t>
      </w:r>
      <w:r>
        <w:t xml:space="preserve">Kwong LH, Ercumen A, Pickering AJ, Unicomb L, Davis J, Luby SP.</w:t>
      </w:r>
      <w:r>
        <w:t xml:space="preserve"> </w:t>
      </w:r>
      <w:hyperlink r:id="rId160">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61"/>
    <w:bookmarkStart w:id="163" w:name="Xe9f896e0fbb222dd76e3cde440d54cee7f0016c"/>
    <w:p>
      <w:pPr>
        <w:pStyle w:val="Bibliography"/>
      </w:pPr>
      <w:r>
        <w:t xml:space="preserve">66</w:t>
      </w:r>
      <w:r>
        <w:t xml:space="preserve"> </w:t>
      </w:r>
      <w:r>
        <w:t xml:space="preserve">	</w:t>
      </w:r>
      <w:r>
        <w:t xml:space="preserve">Kwong LH, Ercumen A, Pickering AJ, Unicomb L, Davis J, Luby SP.</w:t>
      </w:r>
      <w:r>
        <w:t xml:space="preserve"> </w:t>
      </w:r>
      <w:hyperlink r:id="rId162">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63"/>
    <w:bookmarkStart w:id="165" w:name="ref-robbAssessmentFecalExposure2017"/>
    <w:p>
      <w:pPr>
        <w:pStyle w:val="Bibliography"/>
      </w:pPr>
      <w:r>
        <w:t xml:space="preserve">67</w:t>
      </w:r>
      <w:r>
        <w:t xml:space="preserve"> </w:t>
      </w:r>
      <w:r>
        <w:t xml:space="preserve">	</w:t>
      </w:r>
      <w:r>
        <w:t xml:space="preserve">Robb K, Null C, Teunis P, Yakubu H, Armah G, Moe CL.</w:t>
      </w:r>
      <w:r>
        <w:t xml:space="preserve"> </w:t>
      </w:r>
      <w:hyperlink r:id="rId164">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5"/>
    <w:bookmarkStart w:id="167" w:name="ref-rajSaniPathExposureAssessment2020"/>
    <w:p>
      <w:pPr>
        <w:pStyle w:val="Bibliography"/>
      </w:pPr>
      <w:r>
        <w:t xml:space="preserve">68</w:t>
      </w:r>
      <w:r>
        <w:t xml:space="preserve"> </w:t>
      </w:r>
      <w:r>
        <w:t xml:space="preserve">	</w:t>
      </w:r>
      <w:r>
        <w:t xml:space="preserve">Raj SJ, Wang Y, Yakubu H,</w:t>
      </w:r>
      <w:r>
        <w:t xml:space="preserve"> </w:t>
      </w:r>
      <w:r>
        <w:rPr>
          <w:iCs/>
          <w:i/>
        </w:rPr>
        <w:t xml:space="preserve">et al.</w:t>
      </w:r>
      <w:r>
        <w:t xml:space="preserve"> </w:t>
      </w:r>
      <w:hyperlink r:id="rId166">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7"/>
    <w:bookmarkEnd w:id="168"/>
    <w:bookmarkEnd w:id="169"/>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2022-11-08T20:03:55Z</dcterms:created>
  <dcterms:modified xsi:type="dcterms:W3CDTF">2022-11-08T20:03:55Z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