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380" w:right="0" w:firstLine="0"/>
        <w:jc w:val="left"/>
        <w:rPr>
          <w:sz w:val="22"/>
        </w:rPr>
      </w:pPr>
      <w:r>
        <w:rPr>
          <w:sz w:val="22"/>
        </w:rPr>
        <w:t>Dear</w:t>
      </w:r>
      <w:r>
        <w:rPr>
          <w:spacing w:val="-8"/>
          <w:sz w:val="22"/>
        </w:rPr>
        <w:t> </w:t>
      </w:r>
      <w:r>
        <w:rPr>
          <w:i/>
          <w:sz w:val="22"/>
        </w:rPr>
        <w:t>Lancet</w:t>
      </w:r>
      <w:r>
        <w:rPr>
          <w:i/>
          <w:spacing w:val="-7"/>
          <w:sz w:val="22"/>
        </w:rPr>
        <w:t> </w:t>
      </w:r>
      <w:r>
        <w:rPr>
          <w:spacing w:val="-2"/>
          <w:sz w:val="22"/>
        </w:rPr>
        <w:t>Editors,</w:t>
      </w:r>
    </w:p>
    <w:p>
      <w:pPr>
        <w:pStyle w:val="BodyText"/>
        <w:spacing w:before="8"/>
        <w:ind w:left="0"/>
        <w:rPr>
          <w:sz w:val="19"/>
        </w:rPr>
      </w:pPr>
    </w:p>
    <w:p>
      <w:pPr>
        <w:spacing w:line="240" w:lineRule="auto" w:before="0"/>
        <w:ind w:left="380" w:right="162" w:firstLine="0"/>
        <w:jc w:val="left"/>
        <w:rPr>
          <w:sz w:val="22"/>
        </w:rPr>
      </w:pPr>
      <w:r>
        <w:rPr>
          <w:sz w:val="22"/>
        </w:rPr>
        <w:t>We</w:t>
      </w:r>
      <w:r>
        <w:rPr>
          <w:spacing w:val="-1"/>
          <w:sz w:val="22"/>
        </w:rPr>
        <w:t> </w:t>
      </w:r>
      <w:r>
        <w:rPr>
          <w:sz w:val="22"/>
        </w:rPr>
        <w:t>are</w:t>
      </w:r>
      <w:r>
        <w:rPr>
          <w:spacing w:val="-1"/>
          <w:sz w:val="22"/>
        </w:rPr>
        <w:t> </w:t>
      </w:r>
      <w:r>
        <w:rPr>
          <w:sz w:val="22"/>
        </w:rPr>
        <w:t>pleased</w:t>
      </w:r>
      <w:r>
        <w:rPr>
          <w:spacing w:val="-1"/>
          <w:sz w:val="22"/>
        </w:rPr>
        <w:t> </w:t>
      </w:r>
      <w:r>
        <w:rPr>
          <w:sz w:val="22"/>
        </w:rPr>
        <w:t>to submit the</w:t>
      </w:r>
      <w:r>
        <w:rPr>
          <w:spacing w:val="-1"/>
          <w:sz w:val="22"/>
        </w:rPr>
        <w:t> </w:t>
      </w:r>
      <w:r>
        <w:rPr>
          <w:sz w:val="22"/>
        </w:rPr>
        <w:t>article entitled “</w:t>
      </w:r>
      <w:r>
        <w:rPr>
          <w:b/>
          <w:sz w:val="22"/>
        </w:rPr>
        <w:t>Effects</w:t>
      </w:r>
      <w:r>
        <w:rPr>
          <w:b/>
          <w:spacing w:val="-1"/>
          <w:sz w:val="22"/>
        </w:rPr>
        <w:t> </w:t>
      </w:r>
      <w:r>
        <w:rPr>
          <w:b/>
          <w:sz w:val="22"/>
        </w:rPr>
        <w:t>of water, sanitation, and hygiene interventions on</w:t>
      </w:r>
      <w:r>
        <w:rPr>
          <w:b/>
          <w:spacing w:val="-6"/>
          <w:sz w:val="22"/>
        </w:rPr>
        <w:t> </w:t>
      </w:r>
      <w:r>
        <w:rPr>
          <w:b/>
          <w:sz w:val="22"/>
        </w:rPr>
        <w:t>detection</w:t>
      </w:r>
      <w:r>
        <w:rPr>
          <w:b/>
          <w:spacing w:val="-5"/>
          <w:sz w:val="22"/>
        </w:rPr>
        <w:t> </w:t>
      </w:r>
      <w:r>
        <w:rPr>
          <w:b/>
          <w:sz w:val="22"/>
        </w:rPr>
        <w:t>of</w:t>
      </w:r>
      <w:r>
        <w:rPr>
          <w:b/>
          <w:spacing w:val="-7"/>
          <w:sz w:val="22"/>
        </w:rPr>
        <w:t> </w:t>
      </w:r>
      <w:r>
        <w:rPr>
          <w:b/>
          <w:sz w:val="22"/>
        </w:rPr>
        <w:t>enteropathogens</w:t>
      </w:r>
      <w:r>
        <w:rPr>
          <w:b/>
          <w:spacing w:val="-6"/>
          <w:sz w:val="22"/>
        </w:rPr>
        <w:t> </w:t>
      </w:r>
      <w:r>
        <w:rPr>
          <w:b/>
          <w:sz w:val="22"/>
        </w:rPr>
        <w:t>and</w:t>
      </w:r>
      <w:r>
        <w:rPr>
          <w:b/>
          <w:spacing w:val="-6"/>
          <w:sz w:val="22"/>
        </w:rPr>
        <w:t> </w:t>
      </w:r>
      <w:r>
        <w:rPr>
          <w:b/>
          <w:sz w:val="22"/>
        </w:rPr>
        <w:t>host-specific</w:t>
      </w:r>
      <w:r>
        <w:rPr>
          <w:b/>
          <w:spacing w:val="-6"/>
          <w:sz w:val="22"/>
        </w:rPr>
        <w:t> </w:t>
      </w:r>
      <w:r>
        <w:rPr>
          <w:b/>
          <w:sz w:val="22"/>
        </w:rPr>
        <w:t>faecal</w:t>
      </w:r>
      <w:r>
        <w:rPr>
          <w:b/>
          <w:spacing w:val="-6"/>
          <w:sz w:val="22"/>
        </w:rPr>
        <w:t> </w:t>
      </w:r>
      <w:r>
        <w:rPr>
          <w:b/>
          <w:sz w:val="22"/>
        </w:rPr>
        <w:t>markers</w:t>
      </w:r>
      <w:r>
        <w:rPr>
          <w:b/>
          <w:spacing w:val="-7"/>
          <w:sz w:val="22"/>
        </w:rPr>
        <w:t> </w:t>
      </w:r>
      <w:r>
        <w:rPr>
          <w:b/>
          <w:sz w:val="22"/>
        </w:rPr>
        <w:t>in</w:t>
      </w:r>
      <w:r>
        <w:rPr>
          <w:b/>
          <w:spacing w:val="-6"/>
          <w:sz w:val="22"/>
        </w:rPr>
        <w:t> </w:t>
      </w:r>
      <w:r>
        <w:rPr>
          <w:b/>
          <w:sz w:val="22"/>
        </w:rPr>
        <w:t>the</w:t>
      </w:r>
      <w:r>
        <w:rPr>
          <w:b/>
          <w:spacing w:val="-7"/>
          <w:sz w:val="22"/>
        </w:rPr>
        <w:t> </w:t>
      </w:r>
      <w:r>
        <w:rPr>
          <w:b/>
          <w:sz w:val="22"/>
        </w:rPr>
        <w:t>environment:</w:t>
      </w:r>
      <w:r>
        <w:rPr>
          <w:b/>
          <w:spacing w:val="-5"/>
          <w:sz w:val="22"/>
        </w:rPr>
        <w:t> </w:t>
      </w:r>
      <w:r>
        <w:rPr>
          <w:b/>
          <w:sz w:val="22"/>
        </w:rPr>
        <w:t>an</w:t>
      </w:r>
      <w:r>
        <w:rPr>
          <w:b/>
          <w:spacing w:val="-6"/>
          <w:sz w:val="22"/>
        </w:rPr>
        <w:t> </w:t>
      </w:r>
      <w:r>
        <w:rPr>
          <w:b/>
          <w:sz w:val="22"/>
        </w:rPr>
        <w:t>individual- participant data meta-analysis</w:t>
      </w:r>
      <w:r>
        <w:rPr>
          <w:sz w:val="22"/>
        </w:rPr>
        <w:t>” for consideration for publication in </w:t>
      </w:r>
      <w:r>
        <w:rPr>
          <w:i/>
          <w:sz w:val="22"/>
        </w:rPr>
        <w:t>The Lancet Planetary Health</w:t>
      </w:r>
      <w:r>
        <w:rPr>
          <w:sz w:val="22"/>
        </w:rPr>
        <w:t>. This manuscript supports </w:t>
      </w:r>
      <w:r>
        <w:rPr>
          <w:i/>
          <w:sz w:val="22"/>
        </w:rPr>
        <w:t>The Lancet </w:t>
      </w:r>
      <w:r>
        <w:rPr>
          <w:sz w:val="22"/>
        </w:rPr>
        <w:t>Commission report on water, sanitation and hygiene (WASH)</w:t>
      </w:r>
      <w:r>
        <w:rPr>
          <w:sz w:val="22"/>
          <w:vertAlign w:val="superscript"/>
        </w:rPr>
        <w:t>1</w:t>
      </w:r>
      <w:r>
        <w:rPr>
          <w:sz w:val="22"/>
          <w:vertAlign w:val="baseline"/>
        </w:rPr>
        <w:t>.</w:t>
      </w:r>
    </w:p>
    <w:p>
      <w:pPr>
        <w:pStyle w:val="BodyText"/>
        <w:spacing w:before="3"/>
        <w:ind w:left="0"/>
        <w:rPr>
          <w:sz w:val="20"/>
        </w:rPr>
      </w:pPr>
    </w:p>
    <w:p>
      <w:pPr>
        <w:pStyle w:val="BodyText"/>
        <w:ind w:right="162"/>
      </w:pPr>
      <w:r>
        <w:rPr/>
        <w:t>Recent robust trials of basic WASH interventions have found little or no effects on child diarrhea and growth</w:t>
      </w:r>
      <w:r>
        <w:rPr>
          <w:vertAlign w:val="superscript"/>
        </w:rPr>
        <w:t>2</w:t>
      </w:r>
      <w:r>
        <w:rPr>
          <w:spacing w:val="-4"/>
          <w:vertAlign w:val="baseline"/>
        </w:rPr>
        <w:t> </w:t>
      </w:r>
      <w:r>
        <w:rPr>
          <w:vertAlign w:val="baseline"/>
        </w:rPr>
        <w:t>and</w:t>
      </w:r>
      <w:r>
        <w:rPr>
          <w:spacing w:val="-3"/>
          <w:vertAlign w:val="baseline"/>
        </w:rPr>
        <w:t> </w:t>
      </w:r>
      <w:r>
        <w:rPr>
          <w:vertAlign w:val="baseline"/>
        </w:rPr>
        <w:t>these</w:t>
      </w:r>
      <w:r>
        <w:rPr>
          <w:spacing w:val="-4"/>
          <w:vertAlign w:val="baseline"/>
        </w:rPr>
        <w:t> </w:t>
      </w:r>
      <w:r>
        <w:rPr>
          <w:vertAlign w:val="baseline"/>
        </w:rPr>
        <w:t>findings</w:t>
      </w:r>
      <w:r>
        <w:rPr>
          <w:spacing w:val="-2"/>
          <w:vertAlign w:val="baseline"/>
        </w:rPr>
        <w:t> </w:t>
      </w:r>
      <w:r>
        <w:rPr>
          <w:vertAlign w:val="baseline"/>
        </w:rPr>
        <w:t>have</w:t>
      </w:r>
      <w:r>
        <w:rPr>
          <w:spacing w:val="-4"/>
          <w:vertAlign w:val="baseline"/>
        </w:rPr>
        <w:t> </w:t>
      </w:r>
      <w:r>
        <w:rPr>
          <w:vertAlign w:val="baseline"/>
        </w:rPr>
        <w:t>generated</w:t>
      </w:r>
      <w:r>
        <w:rPr>
          <w:spacing w:val="-4"/>
          <w:vertAlign w:val="baseline"/>
        </w:rPr>
        <w:t> </w:t>
      </w:r>
      <w:r>
        <w:rPr>
          <w:vertAlign w:val="baseline"/>
        </w:rPr>
        <w:t>substantial</w:t>
      </w:r>
      <w:r>
        <w:rPr>
          <w:spacing w:val="-4"/>
          <w:vertAlign w:val="baseline"/>
        </w:rPr>
        <w:t> </w:t>
      </w:r>
      <w:r>
        <w:rPr>
          <w:vertAlign w:val="baseline"/>
        </w:rPr>
        <w:t>debate</w:t>
      </w:r>
      <w:r>
        <w:rPr>
          <w:spacing w:val="-4"/>
          <w:vertAlign w:val="baseline"/>
        </w:rPr>
        <w:t> </w:t>
      </w:r>
      <w:r>
        <w:rPr>
          <w:vertAlign w:val="baseline"/>
        </w:rPr>
        <w:t>about</w:t>
      </w:r>
      <w:r>
        <w:rPr>
          <w:spacing w:val="-4"/>
          <w:vertAlign w:val="baseline"/>
        </w:rPr>
        <w:t> </w:t>
      </w:r>
      <w:r>
        <w:rPr>
          <w:vertAlign w:val="baseline"/>
        </w:rPr>
        <w:t>whether</w:t>
      </w:r>
      <w:r>
        <w:rPr>
          <w:spacing w:val="-4"/>
          <w:vertAlign w:val="baseline"/>
        </w:rPr>
        <w:t> </w:t>
      </w:r>
      <w:r>
        <w:rPr>
          <w:vertAlign w:val="baseline"/>
        </w:rPr>
        <w:t>basic</w:t>
      </w:r>
      <w:r>
        <w:rPr>
          <w:spacing w:val="-4"/>
          <w:vertAlign w:val="baseline"/>
        </w:rPr>
        <w:t> </w:t>
      </w:r>
      <w:r>
        <w:rPr>
          <w:vertAlign w:val="baseline"/>
        </w:rPr>
        <w:t>WASH</w:t>
      </w:r>
      <w:r>
        <w:rPr>
          <w:spacing w:val="-4"/>
          <w:vertAlign w:val="baseline"/>
        </w:rPr>
        <w:t> </w:t>
      </w:r>
      <w:r>
        <w:rPr>
          <w:vertAlign w:val="baseline"/>
        </w:rPr>
        <w:t>interventions can effectively reduce child exposure to faecal pathogens and therefore prevent disease. In this study, we pool individual participant data from several trials to assess the effects of basic WASH interventions on specific enteropathogens as well as human- and animal-specific microbial source tracking markers across important environmental compartments for disease transmission, e.g. drinking water and food.</w:t>
      </w:r>
    </w:p>
    <w:p>
      <w:pPr>
        <w:pStyle w:val="BodyText"/>
        <w:spacing w:before="4"/>
        <w:ind w:left="0"/>
        <w:rPr>
          <w:sz w:val="20"/>
        </w:rPr>
      </w:pPr>
    </w:p>
    <w:p>
      <w:pPr>
        <w:pStyle w:val="BodyText"/>
        <w:ind w:right="39"/>
      </w:pPr>
      <w:r>
        <w:rPr/>
        <w:t>The application of advanced molecular methods to enumerate pathogens and host-specific faecal markers in the domestic environment in low-income countries is relatively recent. Most published evidence</w:t>
      </w:r>
      <w:r>
        <w:rPr>
          <w:spacing w:val="-3"/>
        </w:rPr>
        <w:t> </w:t>
      </w:r>
      <w:r>
        <w:rPr/>
        <w:t>to</w:t>
      </w:r>
      <w:r>
        <w:rPr>
          <w:spacing w:val="-3"/>
        </w:rPr>
        <w:t> </w:t>
      </w:r>
      <w:r>
        <w:rPr/>
        <w:t>date</w:t>
      </w:r>
      <w:r>
        <w:rPr>
          <w:spacing w:val="-4"/>
        </w:rPr>
        <w:t> </w:t>
      </w:r>
      <w:r>
        <w:rPr/>
        <w:t>on</w:t>
      </w:r>
      <w:r>
        <w:rPr>
          <w:spacing w:val="-4"/>
        </w:rPr>
        <w:t> </w:t>
      </w:r>
      <w:r>
        <w:rPr/>
        <w:t>whether</w:t>
      </w:r>
      <w:r>
        <w:rPr>
          <w:spacing w:val="-4"/>
        </w:rPr>
        <w:t> </w:t>
      </w:r>
      <w:r>
        <w:rPr/>
        <w:t>WASH</w:t>
      </w:r>
      <w:r>
        <w:rPr>
          <w:spacing w:val="-3"/>
        </w:rPr>
        <w:t> </w:t>
      </w:r>
      <w:r>
        <w:rPr/>
        <w:t>improvements</w:t>
      </w:r>
      <w:r>
        <w:rPr>
          <w:spacing w:val="-3"/>
        </w:rPr>
        <w:t> </w:t>
      </w:r>
      <w:r>
        <w:rPr/>
        <w:t>reduce</w:t>
      </w:r>
      <w:r>
        <w:rPr>
          <w:spacing w:val="-3"/>
        </w:rPr>
        <w:t> </w:t>
      </w:r>
      <w:r>
        <w:rPr/>
        <w:t>faecal</w:t>
      </w:r>
      <w:r>
        <w:rPr>
          <w:spacing w:val="-3"/>
        </w:rPr>
        <w:t> </w:t>
      </w:r>
      <w:r>
        <w:rPr/>
        <w:t>exposure</w:t>
      </w:r>
      <w:r>
        <w:rPr>
          <w:spacing w:val="-4"/>
        </w:rPr>
        <w:t> </w:t>
      </w:r>
      <w:r>
        <w:rPr/>
        <w:t>is</w:t>
      </w:r>
      <w:r>
        <w:rPr>
          <w:spacing w:val="-2"/>
        </w:rPr>
        <w:t> </w:t>
      </w:r>
      <w:r>
        <w:rPr/>
        <w:t>based</w:t>
      </w:r>
      <w:r>
        <w:rPr>
          <w:spacing w:val="-4"/>
        </w:rPr>
        <w:t> </w:t>
      </w:r>
      <w:r>
        <w:rPr/>
        <w:t>on</w:t>
      </w:r>
      <w:r>
        <w:rPr>
          <w:spacing w:val="-3"/>
        </w:rPr>
        <w:t> </w:t>
      </w:r>
      <w:r>
        <w:rPr/>
        <w:t>measurements</w:t>
      </w:r>
      <w:r>
        <w:rPr>
          <w:spacing w:val="-3"/>
        </w:rPr>
        <w:t> </w:t>
      </w:r>
      <w:r>
        <w:rPr/>
        <w:t>of faecal indicator bacteria,</w:t>
      </w:r>
      <w:r>
        <w:rPr>
          <w:vertAlign w:val="superscript"/>
        </w:rPr>
        <w:t>3</w:t>
      </w:r>
      <w:r>
        <w:rPr>
          <w:vertAlign w:val="baseline"/>
        </w:rPr>
        <w:t> which are imperfect proxies for pathogen presence and health risk.</w:t>
      </w:r>
      <w:r>
        <w:rPr>
          <w:vertAlign w:val="superscript"/>
        </w:rPr>
        <w:t>4</w:t>
      </w:r>
      <w:r>
        <w:rPr>
          <w:vertAlign w:val="baseline"/>
        </w:rPr>
        <w:t> Directly enumerating pathogens and host-specific faecal markers may offer clearer insight about environmental mechanisms behind intervention failure or success. However, individual studies are typically underpowered to detect intervention effects on these intermediate outcomes because pathogens are infrequently detected</w:t>
      </w:r>
      <w:r>
        <w:rPr>
          <w:spacing w:val="-3"/>
          <w:vertAlign w:val="baseline"/>
        </w:rPr>
        <w:t> </w:t>
      </w:r>
      <w:r>
        <w:rPr>
          <w:vertAlign w:val="baseline"/>
        </w:rPr>
        <w:t>in</w:t>
      </w:r>
      <w:r>
        <w:rPr>
          <w:spacing w:val="-2"/>
          <w:vertAlign w:val="baseline"/>
        </w:rPr>
        <w:t> </w:t>
      </w:r>
      <w:r>
        <w:rPr>
          <w:vertAlign w:val="baseline"/>
        </w:rPr>
        <w:t>environmental</w:t>
      </w:r>
      <w:r>
        <w:rPr>
          <w:spacing w:val="-2"/>
          <w:vertAlign w:val="baseline"/>
        </w:rPr>
        <w:t> </w:t>
      </w:r>
      <w:r>
        <w:rPr>
          <w:vertAlign w:val="baseline"/>
        </w:rPr>
        <w:t>samples.</w:t>
      </w:r>
      <w:r>
        <w:rPr>
          <w:spacing w:val="-2"/>
          <w:vertAlign w:val="baseline"/>
        </w:rPr>
        <w:t> </w:t>
      </w:r>
      <w:r>
        <w:rPr>
          <w:vertAlign w:val="baseline"/>
        </w:rPr>
        <w:t>Our</w:t>
      </w:r>
      <w:r>
        <w:rPr>
          <w:spacing w:val="-2"/>
          <w:vertAlign w:val="baseline"/>
        </w:rPr>
        <w:t> </w:t>
      </w:r>
      <w:r>
        <w:rPr>
          <w:vertAlign w:val="baseline"/>
        </w:rPr>
        <w:t>individual</w:t>
      </w:r>
      <w:r>
        <w:rPr>
          <w:spacing w:val="-3"/>
          <w:vertAlign w:val="baseline"/>
        </w:rPr>
        <w:t> </w:t>
      </w:r>
      <w:r>
        <w:rPr>
          <w:vertAlign w:val="baseline"/>
        </w:rPr>
        <w:t>participant</w:t>
      </w:r>
      <w:r>
        <w:rPr>
          <w:spacing w:val="-2"/>
          <w:vertAlign w:val="baseline"/>
        </w:rPr>
        <w:t> </w:t>
      </w:r>
      <w:r>
        <w:rPr>
          <w:vertAlign w:val="baseline"/>
        </w:rPr>
        <w:t>data</w:t>
      </w:r>
      <w:r>
        <w:rPr>
          <w:spacing w:val="-1"/>
          <w:vertAlign w:val="baseline"/>
        </w:rPr>
        <w:t> </w:t>
      </w:r>
      <w:r>
        <w:rPr>
          <w:vertAlign w:val="baseline"/>
        </w:rPr>
        <w:t>meta-analysis</w:t>
      </w:r>
      <w:r>
        <w:rPr>
          <w:spacing w:val="-2"/>
          <w:vertAlign w:val="baseline"/>
        </w:rPr>
        <w:t> </w:t>
      </w:r>
      <w:r>
        <w:rPr>
          <w:vertAlign w:val="baseline"/>
        </w:rPr>
        <w:t>approach provides increased statistical power to detect effects on these rare outcomes.</w:t>
      </w:r>
    </w:p>
    <w:p>
      <w:pPr>
        <w:pStyle w:val="BodyText"/>
        <w:spacing w:before="8"/>
        <w:ind w:left="0"/>
        <w:rPr>
          <w:sz w:val="19"/>
        </w:rPr>
      </w:pPr>
    </w:p>
    <w:p>
      <w:pPr>
        <w:pStyle w:val="BodyText"/>
        <w:ind w:right="162"/>
      </w:pPr>
      <w:r>
        <w:rPr/>
        <w:t>We identified and obtained data for nine comparisons, drawn from five trials, that sampled various environmental media (drinking water, soil, hand rinses, flies). Our review identified only eligible sanitation intervention studies that measured enteropathogens and microbial source tracking markers in the environment; no water supply/quality or hygiene interventions measured these targets. In our pooled analysis, we found a small effect of sanitation interventions on pathogen detection in environmental samples and no effect on the detection of human or animal faecal markers. These findings are consistent with the small or null effects of the sanitation interventions on child health outcomes</w:t>
      </w:r>
      <w:r>
        <w:rPr>
          <w:spacing w:val="-3"/>
        </w:rPr>
        <w:t> </w:t>
      </w:r>
      <w:r>
        <w:rPr/>
        <w:t>in</w:t>
      </w:r>
      <w:r>
        <w:rPr>
          <w:spacing w:val="-2"/>
        </w:rPr>
        <w:t> </w:t>
      </w:r>
      <w:r>
        <w:rPr/>
        <w:t>these</w:t>
      </w:r>
      <w:r>
        <w:rPr>
          <w:spacing w:val="-3"/>
        </w:rPr>
        <w:t> </w:t>
      </w:r>
      <w:r>
        <w:rPr/>
        <w:t>trials</w:t>
      </w:r>
      <w:r>
        <w:rPr>
          <w:spacing w:val="-2"/>
        </w:rPr>
        <w:t> </w:t>
      </w:r>
      <w:r>
        <w:rPr/>
        <w:t>and</w:t>
      </w:r>
      <w:r>
        <w:rPr>
          <w:spacing w:val="-3"/>
        </w:rPr>
        <w:t> </w:t>
      </w:r>
      <w:r>
        <w:rPr/>
        <w:t>lend</w:t>
      </w:r>
      <w:r>
        <w:rPr>
          <w:spacing w:val="-3"/>
        </w:rPr>
        <w:t> </w:t>
      </w:r>
      <w:r>
        <w:rPr/>
        <w:t>weight</w:t>
      </w:r>
      <w:r>
        <w:rPr>
          <w:spacing w:val="-2"/>
        </w:rPr>
        <w:t> </w:t>
      </w:r>
      <w:r>
        <w:rPr/>
        <w:t>to</w:t>
      </w:r>
      <w:r>
        <w:rPr>
          <w:spacing w:val="-2"/>
        </w:rPr>
        <w:t> </w:t>
      </w:r>
      <w:r>
        <w:rPr/>
        <w:t>calls</w:t>
      </w:r>
      <w:r>
        <w:rPr>
          <w:spacing w:val="-2"/>
        </w:rPr>
        <w:t> </w:t>
      </w:r>
      <w:r>
        <w:rPr/>
        <w:t>for</w:t>
      </w:r>
      <w:r>
        <w:rPr>
          <w:spacing w:val="-3"/>
        </w:rPr>
        <w:t> </w:t>
      </w:r>
      <w:r>
        <w:rPr/>
        <w:t>more</w:t>
      </w:r>
      <w:r>
        <w:rPr>
          <w:spacing w:val="-3"/>
        </w:rPr>
        <w:t> </w:t>
      </w:r>
      <w:r>
        <w:rPr/>
        <w:t>radical</w:t>
      </w:r>
      <w:r>
        <w:rPr>
          <w:spacing w:val="-3"/>
        </w:rPr>
        <w:t> </w:t>
      </w:r>
      <w:r>
        <w:rPr/>
        <w:t>sanitation</w:t>
      </w:r>
      <w:r>
        <w:rPr>
          <w:spacing w:val="-2"/>
        </w:rPr>
        <w:t> </w:t>
      </w:r>
      <w:r>
        <w:rPr/>
        <w:t>solutions</w:t>
      </w:r>
      <w:r>
        <w:rPr>
          <w:spacing w:val="-3"/>
        </w:rPr>
        <w:t> </w:t>
      </w:r>
      <w:r>
        <w:rPr/>
        <w:t>that</w:t>
      </w:r>
      <w:r>
        <w:rPr>
          <w:spacing w:val="-2"/>
        </w:rPr>
        <w:t> </w:t>
      </w:r>
      <w:r>
        <w:rPr/>
        <w:t>do</w:t>
      </w:r>
      <w:r>
        <w:rPr>
          <w:spacing w:val="-3"/>
        </w:rPr>
        <w:t> </w:t>
      </w:r>
      <w:r>
        <w:rPr/>
        <w:t>effectively contain waste and prevent exposure to enteropathogens.</w:t>
      </w:r>
    </w:p>
    <w:p>
      <w:pPr>
        <w:pStyle w:val="BodyText"/>
        <w:spacing w:before="8"/>
        <w:ind w:left="0"/>
        <w:rPr>
          <w:sz w:val="19"/>
        </w:rPr>
      </w:pPr>
    </w:p>
    <w:p>
      <w:pPr>
        <w:pStyle w:val="BodyText"/>
        <w:ind w:right="163"/>
      </w:pPr>
      <w:r>
        <w:rPr/>
        <w:t>We believe that this article is particularly timely given the </w:t>
      </w:r>
      <w:r>
        <w:rPr>
          <w:i/>
        </w:rPr>
        <w:t>Lancet </w:t>
      </w:r>
      <w:r>
        <w:rPr/>
        <w:t>Commission on WASH, but also more in</w:t>
      </w:r>
      <w:r>
        <w:rPr>
          <w:spacing w:val="-3"/>
        </w:rPr>
        <w:t> </w:t>
      </w:r>
      <w:r>
        <w:rPr/>
        <w:t>the</w:t>
      </w:r>
      <w:r>
        <w:rPr>
          <w:spacing w:val="-2"/>
        </w:rPr>
        <w:t> </w:t>
      </w:r>
      <w:r>
        <w:rPr/>
        <w:t>context</w:t>
      </w:r>
      <w:r>
        <w:rPr>
          <w:spacing w:val="-3"/>
        </w:rPr>
        <w:t> </w:t>
      </w:r>
      <w:r>
        <w:rPr/>
        <w:t>of</w:t>
      </w:r>
      <w:r>
        <w:rPr>
          <w:spacing w:val="-3"/>
        </w:rPr>
        <w:t> </w:t>
      </w:r>
      <w:r>
        <w:rPr/>
        <w:t>slow</w:t>
      </w:r>
      <w:r>
        <w:rPr>
          <w:spacing w:val="-3"/>
        </w:rPr>
        <w:t> </w:t>
      </w:r>
      <w:r>
        <w:rPr/>
        <w:t>progress</w:t>
      </w:r>
      <w:r>
        <w:rPr>
          <w:spacing w:val="-3"/>
        </w:rPr>
        <w:t> </w:t>
      </w:r>
      <w:r>
        <w:rPr/>
        <w:t>towards</w:t>
      </w:r>
      <w:r>
        <w:rPr>
          <w:spacing w:val="-3"/>
        </w:rPr>
        <w:t> </w:t>
      </w:r>
      <w:r>
        <w:rPr/>
        <w:t>the</w:t>
      </w:r>
      <w:r>
        <w:rPr>
          <w:spacing w:val="-2"/>
        </w:rPr>
        <w:t> </w:t>
      </w:r>
      <w:r>
        <w:rPr/>
        <w:t>Sustainable</w:t>
      </w:r>
      <w:r>
        <w:rPr>
          <w:spacing w:val="-3"/>
        </w:rPr>
        <w:t> </w:t>
      </w:r>
      <w:r>
        <w:rPr/>
        <w:t>Development</w:t>
      </w:r>
      <w:r>
        <w:rPr>
          <w:spacing w:val="-2"/>
        </w:rPr>
        <w:t> </w:t>
      </w:r>
      <w:r>
        <w:rPr/>
        <w:t>Goal</w:t>
      </w:r>
      <w:r>
        <w:rPr>
          <w:spacing w:val="-2"/>
        </w:rPr>
        <w:t> </w:t>
      </w:r>
      <w:r>
        <w:rPr/>
        <w:t>target</w:t>
      </w:r>
      <w:r>
        <w:rPr>
          <w:spacing w:val="-3"/>
        </w:rPr>
        <w:t> </w:t>
      </w:r>
      <w:r>
        <w:rPr/>
        <w:t>of</w:t>
      </w:r>
      <w:r>
        <w:rPr>
          <w:spacing w:val="-3"/>
        </w:rPr>
        <w:t> </w:t>
      </w:r>
      <w:r>
        <w:rPr/>
        <w:t>universal</w:t>
      </w:r>
      <w:r>
        <w:rPr>
          <w:spacing w:val="-3"/>
        </w:rPr>
        <w:t> </w:t>
      </w:r>
      <w:r>
        <w:rPr/>
        <w:t>access</w:t>
      </w:r>
      <w:r>
        <w:rPr>
          <w:spacing w:val="-3"/>
        </w:rPr>
        <w:t> </w:t>
      </w:r>
      <w:r>
        <w:rPr/>
        <w:t>to safely managed WASH services by 2030.</w:t>
      </w:r>
      <w:r>
        <w:rPr>
          <w:vertAlign w:val="superscript"/>
        </w:rPr>
        <w:t>5</w:t>
      </w:r>
      <w:r>
        <w:rPr>
          <w:vertAlign w:val="baseline"/>
        </w:rPr>
        <w:t> Understanding why basic interventions are ineffective is essential for policy reform and critical reflection on current normative standards.</w:t>
      </w:r>
    </w:p>
    <w:p>
      <w:pPr>
        <w:pStyle w:val="BodyText"/>
        <w:spacing w:line="508" w:lineRule="exact" w:before="43"/>
        <w:ind w:right="5997"/>
      </w:pPr>
      <w:r>
        <w:rPr/>
        <w:t>Thank</w:t>
      </w:r>
      <w:r>
        <w:rPr>
          <w:spacing w:val="-9"/>
        </w:rPr>
        <w:t> </w:t>
      </w:r>
      <w:r>
        <w:rPr/>
        <w:t>you</w:t>
      </w:r>
      <w:r>
        <w:rPr>
          <w:spacing w:val="-10"/>
        </w:rPr>
        <w:t> </w:t>
      </w:r>
      <w:r>
        <w:rPr/>
        <w:t>for</w:t>
      </w:r>
      <w:r>
        <w:rPr>
          <w:spacing w:val="-10"/>
        </w:rPr>
        <w:t> </w:t>
      </w:r>
      <w:r>
        <w:rPr/>
        <w:t>your</w:t>
      </w:r>
      <w:r>
        <w:rPr>
          <w:spacing w:val="-10"/>
        </w:rPr>
        <w:t> </w:t>
      </w:r>
      <w:r>
        <w:rPr/>
        <w:t>consideration. Yours faithfully,</w:t>
      </w:r>
    </w:p>
    <w:p>
      <w:pPr>
        <w:pStyle w:val="BodyText"/>
        <w:spacing w:line="268" w:lineRule="exact" w:before="92"/>
      </w:pPr>
      <w:r>
        <w:rPr/>
        <w:t>Ayse</w:t>
      </w:r>
      <w:r>
        <w:rPr>
          <w:spacing w:val="-10"/>
        </w:rPr>
        <w:t> </w:t>
      </w:r>
      <w:r>
        <w:rPr/>
        <w:t>Ercumen,</w:t>
      </w:r>
      <w:r>
        <w:rPr>
          <w:spacing w:val="-9"/>
        </w:rPr>
        <w:t> </w:t>
      </w:r>
      <w:r>
        <w:rPr>
          <w:spacing w:val="-5"/>
        </w:rPr>
        <w:t>PhD</w:t>
      </w:r>
    </w:p>
    <w:p>
      <w:pPr>
        <w:pStyle w:val="BodyText"/>
        <w:spacing w:line="268" w:lineRule="exact"/>
      </w:pPr>
      <w:r>
        <w:rPr/>
        <w:t>Department</w:t>
      </w:r>
      <w:r>
        <w:rPr>
          <w:spacing w:val="-11"/>
        </w:rPr>
        <w:t> </w:t>
      </w:r>
      <w:r>
        <w:rPr/>
        <w:t>of</w:t>
      </w:r>
      <w:r>
        <w:rPr>
          <w:spacing w:val="-10"/>
        </w:rPr>
        <w:t> </w:t>
      </w:r>
      <w:r>
        <w:rPr/>
        <w:t>Forestry</w:t>
      </w:r>
      <w:r>
        <w:rPr>
          <w:spacing w:val="-11"/>
        </w:rPr>
        <w:t> </w:t>
      </w:r>
      <w:r>
        <w:rPr/>
        <w:t>and</w:t>
      </w:r>
      <w:r>
        <w:rPr>
          <w:spacing w:val="-10"/>
        </w:rPr>
        <w:t> </w:t>
      </w:r>
      <w:r>
        <w:rPr/>
        <w:t>Environmental</w:t>
      </w:r>
      <w:r>
        <w:rPr>
          <w:spacing w:val="-11"/>
        </w:rPr>
        <w:t> </w:t>
      </w:r>
      <w:r>
        <w:rPr/>
        <w:t>Resources,</w:t>
      </w:r>
      <w:r>
        <w:rPr>
          <w:spacing w:val="-10"/>
        </w:rPr>
        <w:t> </w:t>
      </w:r>
      <w:r>
        <w:rPr/>
        <w:t>North</w:t>
      </w:r>
      <w:r>
        <w:rPr>
          <w:spacing w:val="-11"/>
        </w:rPr>
        <w:t> </w:t>
      </w:r>
      <w:r>
        <w:rPr/>
        <w:t>Carolina</w:t>
      </w:r>
      <w:r>
        <w:rPr>
          <w:spacing w:val="-10"/>
        </w:rPr>
        <w:t> </w:t>
      </w:r>
      <w:r>
        <w:rPr/>
        <w:t>State</w:t>
      </w:r>
      <w:r>
        <w:rPr>
          <w:spacing w:val="-9"/>
        </w:rPr>
        <w:t> </w:t>
      </w:r>
      <w:r>
        <w:rPr>
          <w:spacing w:val="-2"/>
        </w:rPr>
        <w:t>University</w:t>
      </w:r>
    </w:p>
    <w:p>
      <w:pPr>
        <w:pStyle w:val="BodyText"/>
        <w:spacing w:before="137"/>
      </w:pPr>
      <w:r>
        <w:rPr/>
        <w:t>Andrew</w:t>
      </w:r>
      <w:r>
        <w:rPr>
          <w:spacing w:val="-11"/>
        </w:rPr>
        <w:t> </w:t>
      </w:r>
      <w:r>
        <w:rPr/>
        <w:t>Mertens</w:t>
      </w:r>
      <w:r>
        <w:rPr>
          <w:spacing w:val="-10"/>
        </w:rPr>
        <w:t> </w:t>
      </w:r>
      <w:r>
        <w:rPr>
          <w:spacing w:val="-5"/>
        </w:rPr>
        <w:t>PhD</w:t>
      </w:r>
    </w:p>
    <w:p>
      <w:pPr>
        <w:pStyle w:val="BodyText"/>
      </w:pPr>
      <w:r>
        <w:rPr/>
        <w:t>Division</w:t>
      </w:r>
      <w:r>
        <w:rPr>
          <w:spacing w:val="-10"/>
        </w:rPr>
        <w:t> </w:t>
      </w:r>
      <w:r>
        <w:rPr/>
        <w:t>of</w:t>
      </w:r>
      <w:r>
        <w:rPr>
          <w:spacing w:val="-8"/>
        </w:rPr>
        <w:t> </w:t>
      </w:r>
      <w:r>
        <w:rPr/>
        <w:t>Epidemiology,</w:t>
      </w:r>
      <w:r>
        <w:rPr>
          <w:spacing w:val="-9"/>
        </w:rPr>
        <w:t> </w:t>
      </w:r>
      <w:r>
        <w:rPr/>
        <w:t>School</w:t>
      </w:r>
      <w:r>
        <w:rPr>
          <w:spacing w:val="-9"/>
        </w:rPr>
        <w:t> </w:t>
      </w:r>
      <w:r>
        <w:rPr/>
        <w:t>of</w:t>
      </w:r>
      <w:r>
        <w:rPr>
          <w:spacing w:val="-9"/>
        </w:rPr>
        <w:t> </w:t>
      </w:r>
      <w:r>
        <w:rPr/>
        <w:t>Public</w:t>
      </w:r>
      <w:r>
        <w:rPr>
          <w:spacing w:val="-10"/>
        </w:rPr>
        <w:t> </w:t>
      </w:r>
      <w:r>
        <w:rPr/>
        <w:t>Health,</w:t>
      </w:r>
      <w:r>
        <w:rPr>
          <w:spacing w:val="-8"/>
        </w:rPr>
        <w:t> </w:t>
      </w:r>
      <w:r>
        <w:rPr/>
        <w:t>University</w:t>
      </w:r>
      <w:r>
        <w:rPr>
          <w:spacing w:val="-9"/>
        </w:rPr>
        <w:t> </w:t>
      </w:r>
      <w:r>
        <w:rPr/>
        <w:t>of</w:t>
      </w:r>
      <w:r>
        <w:rPr>
          <w:spacing w:val="-9"/>
        </w:rPr>
        <w:t> </w:t>
      </w:r>
      <w:r>
        <w:rPr/>
        <w:t>California,</w:t>
      </w:r>
      <w:r>
        <w:rPr>
          <w:spacing w:val="-10"/>
        </w:rPr>
        <w:t> </w:t>
      </w:r>
      <w:r>
        <w:rPr>
          <w:spacing w:val="-2"/>
        </w:rPr>
        <w:t>Berkeley</w:t>
      </w:r>
    </w:p>
    <w:p>
      <w:pPr>
        <w:spacing w:after="0"/>
        <w:sectPr>
          <w:type w:val="continuous"/>
          <w:pgSz w:w="12240" w:h="15840"/>
          <w:pgMar w:top="1420" w:bottom="280" w:left="1060" w:right="1340"/>
        </w:sectPr>
      </w:pPr>
    </w:p>
    <w:p>
      <w:pPr>
        <w:spacing w:before="40"/>
        <w:ind w:left="380" w:right="0" w:firstLine="0"/>
        <w:jc w:val="left"/>
        <w:rPr>
          <w:b/>
          <w:sz w:val="22"/>
        </w:rPr>
      </w:pPr>
      <w:r>
        <w:rPr>
          <w:b/>
          <w:spacing w:val="-2"/>
          <w:sz w:val="22"/>
        </w:rPr>
        <w:t>References</w:t>
      </w:r>
    </w:p>
    <w:p>
      <w:pPr>
        <w:pStyle w:val="BodyText"/>
        <w:spacing w:before="8"/>
        <w:ind w:left="0"/>
        <w:rPr>
          <w:b/>
          <w:sz w:val="20"/>
        </w:rPr>
      </w:pPr>
    </w:p>
    <w:p>
      <w:pPr>
        <w:pStyle w:val="ListParagraph"/>
        <w:numPr>
          <w:ilvl w:val="0"/>
          <w:numId w:val="1"/>
        </w:numPr>
        <w:tabs>
          <w:tab w:pos="381" w:val="left" w:leader="none"/>
        </w:tabs>
        <w:spacing w:line="240" w:lineRule="auto" w:before="0" w:after="0"/>
        <w:ind w:left="380" w:right="0" w:hanging="266"/>
        <w:jc w:val="left"/>
        <w:rPr>
          <w:rFonts w:ascii="Arial"/>
          <w:b/>
          <w:sz w:val="20"/>
        </w:rPr>
      </w:pPr>
      <w:r>
        <w:rPr>
          <w:sz w:val="22"/>
        </w:rPr>
        <w:t>Amebelu,</w:t>
      </w:r>
      <w:r>
        <w:rPr>
          <w:spacing w:val="-4"/>
          <w:sz w:val="22"/>
        </w:rPr>
        <w:t> </w:t>
      </w:r>
      <w:r>
        <w:rPr>
          <w:sz w:val="22"/>
        </w:rPr>
        <w:t>A.</w:t>
      </w:r>
      <w:r>
        <w:rPr>
          <w:spacing w:val="-2"/>
          <w:sz w:val="22"/>
        </w:rPr>
        <w:t> </w:t>
      </w:r>
      <w:r>
        <w:rPr>
          <w:sz w:val="22"/>
        </w:rPr>
        <w:t>et</w:t>
      </w:r>
      <w:r>
        <w:rPr>
          <w:spacing w:val="-4"/>
          <w:sz w:val="22"/>
        </w:rPr>
        <w:t> </w:t>
      </w:r>
      <w:r>
        <w:rPr>
          <w:sz w:val="22"/>
        </w:rPr>
        <w:t>al.</w:t>
      </w:r>
      <w:r>
        <w:rPr>
          <w:spacing w:val="-3"/>
          <w:sz w:val="22"/>
        </w:rPr>
        <w:t> </w:t>
      </w:r>
      <w:r>
        <w:rPr>
          <w:rFonts w:ascii="Arial"/>
          <w:i/>
          <w:color w:val="212121"/>
          <w:sz w:val="20"/>
        </w:rPr>
        <w:t>The</w:t>
      </w:r>
      <w:r>
        <w:rPr>
          <w:rFonts w:ascii="Arial"/>
          <w:i/>
          <w:color w:val="212121"/>
          <w:spacing w:val="-4"/>
          <w:sz w:val="20"/>
        </w:rPr>
        <w:t> </w:t>
      </w:r>
      <w:r>
        <w:rPr>
          <w:rFonts w:ascii="Arial"/>
          <w:i/>
          <w:color w:val="212121"/>
          <w:sz w:val="20"/>
        </w:rPr>
        <w:t>Lancet</w:t>
      </w:r>
      <w:r>
        <w:rPr>
          <w:rFonts w:ascii="Arial"/>
          <w:i/>
          <w:color w:val="212121"/>
          <w:spacing w:val="-4"/>
          <w:sz w:val="20"/>
        </w:rPr>
        <w:t> </w:t>
      </w:r>
      <w:r>
        <w:rPr>
          <w:rFonts w:ascii="Arial"/>
          <w:color w:val="212121"/>
          <w:sz w:val="20"/>
        </w:rPr>
        <w:t>Commission</w:t>
      </w:r>
      <w:r>
        <w:rPr>
          <w:rFonts w:ascii="Arial"/>
          <w:color w:val="212121"/>
          <w:spacing w:val="-4"/>
          <w:sz w:val="20"/>
        </w:rPr>
        <w:t> </w:t>
      </w:r>
      <w:r>
        <w:rPr>
          <w:rFonts w:ascii="Arial"/>
          <w:color w:val="212121"/>
          <w:sz w:val="20"/>
        </w:rPr>
        <w:t>on</w:t>
      </w:r>
      <w:r>
        <w:rPr>
          <w:rFonts w:ascii="Arial"/>
          <w:color w:val="212121"/>
          <w:spacing w:val="-4"/>
          <w:sz w:val="20"/>
        </w:rPr>
        <w:t> </w:t>
      </w:r>
      <w:r>
        <w:rPr>
          <w:rFonts w:ascii="Arial"/>
          <w:color w:val="212121"/>
          <w:sz w:val="20"/>
        </w:rPr>
        <w:t>water,</w:t>
      </w:r>
      <w:r>
        <w:rPr>
          <w:rFonts w:ascii="Arial"/>
          <w:color w:val="212121"/>
          <w:spacing w:val="-4"/>
          <w:sz w:val="20"/>
        </w:rPr>
        <w:t> </w:t>
      </w:r>
      <w:r>
        <w:rPr>
          <w:rFonts w:ascii="Arial"/>
          <w:color w:val="212121"/>
          <w:sz w:val="20"/>
        </w:rPr>
        <w:t>sanitation</w:t>
      </w:r>
      <w:r>
        <w:rPr>
          <w:rFonts w:ascii="Arial"/>
          <w:color w:val="212121"/>
          <w:spacing w:val="-4"/>
          <w:sz w:val="20"/>
        </w:rPr>
        <w:t> </w:t>
      </w:r>
      <w:r>
        <w:rPr>
          <w:rFonts w:ascii="Arial"/>
          <w:color w:val="212121"/>
          <w:sz w:val="20"/>
        </w:rPr>
        <w:t>and</w:t>
      </w:r>
      <w:r>
        <w:rPr>
          <w:rFonts w:ascii="Arial"/>
          <w:color w:val="212121"/>
          <w:spacing w:val="-4"/>
          <w:sz w:val="20"/>
        </w:rPr>
        <w:t> </w:t>
      </w:r>
      <w:r>
        <w:rPr>
          <w:rFonts w:ascii="Arial"/>
          <w:color w:val="212121"/>
          <w:sz w:val="20"/>
        </w:rPr>
        <w:t>hygiene,</w:t>
      </w:r>
      <w:r>
        <w:rPr>
          <w:rFonts w:ascii="Arial"/>
          <w:color w:val="212121"/>
          <w:spacing w:val="-5"/>
          <w:sz w:val="20"/>
        </w:rPr>
        <w:t> </w:t>
      </w:r>
      <w:r>
        <w:rPr>
          <w:rFonts w:ascii="Arial"/>
          <w:color w:val="212121"/>
          <w:sz w:val="20"/>
        </w:rPr>
        <w:t>and</w:t>
      </w:r>
      <w:r>
        <w:rPr>
          <w:rFonts w:ascii="Arial"/>
          <w:color w:val="212121"/>
          <w:spacing w:val="-4"/>
          <w:sz w:val="20"/>
        </w:rPr>
        <w:t> </w:t>
      </w:r>
      <w:r>
        <w:rPr>
          <w:rFonts w:ascii="Arial"/>
          <w:color w:val="212121"/>
          <w:sz w:val="20"/>
        </w:rPr>
        <w:t>health.</w:t>
      </w:r>
      <w:r>
        <w:rPr>
          <w:rFonts w:ascii="Arial"/>
          <w:color w:val="212121"/>
          <w:spacing w:val="-4"/>
          <w:sz w:val="20"/>
        </w:rPr>
        <w:t> </w:t>
      </w:r>
      <w:r>
        <w:rPr>
          <w:rFonts w:ascii="Arial"/>
          <w:i/>
          <w:color w:val="212121"/>
          <w:sz w:val="20"/>
        </w:rPr>
        <w:t>The</w:t>
      </w:r>
      <w:r>
        <w:rPr>
          <w:rFonts w:ascii="Arial"/>
          <w:i/>
          <w:color w:val="212121"/>
          <w:spacing w:val="-5"/>
          <w:sz w:val="20"/>
        </w:rPr>
        <w:t> </w:t>
      </w:r>
      <w:r>
        <w:rPr>
          <w:rFonts w:ascii="Arial"/>
          <w:i/>
          <w:color w:val="212121"/>
          <w:sz w:val="20"/>
        </w:rPr>
        <w:t>Lancet</w:t>
      </w:r>
      <w:r>
        <w:rPr>
          <w:rFonts w:ascii="Arial"/>
          <w:i/>
          <w:color w:val="212121"/>
          <w:spacing w:val="-4"/>
          <w:sz w:val="20"/>
        </w:rPr>
        <w:t> </w:t>
      </w:r>
      <w:r>
        <w:rPr>
          <w:rFonts w:ascii="Arial"/>
          <w:b/>
          <w:color w:val="212121"/>
          <w:spacing w:val="-5"/>
          <w:sz w:val="20"/>
        </w:rPr>
        <w:t>398</w:t>
      </w:r>
    </w:p>
    <w:p>
      <w:pPr>
        <w:spacing w:before="1"/>
        <w:ind w:left="380" w:right="0" w:firstLine="0"/>
        <w:jc w:val="left"/>
        <w:rPr>
          <w:rFonts w:ascii="Arial"/>
          <w:sz w:val="20"/>
        </w:rPr>
      </w:pPr>
      <w:r>
        <w:rPr>
          <w:rFonts w:ascii="Arial"/>
          <w:color w:val="212121"/>
          <w:sz w:val="20"/>
        </w:rPr>
        <w:t>(10310):</w:t>
      </w:r>
      <w:r>
        <w:rPr>
          <w:rFonts w:ascii="Arial"/>
          <w:color w:val="212121"/>
          <w:spacing w:val="-5"/>
          <w:sz w:val="20"/>
        </w:rPr>
        <w:t> </w:t>
      </w:r>
      <w:r>
        <w:rPr>
          <w:rFonts w:ascii="Arial"/>
          <w:color w:val="212121"/>
          <w:sz w:val="20"/>
        </w:rPr>
        <w:t>1469-1470</w:t>
      </w:r>
      <w:r>
        <w:rPr>
          <w:rFonts w:ascii="Arial"/>
          <w:color w:val="212121"/>
          <w:spacing w:val="-5"/>
          <w:sz w:val="20"/>
        </w:rPr>
        <w:t> </w:t>
      </w:r>
      <w:r>
        <w:rPr>
          <w:rFonts w:ascii="Arial"/>
          <w:color w:val="212121"/>
          <w:spacing w:val="-2"/>
          <w:sz w:val="20"/>
        </w:rPr>
        <w:t>(2022).</w:t>
      </w:r>
    </w:p>
    <w:p>
      <w:pPr>
        <w:pStyle w:val="ListParagraph"/>
        <w:numPr>
          <w:ilvl w:val="0"/>
          <w:numId w:val="1"/>
        </w:numPr>
        <w:tabs>
          <w:tab w:pos="380" w:val="left" w:leader="none"/>
        </w:tabs>
        <w:spacing w:line="240" w:lineRule="auto" w:before="0" w:after="0"/>
        <w:ind w:left="379" w:right="133" w:hanging="264"/>
        <w:jc w:val="left"/>
        <w:rPr>
          <w:sz w:val="22"/>
        </w:rPr>
      </w:pPr>
      <w:r>
        <w:rPr>
          <w:sz w:val="22"/>
        </w:rPr>
        <w:t>Pickering,</w:t>
      </w:r>
      <w:r>
        <w:rPr>
          <w:spacing w:val="-1"/>
          <w:sz w:val="22"/>
        </w:rPr>
        <w:t> </w:t>
      </w:r>
      <w:r>
        <w:rPr>
          <w:sz w:val="22"/>
        </w:rPr>
        <w:t>A.</w:t>
      </w:r>
      <w:r>
        <w:rPr>
          <w:spacing w:val="-2"/>
          <w:sz w:val="22"/>
        </w:rPr>
        <w:t> </w:t>
      </w:r>
      <w:r>
        <w:rPr>
          <w:sz w:val="22"/>
        </w:rPr>
        <w:t>J.</w:t>
      </w:r>
      <w:r>
        <w:rPr>
          <w:spacing w:val="-3"/>
          <w:sz w:val="22"/>
        </w:rPr>
        <w:t> </w:t>
      </w:r>
      <w:r>
        <w:rPr>
          <w:i/>
          <w:sz w:val="22"/>
        </w:rPr>
        <w:t>et</w:t>
      </w:r>
      <w:r>
        <w:rPr>
          <w:i/>
          <w:spacing w:val="-3"/>
          <w:sz w:val="22"/>
        </w:rPr>
        <w:t> </w:t>
      </w:r>
      <w:r>
        <w:rPr>
          <w:i/>
          <w:sz w:val="22"/>
        </w:rPr>
        <w:t>al.</w:t>
      </w:r>
      <w:r>
        <w:rPr>
          <w:i/>
          <w:spacing w:val="-2"/>
          <w:sz w:val="22"/>
        </w:rPr>
        <w:t> </w:t>
      </w:r>
      <w:r>
        <w:rPr>
          <w:sz w:val="22"/>
        </w:rPr>
        <w:t>The</w:t>
      </w:r>
      <w:r>
        <w:rPr>
          <w:spacing w:val="-2"/>
          <w:sz w:val="22"/>
        </w:rPr>
        <w:t> </w:t>
      </w:r>
      <w:r>
        <w:rPr>
          <w:sz w:val="22"/>
        </w:rPr>
        <w:t>WASH</w:t>
      </w:r>
      <w:r>
        <w:rPr>
          <w:spacing w:val="-3"/>
          <w:sz w:val="22"/>
        </w:rPr>
        <w:t> </w:t>
      </w:r>
      <w:r>
        <w:rPr>
          <w:sz w:val="22"/>
        </w:rPr>
        <w:t>Benefits</w:t>
      </w:r>
      <w:r>
        <w:rPr>
          <w:spacing w:val="-1"/>
          <w:sz w:val="22"/>
        </w:rPr>
        <w:t> </w:t>
      </w:r>
      <w:r>
        <w:rPr>
          <w:sz w:val="22"/>
        </w:rPr>
        <w:t>and</w:t>
      </w:r>
      <w:r>
        <w:rPr>
          <w:spacing w:val="-3"/>
          <w:sz w:val="22"/>
        </w:rPr>
        <w:t> </w:t>
      </w:r>
      <w:r>
        <w:rPr>
          <w:sz w:val="22"/>
        </w:rPr>
        <w:t>SHINE</w:t>
      </w:r>
      <w:r>
        <w:rPr>
          <w:spacing w:val="-2"/>
          <w:sz w:val="22"/>
        </w:rPr>
        <w:t> </w:t>
      </w:r>
      <w:r>
        <w:rPr>
          <w:sz w:val="22"/>
        </w:rPr>
        <w:t>trials:</w:t>
      </w:r>
      <w:r>
        <w:rPr>
          <w:spacing w:val="-3"/>
          <w:sz w:val="22"/>
        </w:rPr>
        <w:t> </w:t>
      </w:r>
      <w:r>
        <w:rPr>
          <w:sz w:val="22"/>
        </w:rPr>
        <w:t>interpretation</w:t>
      </w:r>
      <w:r>
        <w:rPr>
          <w:spacing w:val="-3"/>
          <w:sz w:val="22"/>
        </w:rPr>
        <w:t> </w:t>
      </w:r>
      <w:r>
        <w:rPr>
          <w:sz w:val="22"/>
        </w:rPr>
        <w:t>of</w:t>
      </w:r>
      <w:r>
        <w:rPr>
          <w:spacing w:val="-3"/>
          <w:sz w:val="22"/>
        </w:rPr>
        <w:t> </w:t>
      </w:r>
      <w:r>
        <w:rPr>
          <w:sz w:val="22"/>
        </w:rPr>
        <w:t>WASH</w:t>
      </w:r>
      <w:r>
        <w:rPr>
          <w:spacing w:val="-3"/>
          <w:sz w:val="22"/>
        </w:rPr>
        <w:t> </w:t>
      </w:r>
      <w:r>
        <w:rPr>
          <w:sz w:val="22"/>
        </w:rPr>
        <w:t>intervention</w:t>
      </w:r>
      <w:r>
        <w:rPr>
          <w:spacing w:val="-3"/>
          <w:sz w:val="22"/>
        </w:rPr>
        <w:t> </w:t>
      </w:r>
      <w:r>
        <w:rPr>
          <w:sz w:val="22"/>
        </w:rPr>
        <w:t>effects</w:t>
      </w:r>
      <w:r>
        <w:rPr>
          <w:spacing w:val="-3"/>
          <w:sz w:val="22"/>
        </w:rPr>
        <w:t> </w:t>
      </w:r>
      <w:r>
        <w:rPr>
          <w:sz w:val="22"/>
        </w:rPr>
        <w:t>on linear growth and diarrhoea. </w:t>
      </w:r>
      <w:r>
        <w:rPr>
          <w:i/>
          <w:sz w:val="22"/>
        </w:rPr>
        <w:t>Lancet Glob. Health </w:t>
      </w:r>
      <w:r>
        <w:rPr>
          <w:b/>
          <w:sz w:val="22"/>
        </w:rPr>
        <w:t>7</w:t>
      </w:r>
      <w:r>
        <w:rPr>
          <w:sz w:val="22"/>
        </w:rPr>
        <w:t>, e1139–e1146 (2019).</w:t>
      </w:r>
    </w:p>
    <w:p>
      <w:pPr>
        <w:pStyle w:val="ListParagraph"/>
        <w:numPr>
          <w:ilvl w:val="0"/>
          <w:numId w:val="1"/>
        </w:numPr>
        <w:tabs>
          <w:tab w:pos="380" w:val="left" w:leader="none"/>
        </w:tabs>
        <w:spacing w:line="240" w:lineRule="auto" w:before="0" w:after="0"/>
        <w:ind w:left="379" w:right="747" w:hanging="264"/>
        <w:jc w:val="left"/>
        <w:rPr>
          <w:sz w:val="22"/>
        </w:rPr>
      </w:pPr>
      <w:r>
        <w:rPr>
          <w:sz w:val="22"/>
        </w:rPr>
        <w:t>Sclar,</w:t>
      </w:r>
      <w:r>
        <w:rPr>
          <w:spacing w:val="-3"/>
          <w:sz w:val="22"/>
        </w:rPr>
        <w:t> </w:t>
      </w:r>
      <w:r>
        <w:rPr>
          <w:sz w:val="22"/>
        </w:rPr>
        <w:t>G.</w:t>
      </w:r>
      <w:r>
        <w:rPr>
          <w:spacing w:val="-3"/>
          <w:sz w:val="22"/>
        </w:rPr>
        <w:t> </w:t>
      </w:r>
      <w:r>
        <w:rPr>
          <w:sz w:val="22"/>
        </w:rPr>
        <w:t>D.</w:t>
      </w:r>
      <w:r>
        <w:rPr>
          <w:spacing w:val="-2"/>
          <w:sz w:val="22"/>
        </w:rPr>
        <w:t> </w:t>
      </w:r>
      <w:r>
        <w:rPr>
          <w:i/>
          <w:sz w:val="22"/>
        </w:rPr>
        <w:t>et</w:t>
      </w:r>
      <w:r>
        <w:rPr>
          <w:i/>
          <w:spacing w:val="-2"/>
          <w:sz w:val="22"/>
        </w:rPr>
        <w:t> </w:t>
      </w:r>
      <w:r>
        <w:rPr>
          <w:i/>
          <w:sz w:val="22"/>
        </w:rPr>
        <w:t>al.</w:t>
      </w:r>
      <w:r>
        <w:rPr>
          <w:i/>
          <w:spacing w:val="-2"/>
          <w:sz w:val="22"/>
        </w:rPr>
        <w:t> </w:t>
      </w:r>
      <w:r>
        <w:rPr>
          <w:sz w:val="22"/>
        </w:rPr>
        <w:t>Assessing</w:t>
      </w:r>
      <w:r>
        <w:rPr>
          <w:spacing w:val="-2"/>
          <w:sz w:val="22"/>
        </w:rPr>
        <w:t> </w:t>
      </w:r>
      <w:r>
        <w:rPr>
          <w:sz w:val="22"/>
        </w:rPr>
        <w:t>the</w:t>
      </w:r>
      <w:r>
        <w:rPr>
          <w:spacing w:val="-3"/>
          <w:sz w:val="22"/>
        </w:rPr>
        <w:t> </w:t>
      </w:r>
      <w:r>
        <w:rPr>
          <w:sz w:val="22"/>
        </w:rPr>
        <w:t>impact</w:t>
      </w:r>
      <w:r>
        <w:rPr>
          <w:spacing w:val="-3"/>
          <w:sz w:val="22"/>
        </w:rPr>
        <w:t> </w:t>
      </w:r>
      <w:r>
        <w:rPr>
          <w:sz w:val="22"/>
        </w:rPr>
        <w:t>of</w:t>
      </w:r>
      <w:r>
        <w:rPr>
          <w:spacing w:val="-2"/>
          <w:sz w:val="22"/>
        </w:rPr>
        <w:t> </w:t>
      </w:r>
      <w:r>
        <w:rPr>
          <w:sz w:val="22"/>
        </w:rPr>
        <w:t>sanitation</w:t>
      </w:r>
      <w:r>
        <w:rPr>
          <w:spacing w:val="-3"/>
          <w:sz w:val="22"/>
        </w:rPr>
        <w:t> </w:t>
      </w:r>
      <w:r>
        <w:rPr>
          <w:sz w:val="22"/>
        </w:rPr>
        <w:t>on</w:t>
      </w:r>
      <w:r>
        <w:rPr>
          <w:spacing w:val="-2"/>
          <w:sz w:val="22"/>
        </w:rPr>
        <w:t> </w:t>
      </w:r>
      <w:r>
        <w:rPr>
          <w:sz w:val="22"/>
        </w:rPr>
        <w:t>indicators</w:t>
      </w:r>
      <w:r>
        <w:rPr>
          <w:spacing w:val="-3"/>
          <w:sz w:val="22"/>
        </w:rPr>
        <w:t> </w:t>
      </w:r>
      <w:r>
        <w:rPr>
          <w:sz w:val="22"/>
        </w:rPr>
        <w:t>of</w:t>
      </w:r>
      <w:r>
        <w:rPr>
          <w:spacing w:val="-2"/>
          <w:sz w:val="22"/>
        </w:rPr>
        <w:t> </w:t>
      </w:r>
      <w:r>
        <w:rPr>
          <w:sz w:val="22"/>
        </w:rPr>
        <w:t>fecal</w:t>
      </w:r>
      <w:r>
        <w:rPr>
          <w:spacing w:val="-3"/>
          <w:sz w:val="22"/>
        </w:rPr>
        <w:t> </w:t>
      </w:r>
      <w:r>
        <w:rPr>
          <w:sz w:val="22"/>
        </w:rPr>
        <w:t>exposure</w:t>
      </w:r>
      <w:r>
        <w:rPr>
          <w:spacing w:val="-3"/>
          <w:sz w:val="22"/>
        </w:rPr>
        <w:t> </w:t>
      </w:r>
      <w:r>
        <w:rPr>
          <w:sz w:val="22"/>
        </w:rPr>
        <w:t>along</w:t>
      </w:r>
      <w:r>
        <w:rPr>
          <w:spacing w:val="-2"/>
          <w:sz w:val="22"/>
        </w:rPr>
        <w:t> </w:t>
      </w:r>
      <w:r>
        <w:rPr>
          <w:sz w:val="22"/>
        </w:rPr>
        <w:t>principal transmission pathways: A systematic review. </w:t>
      </w:r>
      <w:r>
        <w:rPr>
          <w:i/>
          <w:sz w:val="22"/>
        </w:rPr>
        <w:t>Int. J. Hyg. Environ. Health </w:t>
      </w:r>
      <w:r>
        <w:rPr>
          <w:b/>
          <w:sz w:val="22"/>
        </w:rPr>
        <w:t>219</w:t>
      </w:r>
      <w:r>
        <w:rPr>
          <w:sz w:val="22"/>
        </w:rPr>
        <w:t>, 709–723 (2016).</w:t>
      </w:r>
    </w:p>
    <w:p>
      <w:pPr>
        <w:pStyle w:val="ListParagraph"/>
        <w:numPr>
          <w:ilvl w:val="0"/>
          <w:numId w:val="1"/>
        </w:numPr>
        <w:tabs>
          <w:tab w:pos="380" w:val="left" w:leader="none"/>
        </w:tabs>
        <w:spacing w:line="240" w:lineRule="auto" w:before="0" w:after="0"/>
        <w:ind w:left="379" w:right="930" w:hanging="264"/>
        <w:jc w:val="left"/>
        <w:rPr>
          <w:sz w:val="22"/>
        </w:rPr>
      </w:pPr>
      <w:r>
        <w:rPr>
          <w:sz w:val="22"/>
        </w:rPr>
        <w:t>Wu,</w:t>
      </w:r>
      <w:r>
        <w:rPr>
          <w:spacing w:val="-3"/>
          <w:sz w:val="22"/>
        </w:rPr>
        <w:t> </w:t>
      </w:r>
      <w:r>
        <w:rPr>
          <w:sz w:val="22"/>
        </w:rPr>
        <w:t>J.,</w:t>
      </w:r>
      <w:r>
        <w:rPr>
          <w:spacing w:val="-2"/>
          <w:sz w:val="22"/>
        </w:rPr>
        <w:t> </w:t>
      </w:r>
      <w:r>
        <w:rPr>
          <w:sz w:val="22"/>
        </w:rPr>
        <w:t>Long,</w:t>
      </w:r>
      <w:r>
        <w:rPr>
          <w:spacing w:val="-1"/>
          <w:sz w:val="22"/>
        </w:rPr>
        <w:t> </w:t>
      </w:r>
      <w:r>
        <w:rPr>
          <w:sz w:val="22"/>
        </w:rPr>
        <w:t>S.</w:t>
      </w:r>
      <w:r>
        <w:rPr>
          <w:spacing w:val="-3"/>
          <w:sz w:val="22"/>
        </w:rPr>
        <w:t> </w:t>
      </w:r>
      <w:r>
        <w:rPr>
          <w:sz w:val="22"/>
        </w:rPr>
        <w:t>C.,</w:t>
      </w:r>
      <w:r>
        <w:rPr>
          <w:spacing w:val="-3"/>
          <w:sz w:val="22"/>
        </w:rPr>
        <w:t> </w:t>
      </w:r>
      <w:r>
        <w:rPr>
          <w:sz w:val="22"/>
        </w:rPr>
        <w:t>Das,</w:t>
      </w:r>
      <w:r>
        <w:rPr>
          <w:spacing w:val="-3"/>
          <w:sz w:val="22"/>
        </w:rPr>
        <w:t> </w:t>
      </w:r>
      <w:r>
        <w:rPr>
          <w:sz w:val="22"/>
        </w:rPr>
        <w:t>D.</w:t>
      </w:r>
      <w:r>
        <w:rPr>
          <w:spacing w:val="-2"/>
          <w:sz w:val="22"/>
        </w:rPr>
        <w:t> </w:t>
      </w:r>
      <w:r>
        <w:rPr>
          <w:sz w:val="22"/>
        </w:rPr>
        <w:t>&amp;</w:t>
      </w:r>
      <w:r>
        <w:rPr>
          <w:spacing w:val="-3"/>
          <w:sz w:val="22"/>
        </w:rPr>
        <w:t> </w:t>
      </w:r>
      <w:r>
        <w:rPr>
          <w:sz w:val="22"/>
        </w:rPr>
        <w:t>Dorner,</w:t>
      </w:r>
      <w:r>
        <w:rPr>
          <w:spacing w:val="-3"/>
          <w:sz w:val="22"/>
        </w:rPr>
        <w:t> </w:t>
      </w:r>
      <w:r>
        <w:rPr>
          <w:sz w:val="22"/>
        </w:rPr>
        <w:t>S.</w:t>
      </w:r>
      <w:r>
        <w:rPr>
          <w:spacing w:val="-2"/>
          <w:sz w:val="22"/>
        </w:rPr>
        <w:t> </w:t>
      </w:r>
      <w:r>
        <w:rPr>
          <w:sz w:val="22"/>
        </w:rPr>
        <w:t>M.</w:t>
      </w:r>
      <w:r>
        <w:rPr>
          <w:spacing w:val="-3"/>
          <w:sz w:val="22"/>
        </w:rPr>
        <w:t> </w:t>
      </w:r>
      <w:r>
        <w:rPr>
          <w:sz w:val="22"/>
        </w:rPr>
        <w:t>Are</w:t>
      </w:r>
      <w:r>
        <w:rPr>
          <w:spacing w:val="-2"/>
          <w:sz w:val="22"/>
        </w:rPr>
        <w:t> </w:t>
      </w:r>
      <w:r>
        <w:rPr>
          <w:sz w:val="22"/>
        </w:rPr>
        <w:t>microbial</w:t>
      </w:r>
      <w:r>
        <w:rPr>
          <w:spacing w:val="-3"/>
          <w:sz w:val="22"/>
        </w:rPr>
        <w:t> </w:t>
      </w:r>
      <w:r>
        <w:rPr>
          <w:sz w:val="22"/>
        </w:rPr>
        <w:t>indicators</w:t>
      </w:r>
      <w:r>
        <w:rPr>
          <w:spacing w:val="-3"/>
          <w:sz w:val="22"/>
        </w:rPr>
        <w:t> </w:t>
      </w:r>
      <w:r>
        <w:rPr>
          <w:sz w:val="22"/>
        </w:rPr>
        <w:t>and</w:t>
      </w:r>
      <w:r>
        <w:rPr>
          <w:spacing w:val="-3"/>
          <w:sz w:val="22"/>
        </w:rPr>
        <w:t> </w:t>
      </w:r>
      <w:r>
        <w:rPr>
          <w:sz w:val="22"/>
        </w:rPr>
        <w:t>pathogens</w:t>
      </w:r>
      <w:r>
        <w:rPr>
          <w:spacing w:val="-3"/>
          <w:sz w:val="22"/>
        </w:rPr>
        <w:t> </w:t>
      </w:r>
      <w:r>
        <w:rPr>
          <w:sz w:val="22"/>
        </w:rPr>
        <w:t>correlated?</w:t>
      </w:r>
      <w:r>
        <w:rPr>
          <w:spacing w:val="-3"/>
          <w:sz w:val="22"/>
        </w:rPr>
        <w:t> </w:t>
      </w:r>
      <w:r>
        <w:rPr>
          <w:sz w:val="22"/>
        </w:rPr>
        <w:t>A statistical analysis of 40 years of research. </w:t>
      </w:r>
      <w:r>
        <w:rPr>
          <w:i/>
          <w:sz w:val="22"/>
        </w:rPr>
        <w:t>J. Water Health </w:t>
      </w:r>
      <w:r>
        <w:rPr>
          <w:b/>
          <w:sz w:val="22"/>
        </w:rPr>
        <w:t>9</w:t>
      </w:r>
      <w:r>
        <w:rPr>
          <w:sz w:val="22"/>
        </w:rPr>
        <w:t>, 265–278 (2011).</w:t>
      </w:r>
    </w:p>
    <w:p>
      <w:pPr>
        <w:pStyle w:val="ListParagraph"/>
        <w:numPr>
          <w:ilvl w:val="0"/>
          <w:numId w:val="1"/>
        </w:numPr>
        <w:tabs>
          <w:tab w:pos="380" w:val="left" w:leader="none"/>
        </w:tabs>
        <w:spacing w:line="240" w:lineRule="auto" w:before="0" w:after="0"/>
        <w:ind w:left="379" w:right="151" w:hanging="264"/>
        <w:jc w:val="left"/>
        <w:rPr>
          <w:sz w:val="22"/>
        </w:rPr>
      </w:pPr>
      <w:r>
        <w:rPr>
          <w:sz w:val="22"/>
        </w:rPr>
        <w:t>WHO/UNICEF</w:t>
      </w:r>
      <w:r>
        <w:rPr>
          <w:spacing w:val="-3"/>
          <w:sz w:val="22"/>
        </w:rPr>
        <w:t> </w:t>
      </w:r>
      <w:r>
        <w:rPr>
          <w:sz w:val="22"/>
        </w:rPr>
        <w:t>Joint</w:t>
      </w:r>
      <w:r>
        <w:rPr>
          <w:spacing w:val="-3"/>
          <w:sz w:val="22"/>
        </w:rPr>
        <w:t> </w:t>
      </w:r>
      <w:r>
        <w:rPr>
          <w:sz w:val="22"/>
        </w:rPr>
        <w:t>Monitoring</w:t>
      </w:r>
      <w:r>
        <w:rPr>
          <w:spacing w:val="-4"/>
          <w:sz w:val="22"/>
        </w:rPr>
        <w:t> </w:t>
      </w:r>
      <w:r>
        <w:rPr>
          <w:sz w:val="22"/>
        </w:rPr>
        <w:t>Programme</w:t>
      </w:r>
      <w:r>
        <w:rPr>
          <w:spacing w:val="-4"/>
          <w:sz w:val="22"/>
        </w:rPr>
        <w:t> </w:t>
      </w:r>
      <w:r>
        <w:rPr>
          <w:sz w:val="22"/>
        </w:rPr>
        <w:t>for</w:t>
      </w:r>
      <w:r>
        <w:rPr>
          <w:spacing w:val="-4"/>
          <w:sz w:val="22"/>
        </w:rPr>
        <w:t> </w:t>
      </w:r>
      <w:r>
        <w:rPr>
          <w:sz w:val="22"/>
        </w:rPr>
        <w:t>Water</w:t>
      </w:r>
      <w:r>
        <w:rPr>
          <w:spacing w:val="-3"/>
          <w:sz w:val="22"/>
        </w:rPr>
        <w:t> </w:t>
      </w:r>
      <w:r>
        <w:rPr>
          <w:sz w:val="22"/>
        </w:rPr>
        <w:t>Supply,</w:t>
      </w:r>
      <w:r>
        <w:rPr>
          <w:spacing w:val="-4"/>
          <w:sz w:val="22"/>
        </w:rPr>
        <w:t> </w:t>
      </w:r>
      <w:r>
        <w:rPr>
          <w:sz w:val="22"/>
        </w:rPr>
        <w:t>Sanitation</w:t>
      </w:r>
      <w:r>
        <w:rPr>
          <w:spacing w:val="-4"/>
          <w:sz w:val="22"/>
        </w:rPr>
        <w:t> </w:t>
      </w:r>
      <w:r>
        <w:rPr>
          <w:sz w:val="22"/>
        </w:rPr>
        <w:t>and</w:t>
      </w:r>
      <w:r>
        <w:rPr>
          <w:spacing w:val="-3"/>
          <w:sz w:val="22"/>
        </w:rPr>
        <w:t> </w:t>
      </w:r>
      <w:r>
        <w:rPr>
          <w:sz w:val="22"/>
        </w:rPr>
        <w:t>Hygiene</w:t>
      </w:r>
      <w:r>
        <w:rPr>
          <w:spacing w:val="-3"/>
          <w:sz w:val="22"/>
        </w:rPr>
        <w:t> </w:t>
      </w:r>
      <w:r>
        <w:rPr>
          <w:sz w:val="22"/>
        </w:rPr>
        <w:t>(JMP).</w:t>
      </w:r>
      <w:r>
        <w:rPr>
          <w:spacing w:val="-4"/>
          <w:sz w:val="22"/>
        </w:rPr>
        <w:t> </w:t>
      </w:r>
      <w:r>
        <w:rPr>
          <w:i/>
          <w:sz w:val="22"/>
        </w:rPr>
        <w:t>Progress</w:t>
      </w:r>
      <w:r>
        <w:rPr>
          <w:i/>
          <w:spacing w:val="-4"/>
          <w:sz w:val="22"/>
        </w:rPr>
        <w:t> </w:t>
      </w:r>
      <w:r>
        <w:rPr>
          <w:i/>
          <w:sz w:val="22"/>
        </w:rPr>
        <w:t>on</w:t>
      </w:r>
      <w:r>
        <w:rPr>
          <w:i/>
          <w:sz w:val="22"/>
        </w:rPr>
        <w:t> drinking water, sanitation and hygiene: 2017 update and SDG baselines</w:t>
      </w:r>
      <w:r>
        <w:rPr>
          <w:sz w:val="22"/>
        </w:rPr>
        <w:t>. (World Health Organization (WHO) and UNICEF, 2017).</w:t>
      </w:r>
    </w:p>
    <w:sectPr>
      <w:pgSz w:w="12240" w:h="15840"/>
      <w:pgMar w:top="1400" w:bottom="280" w:left="106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80" w:hanging="265"/>
        <w:jc w:val="left"/>
      </w:pPr>
      <w:rPr>
        <w:rFonts w:hint="default" w:ascii="Calibri" w:hAnsi="Calibri" w:eastAsia="Calibri" w:cs="Calibri"/>
        <w:b w:val="0"/>
        <w:bCs w:val="0"/>
        <w:i w:val="0"/>
        <w:iCs w:val="0"/>
        <w:w w:val="99"/>
        <w:sz w:val="22"/>
        <w:szCs w:val="22"/>
        <w:lang w:val="en-US" w:eastAsia="en-US" w:bidi="ar-SA"/>
      </w:rPr>
    </w:lvl>
    <w:lvl w:ilvl="1">
      <w:start w:val="0"/>
      <w:numFmt w:val="bullet"/>
      <w:lvlText w:val="•"/>
      <w:lvlJc w:val="left"/>
      <w:pPr>
        <w:ind w:left="1326" w:hanging="265"/>
      </w:pPr>
      <w:rPr>
        <w:rFonts w:hint="default"/>
        <w:lang w:val="en-US" w:eastAsia="en-US" w:bidi="ar-SA"/>
      </w:rPr>
    </w:lvl>
    <w:lvl w:ilvl="2">
      <w:start w:val="0"/>
      <w:numFmt w:val="bullet"/>
      <w:lvlText w:val="•"/>
      <w:lvlJc w:val="left"/>
      <w:pPr>
        <w:ind w:left="2272" w:hanging="265"/>
      </w:pPr>
      <w:rPr>
        <w:rFonts w:hint="default"/>
        <w:lang w:val="en-US" w:eastAsia="en-US" w:bidi="ar-SA"/>
      </w:rPr>
    </w:lvl>
    <w:lvl w:ilvl="3">
      <w:start w:val="0"/>
      <w:numFmt w:val="bullet"/>
      <w:lvlText w:val="•"/>
      <w:lvlJc w:val="left"/>
      <w:pPr>
        <w:ind w:left="3218" w:hanging="265"/>
      </w:pPr>
      <w:rPr>
        <w:rFonts w:hint="default"/>
        <w:lang w:val="en-US" w:eastAsia="en-US" w:bidi="ar-SA"/>
      </w:rPr>
    </w:lvl>
    <w:lvl w:ilvl="4">
      <w:start w:val="0"/>
      <w:numFmt w:val="bullet"/>
      <w:lvlText w:val="•"/>
      <w:lvlJc w:val="left"/>
      <w:pPr>
        <w:ind w:left="4164" w:hanging="265"/>
      </w:pPr>
      <w:rPr>
        <w:rFonts w:hint="default"/>
        <w:lang w:val="en-US" w:eastAsia="en-US" w:bidi="ar-SA"/>
      </w:rPr>
    </w:lvl>
    <w:lvl w:ilvl="5">
      <w:start w:val="0"/>
      <w:numFmt w:val="bullet"/>
      <w:lvlText w:val="•"/>
      <w:lvlJc w:val="left"/>
      <w:pPr>
        <w:ind w:left="5110" w:hanging="265"/>
      </w:pPr>
      <w:rPr>
        <w:rFonts w:hint="default"/>
        <w:lang w:val="en-US" w:eastAsia="en-US" w:bidi="ar-SA"/>
      </w:rPr>
    </w:lvl>
    <w:lvl w:ilvl="6">
      <w:start w:val="0"/>
      <w:numFmt w:val="bullet"/>
      <w:lvlText w:val="•"/>
      <w:lvlJc w:val="left"/>
      <w:pPr>
        <w:ind w:left="6056" w:hanging="265"/>
      </w:pPr>
      <w:rPr>
        <w:rFonts w:hint="default"/>
        <w:lang w:val="en-US" w:eastAsia="en-US" w:bidi="ar-SA"/>
      </w:rPr>
    </w:lvl>
    <w:lvl w:ilvl="7">
      <w:start w:val="0"/>
      <w:numFmt w:val="bullet"/>
      <w:lvlText w:val="•"/>
      <w:lvlJc w:val="left"/>
      <w:pPr>
        <w:ind w:left="7002" w:hanging="265"/>
      </w:pPr>
      <w:rPr>
        <w:rFonts w:hint="default"/>
        <w:lang w:val="en-US" w:eastAsia="en-US" w:bidi="ar-SA"/>
      </w:rPr>
    </w:lvl>
    <w:lvl w:ilvl="8">
      <w:start w:val="0"/>
      <w:numFmt w:val="bullet"/>
      <w:lvlText w:val="•"/>
      <w:lvlJc w:val="left"/>
      <w:pPr>
        <w:ind w:left="7948" w:hanging="26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79"/>
    </w:pPr>
    <w:rPr>
      <w:rFonts w:ascii="Calibri" w:hAnsi="Calibri" w:eastAsia="Calibri" w:cs="Calibri"/>
      <w:sz w:val="22"/>
      <w:szCs w:val="22"/>
      <w:lang w:val="en-US" w:eastAsia="en-US" w:bidi="ar-SA"/>
    </w:rPr>
  </w:style>
  <w:style w:styleId="ListParagraph" w:type="paragraph">
    <w:name w:val="List Paragraph"/>
    <w:basedOn w:val="Normal"/>
    <w:uiPriority w:val="1"/>
    <w:qFormat/>
    <w:pPr>
      <w:ind w:left="379" w:hanging="264"/>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Ercumen</dc:creator>
  <dc:description/>
  <dcterms:created xsi:type="dcterms:W3CDTF">2022-08-31T03:26:44Z</dcterms:created>
  <dcterms:modified xsi:type="dcterms:W3CDTF">2022-08-31T03:26:44Z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2022-07-26T00:00:00Z</vt:filetime>
  </property>
  <property fmtid="{D5CDD505-2E9C-101B-9397-08002B2CF9AE}" pid="3" name="Creator">
    <vt:lpwstr>Acrobat PDFMaker 22 for Word</vt:lpwstr>
  </property>
  <property fmtid="{D5CDD505-2E9C-101B-9397-08002B2CF9AE}" pid="4" name="LastSaved">
    <vt:filetime>2022-08-31T00:00:00Z</vt:filetime>
  </property>
  <property fmtid="{D5CDD505-2E9C-101B-9397-08002B2CF9AE}" pid="5" name="Producer">
    <vt:lpwstr>Adobe PDF Library 22.1.201</vt:lpwstr>
  </property>
  <property fmtid="{D5CDD505-2E9C-101B-9397-08002B2CF9AE}" pid="6" name="SourceModified">
    <vt:lpwstr>D:20220725223750</vt:lpwstr>
  </property>
</Properties>
</file>