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pPr>
        <w:pStyle w:val="FirstParagraph"/>
      </w:pPr>
      <w:r>
        <w:rPr>
          <w:bCs/>
          <w:b/>
        </w:rPr>
        <w:t xml:space="preserve">Abstract word count: 367</w:t>
      </w:r>
    </w:p>
    <w:p>
      <w:pPr>
        <w:pStyle w:val="BodyText"/>
      </w:pPr>
      <w:r>
        <w:rPr>
          <w:bCs/>
          <w:b/>
        </w:rPr>
        <w:t xml:space="preserve">Current word count: 4605</w:t>
      </w:r>
    </w:p>
    <w:bookmarkStart w:id="20" w:name="abstract"/>
    <w:p>
      <w:pPr>
        <w:pStyle w:val="Heading2"/>
      </w:pPr>
      <w:r>
        <w:t xml:space="preserve">Abstract</w:t>
      </w:r>
    </w:p>
    <w:p>
      <w:pPr>
        <w:pStyle w:val="FirstParagraph"/>
      </w:pPr>
      <w:r>
        <w:rPr>
          <w:bCs/>
          <w:b/>
        </w:rPr>
        <w:t xml:space="preserve">Background:</w:t>
      </w:r>
      <w:r>
        <w:t xml:space="preserve"> </w:t>
      </w:r>
      <w:r>
        <w:t xml:space="preserve">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pPr>
        <w:pStyle w:val="BodyText"/>
      </w:pPr>
      <w:r>
        <w:rPr>
          <w:bCs/>
          <w:b/>
        </w:rPr>
        <w:t xml:space="preserve">Methods:</w:t>
      </w:r>
      <w:r>
        <w:t xml:space="preserve"> </w:t>
      </w:r>
      <w:r>
        <w:t xml:space="preserve">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diarrhoea and height-for-age Z-scores (HAZ) in children. We used covariate-adjusted regression models with robust standard errors to estimate associations and pooled results across studies.</w:t>
      </w:r>
    </w:p>
    <w:p>
      <w:pPr>
        <w:pStyle w:val="BodyText"/>
      </w:pPr>
      <w:r>
        <w:rPr>
          <w:bCs/>
          <w:b/>
        </w:rPr>
        <w:t xml:space="preserve">Findings:</w:t>
      </w:r>
      <w:r>
        <w:t xml:space="preserve"> </w:t>
      </w:r>
      <w:r>
        <w:t xml:space="preserve">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diarrhoea, 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can be exposed to enteric pathogens from faecal waste via environmentally mediated pathways such as drinking water, hands, food, soil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was not the primary cause of child diarrhoea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contamination and child health. We conducted a systematic review and individual participant data (IPD) meta-analysis of WASH intervention studies that measured specific enteropathogens or MST markers along with child enteric infections, diarrhoea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and also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and also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Pr>
          <w:vertAlign w:val="superscript"/>
        </w:rPr>
        <w:t xml:space="preserve">1</w:t>
      </w:r>
      <w:r>
        <w:t xml:space="preserve"> </w:t>
      </w:r>
      <w:r>
        <w:t xml:space="preserve">Enteric infections may cause growth failure, as both subclinical changes to the gut and symptomatic diarrhoea lead to nutrient loss.</w:t>
      </w:r>
      <w:r>
        <w:rPr>
          <w:vertAlign w:val="superscript"/>
        </w:rPr>
        <w:t xml:space="preserve">1</w:t>
      </w:r>
      <w:r>
        <w:t xml:space="preserve"> </w:t>
      </w:r>
      <w:r>
        <w:t xml:space="preserve">Growth failure in turn leaves children vulnerable to diarrhoeal disease through weakened immune systems.</w:t>
      </w:r>
      <w:r>
        <w:rPr>
          <w:vertAlign w:val="superscript"/>
        </w:rPr>
        <w:t xml:space="preserve">2,3</w:t>
      </w:r>
      <w:r>
        <w:t xml:space="preserve"> </w:t>
      </w:r>
      <w:r>
        <w:t xml:space="preserve">Diarrhoea is a leading cause of death of children younger than 5 years, causing an estimated 534,000 deaths in 2017.</w:t>
      </w:r>
      <w:r>
        <w:rPr>
          <w:vertAlign w:val="superscript"/>
        </w:rPr>
        <w:t xml:space="preserve">4</w:t>
      </w:r>
      <w:r>
        <w:t xml:space="preserve"> </w:t>
      </w: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5</w:t>
      </w:r>
      <w:r>
        <w:t xml:space="preserve"> </w:t>
      </w:r>
      <w:r>
        <w:t xml:space="preserve">An estimated 62% of deaths from diarrhoea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p>
    <w:p>
      <w:pPr>
        <w:pStyle w:val="BodyText"/>
      </w:pP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linear growth in children.</w:t>
      </w:r>
      <w:r>
        <w:rPr>
          <w:vertAlign w:val="superscript"/>
        </w:rPr>
        <w:t xml:space="preserve">10</w:t>
      </w:r>
      <w:r>
        <w:t xml:space="preserve"> </w:t>
      </w:r>
      <w:r>
        <w:t xml:space="preserve">However, FIB are imperfect faecal markers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vs. animal faecal sources.</w:t>
      </w:r>
      <w:r>
        <w:rPr>
          <w:vertAlign w:val="superscript"/>
        </w:rPr>
        <w:t xml:space="preserve">13</w:t>
      </w:r>
      <w:r>
        <w:t xml:space="preserve"> </w:t>
      </w:r>
      <w:r>
        <w:t xml:space="preserve">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Pr>
          <w:vertAlign w:val="superscript"/>
        </w:rPr>
        <w:t xml:space="preserve">14</w:t>
      </w:r>
      <w:r>
        <w:t xml:space="preserve"> </w:t>
      </w:r>
      <w:r>
        <w:t xml:space="preserve">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disease and growth failure in children. We investigated different types of household samples (source and stored drinking water, mothers’ and children’s hand rinses, soil and flies) to explore the specific pathways through which environmental contamination influences child health.</w:t>
      </w:r>
    </w:p>
    <w:bookmarkEnd w:id="22"/>
    <w:bookmarkStart w:id="25"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Pr>
          <w:vertAlign w:val="superscript"/>
        </w:rPr>
        <w:t xml:space="preserve">15</w:t>
      </w:r>
      <w:r>
        <w:t xml:space="preserve">.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Pr>
          <w:vertAlign w:val="superscript"/>
        </w:rPr>
        <w:t xml:space="preserve">15</w:t>
      </w:r>
      <w:r>
        <w:t xml:space="preserve"> </w:t>
      </w:r>
      <w:r>
        <w:t xml:space="preserve">We excluded studies that only measured FIB such as coliforms or</w:t>
      </w:r>
      <w:r>
        <w:t xml:space="preserve"> </w:t>
      </w:r>
      <w:r>
        <w:rPr>
          <w:iCs/>
          <w:i/>
        </w:rPr>
        <w:t xml:space="preserve">E. coli.</w:t>
      </w:r>
      <w:r>
        <w:t xml:space="preserve"> </w:t>
      </w:r>
      <w:r>
        <w:t xml:space="preserve">We only included studies published after 2000 to capture more recently developed advanced pathogen detection methods. Details on the search strategy have been described elsewhere</w:t>
      </w:r>
      <w:r>
        <w:rPr>
          <w:vertAlign w:val="superscript"/>
        </w:rPr>
        <w:t xml:space="preserve">15</w:t>
      </w:r>
      <w:r>
        <w:t xml:space="preserve">.</w:t>
      </w:r>
    </w:p>
    <w:p>
      <w:pPr>
        <w:pStyle w:val="BodyText"/>
      </w:pPr>
      <w:r>
        <w:t xml:space="preserve">We examined associations between enteropathogens and MST markers in the environment and child health outcomes, including enteropathogen-specific infections, caregiver-reported diarrhoeal disease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16</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child ;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Pr>
          <w:vertAlign w:val="superscript"/>
        </w:rPr>
        <w:t xml:space="preserve">17</w:t>
      </w:r>
    </w:p>
    <w:p>
      <w:pPr>
        <w:pStyle w:val="BodyText"/>
      </w:pPr>
      <w:r>
        <w:t xml:space="preserve">For binary outcomes (prevalence of pathogen-specific infection, diarrhoea, stunting, underweight, and wasting), we estimated prevalence ratios associated with the different exposure variables using modified Poisson regression.</w:t>
      </w:r>
      <w:r>
        <w:rPr>
          <w:vertAlign w:val="superscript"/>
        </w:rPr>
        <w:t xml:space="preserve">18</w:t>
      </w:r>
      <w:r>
        <w:t xml:space="preserve"> </w:t>
      </w:r>
      <w:r>
        <w:t xml:space="preserve">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Pr>
          <w:vertAlign w:val="superscript"/>
        </w:rPr>
        <w:t xml:space="preserve">19</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and sex, animal ownership in the household, season, and study setting. We used the following age groups based on median ages of WHO motor milestones from reference populations:</w:t>
      </w:r>
      <w:r>
        <w:rPr>
          <w:vertAlign w:val="superscript"/>
        </w:rPr>
        <w:t xml:space="preserve">20</w:t>
      </w:r>
      <w:r>
        <w:t xml:space="preserve"> </w:t>
      </w:r>
      <w:r>
        <w:t xml:space="preserve">immobile (</w:t>
      </w:r>
      <m:oMath>
        <m:r>
          <m:rPr>
            <m:sty m:val="p"/>
          </m:rPr>
          <m:t>≤</m:t>
        </m:r>
      </m:oMath>
      <w:r>
        <w:t xml:space="preserve"> </w:t>
      </w:r>
      <w:r>
        <w:t xml:space="preserve">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rainfall, obtained from weather records.</w:t>
      </w:r>
      <w:r>
        <w:rPr>
          <w:vertAlign w:val="superscript"/>
        </w:rPr>
        <w:t xml:space="preserve">21</w:t>
      </w:r>
      <w:r>
        <w:t xml:space="preserve"> </w:t>
      </w:r>
      <w:r>
        <w:t xml:space="preserve">We differentiated between rural and urban settings based on descriptions of study location. For age, sex, animal presence and season, we assessed additive interactions, which are considered more important for public health policy,</w:t>
      </w:r>
      <w:r>
        <w:rPr>
          <w:vertAlign w:val="superscript"/>
        </w:rPr>
        <w:t xml:space="preserve">22</w:t>
      </w:r>
      <w:r>
        <w:t xml:space="preserve"> </w:t>
      </w:r>
      <w:r>
        <w:t xml:space="preserve">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23</w:t>
      </w:r>
      <w:r>
        <w:t xml:space="preserve"> </w:t>
      </w:r>
      <w:r>
        <w:t xml:space="preserve">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 We also estimated the effect of the WASH interventions on the health outcomes measured within the subset of children with time-matched environmental samples. All analyses were conducted in R 4.0.4,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 A PRISMA checklist can be found in Supplementary Table S1, and we evaluated study bias using an adapted version of the Newcastle-Ottawa scale in Table S2.</w:t>
      </w:r>
      <w:r>
        <w:rPr>
          <w:vertAlign w:val="superscript"/>
        </w:rPr>
        <w:t xml:space="preserve">24</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8,9</w:t>
      </w:r>
      <w:r>
        <w:t xml:space="preserve"> </w:t>
      </w:r>
      <w:r>
        <w:t xml:space="preserve">the Maputo Sanitation (MapSan) study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Odisha Total Sanitation Campaign trial in India.</w:t>
      </w:r>
      <w:r>
        <w:rPr>
          <w:vertAlign w:val="superscript"/>
        </w:rPr>
        <w:t xml:space="preserve">27</w:t>
      </w:r>
      <w:r>
        <w:t xml:space="preserve"> </w:t>
      </w:r>
      <w:r>
        <w:t xml:space="preserve">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care-giver recall of diarrheal disease, with higher loss to follow-up and lack of randomization causing the Gram Vikas and MapSan studies to have lower ratings (Table S2).</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15</w:t>
      </w:r>
    </w:p>
    <w:p>
      <w:pPr>
        <w:pStyle w:val="BodyText"/>
      </w:pPr>
      <w:r>
        <w:t xml:space="preserve">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bookmarkEnd w:id="26"/>
    <w:bookmarkStart w:id="32" w:name="X12a873315a319ef2dfeb5848524b75e6e9307fe"/>
    <w:p>
      <w:pPr>
        <w:pStyle w:val="Heading3"/>
      </w:pPr>
      <w:r>
        <w:t xml:space="preserve">Associations between environmental contamination and health</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Pathogens detected on flies were not associated with infection prevalence (Figure 1).</w:t>
      </w:r>
    </w:p>
    <w:bookmarkEnd w:id="27"/>
    <w:bookmarkStart w:id="28" w:name="associations-with-diarrhoea"/>
    <w:p>
      <w:pPr>
        <w:pStyle w:val="Heading4"/>
      </w:pPr>
      <w:r>
        <w:t xml:space="preserve">Associations with diarrhoea</w:t>
      </w:r>
    </w:p>
    <w:p>
      <w:pPr>
        <w:pStyle w:val="FirstParagraph"/>
      </w:pPr>
      <w:r>
        <w:t xml:space="preserve">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Pr>
          <w:vertAlign w:val="superscript"/>
        </w:rPr>
        <w:t xml:space="preserve">28,29</w:t>
      </w:r>
      <w:r>
        <w:t xml:space="preserve"> </w:t>
      </w:r>
      <w:r>
        <w:t xml:space="preserve">When broken down by groups of pathogens, viruses and bacteria on child hands</w:t>
      </w:r>
      <w:r>
        <w:rPr>
          <w:vertAlign w:val="superscript"/>
        </w:rPr>
        <w:t xml:space="preserve">30</w:t>
      </w:r>
      <w:r>
        <w:t xml:space="preserve"> </w:t>
      </w:r>
      <w:r>
        <w:t xml:space="preserve">and STH and protozoa in soil</w:t>
      </w:r>
      <w:r>
        <w:rPr>
          <w:vertAlign w:val="superscript"/>
        </w:rPr>
        <w:t xml:space="preserve">31</w:t>
      </w:r>
      <w:r>
        <w:t xml:space="preserve"> </w:t>
      </w:r>
      <w:r>
        <w:t xml:space="preserve">were also associated or borderline associated with higher prevalence of diarrhoea but most other associations were null (Figure S1). Similarly, most associations between specific pathogens in the environment and diarrhoea were null, but rotavirus on child hands</w:t>
      </w:r>
      <w:r>
        <w:rPr>
          <w:vertAlign w:val="superscript"/>
        </w:rPr>
        <w:t xml:space="preserve">28</w:t>
      </w:r>
      <w:r>
        <w:t xml:space="preserve">,</w:t>
      </w:r>
      <w:r>
        <w:t xml:space="preserve"> </w:t>
      </w:r>
      <w:r>
        <w:rPr>
          <w:iCs/>
          <w:i/>
        </w:rPr>
        <w:t xml:space="preserve">Ascaris</w:t>
      </w:r>
      <w:r>
        <w:t xml:space="preserve"> </w:t>
      </w:r>
      <w:r>
        <w:t xml:space="preserve">in household soil</w:t>
      </w:r>
      <w:r>
        <w:rPr>
          <w:vertAlign w:val="superscript"/>
        </w:rPr>
        <w:t xml:space="preserve">29</w:t>
      </w:r>
      <w:r>
        <w:t xml:space="preserve">, and</w:t>
      </w:r>
      <w:r>
        <w:t xml:space="preserve"> </w:t>
      </w:r>
      <w:r>
        <w:rPr>
          <w:iCs/>
          <w:i/>
        </w:rPr>
        <w:t xml:space="preserve">Giardia</w:t>
      </w:r>
      <w:r>
        <w:t xml:space="preserve"> </w:t>
      </w:r>
      <w:r>
        <w:t xml:space="preserve">in latrine soil</w:t>
      </w:r>
      <w:r>
        <w:rPr>
          <w:vertAlign w:val="superscript"/>
        </w:rPr>
        <w:t xml:space="preserve">31</w:t>
      </w:r>
      <w:r>
        <w:t xml:space="preserve"> </w:t>
      </w:r>
      <w:r>
        <w:t xml:space="preserve">were significantly associated with 1.5-2.3 times higher diarrhoea prevalence (Figure S2). Detection of astrovirus in soil</w:t>
      </w:r>
      <w:r>
        <w:rPr>
          <w:vertAlign w:val="superscript"/>
        </w:rPr>
        <w:t xml:space="preserve">32</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30</w:t>
      </w:r>
      <w:r>
        <w:t xml:space="preserve"> </w:t>
      </w:r>
      <w:r>
        <w:t xml:space="preserve">were also borderline associated with higher diarrhoea prevalence (Figure S2). Increasing abundance of</w:t>
      </w:r>
      <w:r>
        <w:t xml:space="preserve"> </w:t>
      </w:r>
      <w:r>
        <w:rPr>
          <w:iCs/>
          <w:i/>
        </w:rPr>
        <w:t xml:space="preserve">Ascaris</w:t>
      </w:r>
      <w:r>
        <w:t xml:space="preserve"> </w:t>
      </w:r>
      <w:r>
        <w:t xml:space="preserve">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were associated with higher prevalence of diarrhoea (Figure S3).</w:t>
      </w:r>
    </w:p>
    <w:p>
      <w:pPr>
        <w:pStyle w:val="BodyText"/>
      </w:pPr>
      <w:r>
        <w:t xml:space="preserve">There was no significant associations between the presence of any MST marker or groups of MST markers (human or animal) and child diarrhoeal disease in any sample type, except for animal markers in one study, driven by the avian marker GFD (Figure 2, Figure S1, Figure S4).</w:t>
      </w:r>
      <w:r>
        <w:rPr>
          <w:vertAlign w:val="superscript"/>
        </w:rPr>
        <w:t xml:space="preserve">33</w:t>
      </w:r>
      <w:r>
        <w:t xml:space="preserve"> </w:t>
      </w:r>
      <w:r>
        <w:t xml:space="preserve">This marker was significantly associated with an over two-fold increase in diarrhoea risk,</w:t>
      </w:r>
      <w:r>
        <w:rPr>
          <w:vertAlign w:val="superscript"/>
        </w:rPr>
        <w:t xml:space="preserve">33</w:t>
      </w:r>
      <w:r>
        <w:t xml:space="preserve"> </w:t>
      </w:r>
      <w:r>
        <w:t xml:space="preserve">and the same marker in stored water and on child hands was also borderline associated with increased diarrhoea in a different study (Figure S4).</w:t>
      </w:r>
      <w:r>
        <w:rPr>
          <w:vertAlign w:val="superscript"/>
        </w:rPr>
        <w:t xml:space="preserve">28</w:t>
      </w:r>
      <w:r>
        <w:t xml:space="preserve"> </w:t>
      </w:r>
      <w:r>
        <w:t xml:space="preserve">Other human and animal markers were not associated with diarrhoea.</w:t>
      </w:r>
    </w:p>
    <w:bookmarkEnd w:id="28"/>
    <w:bookmarkStart w:id="29" w:name="associations-with-child-growth"/>
    <w:p>
      <w:pPr>
        <w:pStyle w:val="Heading4"/>
      </w:pPr>
      <w:r>
        <w:t xml:space="preserve">Associations with child growth</w:t>
      </w:r>
    </w:p>
    <w:p>
      <w:pPr>
        <w:pStyle w:val="FirstParagraph"/>
      </w:pPr>
      <w:r>
        <w:t xml:space="preserve">Most individual studies showed slightly lower HAZ associated with enteropathogen detection in environmental samples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lower HAZ when pooled across studies (adjusted mean difference: -0.07 (95% CI: -0.17, 0.02), Figure 3).</w:t>
      </w:r>
    </w:p>
    <w:p>
      <w:pPr>
        <w:pStyle w:val="BodyText"/>
      </w:pPr>
      <w:r>
        <w:t xml:space="preserve">When broken down by groups of enteropathogens, presence of viruses in stored water and protozoa on child hands was significantly associated with lower HAZ (by approximately</w:t>
      </w:r>
      <w:r>
        <w:t xml:space="preserve"> </w:t>
      </w:r>
      <m:oMath>
        <m:r>
          <m:t>Δ</m:t>
        </m:r>
      </m:oMath>
      <w:r>
        <w:t xml:space="preserve">z= -0.5) in individual studies (Figure S1).</w:t>
      </w:r>
      <w:r>
        <w:rPr>
          <w:vertAlign w:val="superscript"/>
        </w:rPr>
        <w:t xml:space="preserve">28,30</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w:t>
      </w:r>
    </w:p>
    <w:p>
      <w:pPr>
        <w:pStyle w:val="BodyText"/>
      </w:pPr>
      <w:r>
        <w:t xml:space="preserve">The presence of any MST marker in any environmental sample was not associated with HAZ when pooled across studies or within individual studies, except for any MST in one study (adjusted mean difference: -0.23 (95% CI: -0.45, -0.02), Figure 3),</w:t>
      </w:r>
      <w:r>
        <w:rPr>
          <w:vertAlign w:val="superscript"/>
        </w:rPr>
        <w:t xml:space="preserve">28</w:t>
      </w:r>
      <w:r>
        <w:t xml:space="preserve"> </w:t>
      </w:r>
      <w:r>
        <w:t xml:space="preserve">driven by avian GFD (Figure S4). The associations between HAZ and the presence or abundance of groups of MST markers or individual MST markers was inconsistent, with most markers having null effects or showing significant associations in both harmful and protective directions (Figure S1, Figure S4, S5). For other measures of growth, there were similarly inconsistent associations, with most estimates having null effects. (Figures S1, S4, S5). However, some markers were repeatedly associated with reduced growth (</w:t>
      </w:r>
      <m:oMath>
        <m:r>
          <m:t>Δ</m:t>
        </m:r>
      </m:oMath>
      <w:r>
        <w:t xml:space="preserve">z from -0.26 to -0.40) across multiple growth measures within individual studies, such as the animal marker BacCow in multiple sample types,</w:t>
      </w:r>
      <w:r>
        <w:rPr>
          <w:vertAlign w:val="superscript"/>
        </w:rPr>
        <w:t xml:space="preserve">30,31</w:t>
      </w:r>
      <w:r>
        <w:t xml:space="preserve"> </w:t>
      </w:r>
      <w:r>
        <w:t xml:space="preserve">and the avian marker GFD in stored water and the ruminant marker BacR in stored water and latrine soil (Figures S4, S5).</w:t>
      </w:r>
      <w:r>
        <w:rPr>
          <w:vertAlign w:val="superscript"/>
        </w:rPr>
        <w:t xml:space="preserve">28</w:t>
      </w:r>
      <w:r>
        <w:t xml:space="preserve"> </w:t>
      </w:r>
      <w:r>
        <w:t xml:space="preserve">The abundance of MST markers generally had similar association with health outcomes as the corresponding prevalences, though the abundance but not presence of BacCow in household soil and stored water was associated with lower HAZ and higher prevalence of stunting, and the abundance but not presence of HumM2 in household soil was associated with a higher prevalence of stunting and wasting.</w:t>
      </w:r>
    </w:p>
    <w:bookmarkEnd w:id="29"/>
    <w:bookmarkStart w:id="30" w:name="subgroup-analyses"/>
    <w:p>
      <w:pPr>
        <w:pStyle w:val="Heading4"/>
      </w:pPr>
      <w:r>
        <w:t xml:space="preserve">Subgroup analyses</w:t>
      </w:r>
    </w:p>
    <w:p>
      <w:pPr>
        <w:pStyle w:val="FirstParagraph"/>
      </w:pPr>
      <w:r>
        <w:t xml:space="preserve">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32</w:t>
      </w:r>
      <w:r>
        <w:t xml:space="preserve"> </w:t>
      </w:r>
      <w:r>
        <w:t xml:space="preserve">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markers and diarrhoea in either season. There were also no significant differences in pooled estimates between the one urban study</w:t>
      </w:r>
      <w:r>
        <w:rPr>
          <w:vertAlign w:val="superscript"/>
        </w:rPr>
        <w:t xml:space="preserve">33</w:t>
      </w:r>
      <w:r>
        <w:t xml:space="preserve"> </w:t>
      </w:r>
      <w:r>
        <w:t xml:space="preserve">and the four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Results were similar when we used data from environmental samples up to four months prior, one month prior or at any time with respect to diarrhoea measurements (Figure S17). Lastly, study interventions had no effects on diarrhoea prevalence or HAZ within the subset of children included in this study, consistent with the reported effects in the primary analyses,</w:t>
      </w:r>
      <w:r>
        <w:rPr>
          <w:vertAlign w:val="superscript"/>
        </w:rPr>
        <w:t xml:space="preserve">8,25–27</w:t>
      </w:r>
      <w:r>
        <w:t xml:space="preserve"> </w:t>
      </w:r>
      <w:r>
        <w:t xml:space="preserve">except for WASH Benefits Kenya, where HAZ was significantly higher in the control arm (Figures S18-S19).</w:t>
      </w:r>
      <w:r>
        <w:rPr>
          <w:vertAlign w:val="superscript"/>
        </w:rPr>
        <w:t xml:space="preserve">9</w:t>
      </w:r>
    </w:p>
    <w:bookmarkEnd w:id="31"/>
    <w:bookmarkEnd w:id="32"/>
    <w:bookmarkEnd w:id="33"/>
    <w:bookmarkStart w:id="34" w:name="discussion"/>
    <w:p>
      <w:pPr>
        <w:pStyle w:val="Heading2"/>
      </w:pPr>
      <w:r>
        <w:t xml:space="preserve">Discussion</w:t>
      </w:r>
    </w:p>
    <w:p>
      <w:pPr>
        <w:pStyle w:val="FirstParagraph"/>
      </w:pPr>
      <w:r>
        <w:t xml:space="preserve">Detection of enteropathogens in the compound environment was associated with higher prevalence of subsequent infection with the same pathogen among children living in the same compound, as well as with lower HAZ (adjusted mean difference: -0.09 (95% CI: -0.17, -0.01)) when pooled across studies, especially among boys (adjusted mean difference: -0.12 (95% CI: -0.24, 0.00)). Enteropathogen detection in the environment was associated with higher prevalence of subsequent diarrhoea during the rainy season across studies (PD: 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infection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Pr>
          <w:vertAlign w:val="superscript"/>
        </w:rPr>
        <w:t xml:space="preserve">34</w:t>
      </w:r>
      <w:r>
        <w:t xml:space="preserve"> </w:t>
      </w:r>
      <w:r>
        <w:t xml:space="preserve">Similarly, PCR testing of stool samples from children &lt;1 year old in Bangladesh revealed a median of 3 pathogens in non-diarrhoeal stools.</w:t>
      </w:r>
      <w:r>
        <w:rPr>
          <w:vertAlign w:val="superscript"/>
        </w:rPr>
        <w:t xml:space="preserve">35</w:t>
      </w:r>
      <w:r>
        <w:t xml:space="preserve"> </w:t>
      </w:r>
      <w:r>
        <w:t xml:space="preserve">Additionally, acquired pathogen-specific immunity and vaccinations can affect the manifestation of symptoms following pathogen exposure,</w:t>
      </w:r>
      <w:r>
        <w:rPr>
          <w:vertAlign w:val="superscript"/>
        </w:rPr>
        <w:t xml:space="preserve">36</w:t>
      </w:r>
      <w:r>
        <w:t xml:space="preserve"> </w:t>
      </w:r>
      <w:r>
        <w:t xml:space="preserve">and conversely, non-pathogenic etiologies can cause diarrhoea symptoms.</w:t>
      </w:r>
      <w:r>
        <w:rPr>
          <w:vertAlign w:val="superscript"/>
        </w:rPr>
        <w:t xml:space="preserve">37</w:t>
      </w:r>
      <w:r>
        <w:t xml:space="preserve"> </w:t>
      </w:r>
      <w:r>
        <w:t xml:space="preserve">In addition, caregiver-reported diarrhoea is subject to poor recall and potential misclassification.</w:t>
      </w:r>
      <w:r>
        <w:rPr>
          <w:vertAlign w:val="superscript"/>
        </w:rPr>
        <w:t xml:space="preserve">38</w:t>
      </w:r>
      <w:r>
        <w:t xml:space="preserve"> </w:t>
      </w:r>
      <w:r>
        <w:t xml:space="preserve">In a study in Bangladesh, standard survey questions on diarrhoea symptoms, a pictorial survey and visual assessment of stool had poor agreement with each other, and also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In our analysis, pathogens in the environment that were associated with higher prevalence or abundance of child diarrhoea included</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It is possible that these associations are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and</w:t>
      </w:r>
      <w:r>
        <w:t xml:space="preserve"> </w:t>
      </w:r>
      <w:r>
        <w:rPr>
          <w:iCs/>
          <w:i/>
        </w:rPr>
        <w:t xml:space="preserve">C. difficile</w:t>
      </w:r>
      <w:r>
        <w:t xml:space="preserve"> </w:t>
      </w:r>
      <w:r>
        <w:t xml:space="preserve">spores are resilient to environmental stress)</w:t>
      </w:r>
      <w:r>
        <w:rPr>
          <w:vertAlign w:val="superscript"/>
        </w:rPr>
        <w:t xml:space="preserve">40,41</w:t>
      </w:r>
      <w:r>
        <w:t xml:space="preserve"> </w:t>
      </w:r>
      <w:r>
        <w:t xml:space="preserve">or their ability to grow in environmental matrices (e.g., E. coli can grow in tropical waters and soil).</w:t>
      </w:r>
      <w:r>
        <w:rPr>
          <w:vertAlign w:val="superscript"/>
        </w:rPr>
        <w:t xml:space="preserve">42</w:t>
      </w:r>
      <w:r>
        <w:t xml:space="preserve"> </w:t>
      </w:r>
      <w:r>
        <w:t xml:space="preserve">Among these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diarrhoea in low-income countries.</w:t>
      </w:r>
      <w:r>
        <w:rPr>
          <w:vertAlign w:val="superscript"/>
        </w:rPr>
        <w:t xml:space="preserve">34,43</w:t>
      </w:r>
      <w:r>
        <w:t xml:space="preserve"> </w:t>
      </w:r>
      <w:r>
        <w:t xml:space="preserve">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data to estimate associations between detection of these pathogens in the environment and child diarrhoea. We also note that</w:t>
      </w:r>
      <w:r>
        <w:t xml:space="preserve"> </w:t>
      </w:r>
      <w:r>
        <w:rPr>
          <w:iCs/>
          <w:i/>
        </w:rPr>
        <w:t xml:space="preserve">Ascaris</w:t>
      </w:r>
      <w:r>
        <w:t xml:space="preserve"> </w:t>
      </w:r>
      <w:r>
        <w:t xml:space="preserve">infections typically do not lead to diarrhoeal symptoms</w:t>
      </w:r>
      <w:r>
        <w:rPr>
          <w:vertAlign w:val="superscript"/>
        </w:rPr>
        <w:t xml:space="preserve">44</w:t>
      </w:r>
      <w:r>
        <w:t xml:space="preserve"> </w:t>
      </w:r>
      <w:r>
        <w:t xml:space="preserve">and the observed association in our analysis could reflect a chance finding or residual confounding. However,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w:t>
      </w:r>
    </w:p>
    <w:p>
      <w:pPr>
        <w:pStyle w:val="BodyText"/>
      </w:pPr>
      <w:r>
        <w:t xml:space="preserve">The MST markers in our analysis included human (HumM2, HF183, BacHum,</w:t>
      </w:r>
      <w:r>
        <w:t xml:space="preserve"> </w:t>
      </w:r>
      <w:r>
        <w:rPr>
          <w:iCs/>
          <w:i/>
        </w:rPr>
        <w:t xml:space="preserve">M. smithii</w:t>
      </w:r>
      <w:r>
        <w:t xml:space="preserve">), animal (BacCan, BacCow), ruminant (BacR) and avian (GFD) markers. MST markers are evaluated in terms of their sensitivity and specificity with respect to host feces, and sensitivity/specificity values &gt;80% are considered adequate.</w:t>
      </w:r>
      <w:r>
        <w:rPr>
          <w:vertAlign w:val="superscript"/>
        </w:rPr>
        <w:t xml:space="preserve">45</w:t>
      </w:r>
      <w:r>
        <w:t xml:space="preserve"> </w:t>
      </w:r>
      <w:r>
        <w:t xml:space="preserve">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Pr>
          <w:vertAlign w:val="superscript"/>
        </w:rPr>
        <w:t xml:space="preserve">46</w:t>
      </w:r>
      <w:r>
        <w:t xml:space="preserve"> </w:t>
      </w:r>
      <w:r>
        <w:t xml:space="preserve">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Pr>
          <w:vertAlign w:val="superscript"/>
        </w:rPr>
        <w:t xml:space="preserve">47</w:t>
      </w:r>
      <w:r>
        <w:t xml:space="preserve"> </w:t>
      </w:r>
      <w:r>
        <w:t xml:space="preserve">The selected animal marker (BacCow) had 95% sensitivity and 100% specificity.</w:t>
      </w:r>
      <w:r>
        <w:rPr>
          <w:vertAlign w:val="superscript"/>
        </w:rPr>
        <w:t xml:space="preserve">47</w:t>
      </w:r>
      <w:r>
        <w:t xml:space="preserve"> </w:t>
      </w:r>
      <w:r>
        <w:t xml:space="preserve">For the WASH Benefits Bangladesh trial, the selected HumM2, BacR and GFD markers were found to have &gt;80% sensitivity and specificity when tested against local human, chicken/duck, cow and goat faecal samples.</w:t>
      </w:r>
      <w:r>
        <w:rPr>
          <w:vertAlign w:val="superscript"/>
        </w:rPr>
        <w:t xml:space="preserve">28</w:t>
      </w:r>
      <w:r>
        <w:t xml:space="preserve"> </w:t>
      </w:r>
      <w:r>
        <w:t xml:space="preserve">For the MapSan study, the sensitivity of the selected human markers (HF183,</w:t>
      </w:r>
      <w:r>
        <w:t xml:space="preserve"> </w:t>
      </w:r>
      <w:r>
        <w:rPr>
          <w:iCs/>
          <w:i/>
        </w:rPr>
        <w:t xml:space="preserve">M. smithii</w:t>
      </w:r>
      <w:r>
        <w:t xml:space="preserve">) ranged from 64% to 71% while their specificity ranged from 67% to 71%, and the markers cross-reacted with avian feces</w:t>
      </w:r>
      <w:r>
        <w:rPr>
          <w:vertAlign w:val="superscript"/>
        </w:rPr>
        <w:t xml:space="preserve">33</w:t>
      </w:r>
      <w:r>
        <w:t xml:space="preserve">. The GFD marker had 78% sensitivity and 100% specificity</w:t>
      </w:r>
      <w:r>
        <w:rPr>
          <w:vertAlign w:val="superscript"/>
        </w:rPr>
        <w:t xml:space="preserve">33</w:t>
      </w:r>
      <w:r>
        <w:t xml:space="preserve">. In our analysis, the avian marker GFD was the only MST marker associated with increased risk of diarrhoea, while GFD and the animal marker BacCow were associated with reduced child growth across multiple metrics. Our findings support growing evidence that animals, specifically poultry, are a major source of diarrhoeagenic pathogen transmission in low-income countries.</w:t>
      </w:r>
      <w:r>
        <w:rPr>
          <w:vertAlign w:val="superscript"/>
        </w:rPr>
        <w:t xml:space="preserve">48</w:t>
      </w:r>
      <w:r>
        <w:t xml:space="preserve"> </w:t>
      </w:r>
      <w:r>
        <w:t xml:space="preserve">Close contact with domestic animals has been shown to be associated with diarrhoea, markers of enteric dysfunction and reduced growth among children.</w:t>
      </w:r>
      <w:r>
        <w:rPr>
          <w:vertAlign w:val="superscript"/>
        </w:rPr>
        <w:t xml:space="preserve">49,50</w:t>
      </w:r>
      <w:r>
        <w:t xml:space="preserve"> </w:t>
      </w:r>
      <w:r>
        <w:t xml:space="preserve">Poultry have been specifically associated with increased risk of</w:t>
      </w:r>
      <w:r>
        <w:rPr>
          <w:iCs/>
          <w:i/>
        </w:rPr>
        <w:t xml:space="preserve">Campylobacter</w:t>
      </w:r>
      <w:r>
        <w:t xml:space="preserve"> </w:t>
      </w:r>
      <w:r>
        <w:t xml:space="preserve">diarrhoea,</w:t>
      </w:r>
      <w:r>
        <w:rPr>
          <w:vertAlign w:val="superscript"/>
        </w:rPr>
        <w:t xml:space="preserve">51,52</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53</w:t>
      </w:r>
      <w:r>
        <w:t xml:space="preserve"> </w:t>
      </w:r>
      <w:r>
        <w:t xml:space="preserve">A study in Ethiopia found lower HAZ among children in homes where chickens were corralled, though owning chickens was associated with higher HAZ overall.</w:t>
      </w:r>
      <w:r>
        <w:rPr>
          <w:vertAlign w:val="superscript"/>
        </w:rPr>
        <w:t xml:space="preserve">54</w:t>
      </w:r>
      <w:r>
        <w:t xml:space="preserve"> </w:t>
      </w:r>
      <w:r>
        <w:t xml:space="preserve">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Pr>
          <w:vertAlign w:val="superscript"/>
        </w:rPr>
        <w:t xml:space="preserve">55</w:t>
      </w:r>
      <w:r>
        <w:t xml:space="preserve"> </w:t>
      </w:r>
      <w:r>
        <w:t xml:space="preserve">Our findings support recommendations for developing better-performing human markers that can more successfully distinguish human faecal sources in different settings.</w:t>
      </w:r>
      <w:r>
        <w:rPr>
          <w:vertAlign w:val="superscript"/>
        </w:rPr>
        <w:t xml:space="preserve">46</w:t>
      </w:r>
    </w:p>
    <w:p>
      <w:pPr>
        <w:pStyle w:val="BodyText"/>
      </w:pPr>
      <w:r>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when the analysis was limited to improved water sources but not for surface water sources.</w:t>
      </w:r>
      <w:r>
        <w:rPr>
          <w:vertAlign w:val="superscript"/>
        </w:rPr>
        <w:t xml:space="preserve">56</w:t>
      </w:r>
      <w:r>
        <w:t xml:space="preserve"> </w:t>
      </w:r>
      <w:r>
        <w:t xml:space="preserve">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Pr>
          <w:vertAlign w:val="superscript"/>
        </w:rPr>
        <w:t xml:space="preserve">56</w:t>
      </w:r>
      <w:r>
        <w:t xml:space="preserve"> </w:t>
      </w:r>
      <w:r>
        <w:t xml:space="preserve">The majority of studies in low-income countries have used FIB to characterize environmental faecal contamination. Meta-analyses have found that E. coli and thermotolerant coliforms in drinking water are associated with increased risk of diarrhoea.</w:t>
      </w:r>
      <w:r>
        <w:rPr>
          <w:vertAlign w:val="superscript"/>
        </w:rPr>
        <w:t xml:space="preserve">13,57</w:t>
      </w:r>
      <w:r>
        <w:t xml:space="preserve"> </w:t>
      </w:r>
      <w:r>
        <w:t xml:space="preserve">A recent IPD analysis found that the odds of diarrhoea increased by 9% of each log10 increase in FIB in drinking water and by 11% for each log10 increase in FIB on child hands.</w:t>
      </w:r>
      <w:r>
        <w:rPr>
          <w:vertAlign w:val="superscript"/>
        </w:rPr>
        <w:t xml:space="preserve">10</w:t>
      </w:r>
      <w:r>
        <w:t xml:space="preserve"> </w:t>
      </w:r>
      <w:r>
        <w:t xml:space="preserve">In the same IPD analysis, a log10 increase in FIB in drinking water and on fomites was associated with slightly lower HAZ (</w:t>
      </w:r>
      <m:oMath>
        <m:r>
          <m:t>Δ</m:t>
        </m:r>
      </m:oMath>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predicting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pPr>
        <w:pStyle w:val="BodyText"/>
      </w:pPr>
      <w:r>
        <w:t xml:space="preserve">Measuring FIB, enteric pathogens and MST markers in the environment each have specific limitations. While FIB can come from non-faecal sources, do not correlate well with pathogens and cannot differentiate between faecal hosts,</w:t>
      </w:r>
      <w:r>
        <w:rPr>
          <w:vertAlign w:val="superscript"/>
        </w:rPr>
        <w:t xml:space="preserve">11–13</w:t>
      </w:r>
      <w:r>
        <w:t xml:space="preserve"> </w:t>
      </w:r>
      <w:r>
        <w:t xml:space="preserve">they can be measured inexpensively and without extensive laboratory equipment. They also provide information on the viability of organisms as they are typically enumerated with culture-based methods. Measuring enteric pathogens and MST markers is more expensive and requires more extensive facilities, and therefore the number of samples that can be tested is typically smaller. Pathogen detection is limited by the low prevalence and abundance of enteropathogens in the environment and also cannot determine viability when molecular methods are used. MST markers are limited in their sensitivity and host-specificity, which can vary and need to be newly validated for a given setting.</w:t>
      </w:r>
      <w:r>
        <w:rPr>
          <w:vertAlign w:val="superscript"/>
        </w:rPr>
        <w:t xml:space="preserve">58</w:t>
      </w:r>
      <w:r>
        <w:t xml:space="preserve"> </w:t>
      </w:r>
      <w:r>
        <w:t xml:space="preserve">In addition, regardless of the analytical target used, measuring environmental contamination is subject to limitations when the goal is to predict health risks. Faecal organisms in the domestic environment have substantial temporal and spatial variability</w:t>
      </w:r>
      <w:r>
        <w:rPr>
          <w:vertAlign w:val="superscript"/>
        </w:rPr>
        <w:t xml:space="preserve">59,60</w:t>
      </w:r>
      <w:r>
        <w:t xml:space="preserve">.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Pr>
          <w:vertAlign w:val="superscript"/>
        </w:rPr>
        <w:t xml:space="preserve">61</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Pr>
          <w:vertAlign w:val="superscript"/>
        </w:rPr>
        <w:t xml:space="preserve">62</w:t>
      </w:r>
      <w:r>
        <w:t xml:space="preserve">. Children’s contact patterns with environmental matrices vary with age and setting.</w:t>
      </w:r>
      <w:r>
        <w:rPr>
          <w:vertAlign w:val="superscript"/>
        </w:rPr>
        <w:t xml:space="preserve">63,64</w:t>
      </w:r>
      <w:r>
        <w:t xml:space="preserve"> </w:t>
      </w:r>
      <w:r>
        <w:t xml:space="preserve">Combining assessments of these patterns with environmental measurements may better predict health risks.</w:t>
      </w:r>
      <w:r>
        <w:rPr>
          <w:vertAlign w:val="superscript"/>
        </w:rPr>
        <w:t xml:space="preserve">65,66</w:t>
      </w:r>
    </w:p>
    <w:p>
      <w:pPr>
        <w:pStyle w:val="BodyText"/>
      </w:pPr>
      <w:r>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outcome but avian markers showed stronger associations than others. More sensitive and specific markers are needed to successfully distinguish between human and different animal hosts 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stool.</w:t>
      </w:r>
    </w:p>
    <w:bookmarkEnd w:id="34"/>
    <w:bookmarkStart w:id="165" w:name="references"/>
    <w:p>
      <w:pPr>
        <w:pStyle w:val="Heading2"/>
      </w:pPr>
      <w:r>
        <w:t xml:space="preserve">References</w:t>
      </w:r>
    </w:p>
    <w:bookmarkStart w:id="164" w:name="refs"/>
    <w:bookmarkStart w:id="36" w:name="Xf17b49cc78c32e3d36c7fc5f444e955c1e88c50"/>
    <w:p>
      <w:pPr>
        <w:pStyle w:val="Bibliography"/>
      </w:pPr>
      <w:r>
        <w:t xml:space="preserve">1</w:t>
      </w:r>
      <w:r>
        <w:t xml:space="preserve"> </w:t>
      </w:r>
      <w:r>
        <w:t xml:space="preserve">	</w:t>
      </w:r>
      <w:r>
        <w:t xml:space="preserve">Prendergast A,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36"/>
    <w:bookmarkStart w:id="38"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38"/>
    <w:bookmarkStart w:id="40"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40"/>
    <w:bookmarkStart w:id="42"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42"/>
    <w:bookmarkStart w:id="44"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44"/>
    <w:bookmarkStart w:id="46"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46"/>
    <w:bookmarkStart w:id="48"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48"/>
    <w:bookmarkStart w:id="50"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50"/>
    <w:bookmarkStart w:id="52"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52"/>
    <w:bookmarkStart w:id="54"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54"/>
    <w:bookmarkStart w:id="56" w:name="ref-hardinaSoilEnvironmentalSource1991"/>
    <w:p>
      <w:pPr>
        <w:pStyle w:val="Bibliography"/>
      </w:pPr>
      <w:r>
        <w:t xml:space="preserve">11</w:t>
      </w:r>
      <w:r>
        <w:t xml:space="preserve"> </w:t>
      </w:r>
      <w:r>
        <w:t xml:space="preserve">	</w:t>
      </w:r>
      <w:r>
        <w:t xml:space="preserve">Hardina CM, Fujioka RS.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56"/>
    <w:bookmarkStart w:id="58" w:name="ref-wuAreMicrobialIndicators2011"/>
    <w:p>
      <w:pPr>
        <w:pStyle w:val="Bibliography"/>
      </w:pPr>
      <w:r>
        <w:t xml:space="preserve">12</w:t>
      </w:r>
      <w:r>
        <w:t xml:space="preserve"> </w:t>
      </w:r>
      <w:r>
        <w:t xml:space="preserve">	</w:t>
      </w:r>
      <w:r>
        <w:t xml:space="preserve">Wu J, Long SC, Das D, Dorner SM.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58"/>
    <w:bookmarkStart w:id="60" w:name="ref-gruberColiformBacteriaIndicators2014"/>
    <w:p>
      <w:pPr>
        <w:pStyle w:val="Bibliography"/>
      </w:pPr>
      <w:r>
        <w:t xml:space="preserve">13</w:t>
      </w:r>
      <w:r>
        <w:t xml:space="preserve"> </w:t>
      </w:r>
      <w:r>
        <w:t xml:space="preserve">	</w:t>
      </w:r>
      <w:r>
        <w:t xml:space="preserve">Gruber JS, Ercumen A, Colford JM.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60"/>
    <w:bookmarkStart w:id="62" w:name="ref-schoenEvaluatingImportanceFaecal2011"/>
    <w:p>
      <w:pPr>
        <w:pStyle w:val="Bibliography"/>
      </w:pPr>
      <w:r>
        <w:t xml:space="preserve">14</w:t>
      </w:r>
      <w:r>
        <w:t xml:space="preserve"> </w:t>
      </w:r>
      <w:r>
        <w:t xml:space="preserve">	</w:t>
      </w:r>
      <w:r>
        <w:t xml:space="preserve">Schoen ME, Soller JA, Ashbolt NJ.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62"/>
    <w:bookmarkStart w:id="63" w:name="ref-mertensEffectWaterSanitation"/>
    <w:p>
      <w:pPr>
        <w:pStyle w:val="Bibliography"/>
      </w:pPr>
      <w:r>
        <w:t xml:space="preserve">15</w:t>
      </w:r>
      <w:r>
        <w:t xml:space="preserve"> </w:t>
      </w:r>
      <w:r>
        <w:t xml:space="preserve">	</w:t>
      </w:r>
      <w:r>
        <w:t xml:space="preserve">Mertens A,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r>
        <w:t xml:space="preserve">.</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76–85.</w:t>
      </w:r>
    </w:p>
    <w:bookmarkEnd w:id="65"/>
    <w:bookmarkStart w:id="67" w:name="X325faf369aa13b3d7167bcca72f53c68b904f73"/>
    <w:p>
      <w:pPr>
        <w:pStyle w:val="Bibliography"/>
      </w:pPr>
      <w:r>
        <w:t xml:space="preserve">17</w:t>
      </w:r>
      <w:r>
        <w:t xml:space="preserve"> </w:t>
      </w:r>
      <w:r>
        <w:t xml:space="preserve">	</w:t>
      </w:r>
      <w:r>
        <w:t xml:space="preserve">Luby SP, Halder AK, Huda TMd,</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904–11.</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t xml:space="preserve">2004;</w:t>
      </w:r>
      <w:r>
        <w:t xml:space="preserve"> </w:t>
      </w:r>
      <w:r>
        <w:rPr>
          <w:bCs/>
          <w:b/>
        </w:rPr>
        <w:t xml:space="preserve">159</w:t>
      </w:r>
      <w:r>
        <w:t xml:space="preserve">: 702–6.</w:t>
      </w:r>
    </w:p>
    <w:bookmarkEnd w:id="69"/>
    <w:bookmarkStart w:id="71" w:name="X0d8fe7285a459ef2a123c0bbff98fb4aa7c6fc5"/>
    <w:p>
      <w:pPr>
        <w:pStyle w:val="Bibliography"/>
      </w:pPr>
      <w:r>
        <w:t xml:space="preserve">19</w:t>
      </w:r>
      <w:r>
        <w:t xml:space="preserve"> </w:t>
      </w:r>
      <w:r>
        <w:t xml:space="preserve">	</w:t>
      </w:r>
      <w:r>
        <w:t xml:space="preserve">Cochran WG.</w:t>
      </w:r>
      <w:r>
        <w:t xml:space="preserve"> </w:t>
      </w:r>
      <w:hyperlink r:id="rId70">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t xml:space="preserve">1954;</w:t>
      </w:r>
      <w:r>
        <w:t xml:space="preserve"> </w:t>
      </w:r>
      <w:r>
        <w:rPr>
          <w:bCs/>
          <w:b/>
        </w:rPr>
        <w:t xml:space="preserve">10</w:t>
      </w:r>
      <w:r>
        <w:t xml:space="preserve">: 101–29.</w:t>
      </w:r>
    </w:p>
    <w:bookmarkEnd w:id="71"/>
    <w:bookmarkStart w:id="73" w:name="X2b757688074e61078315a9b965c91fa89ad5f8d"/>
    <w:p>
      <w:pPr>
        <w:pStyle w:val="Bibliography"/>
      </w:pPr>
      <w:r>
        <w:t xml:space="preserve">20</w:t>
      </w:r>
      <w:r>
        <w:t xml:space="preserve"> </w:t>
      </w:r>
      <w:r>
        <w:t xml:space="preserve">	</w:t>
      </w:r>
      <w:r>
        <w:t xml:space="preserve">WHO Multicentre Growth Reference Study Group.</w:t>
      </w:r>
      <w:r>
        <w:t xml:space="preserve"> </w:t>
      </w:r>
      <w:hyperlink r:id="rId72">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t xml:space="preserve">2006;</w:t>
      </w:r>
      <w:r>
        <w:t xml:space="preserve"> </w:t>
      </w:r>
      <w:r>
        <w:rPr>
          <w:bCs/>
          <w:b/>
        </w:rPr>
        <w:t xml:space="preserve">450</w:t>
      </w:r>
      <w:r>
        <w:t xml:space="preserve">: 86–95.</w:t>
      </w:r>
    </w:p>
    <w:bookmarkEnd w:id="73"/>
    <w:bookmarkStart w:id="74" w:name="ref-d.o.oWeatherAtlasWeather"/>
    <w:p>
      <w:pPr>
        <w:pStyle w:val="Bibliography"/>
      </w:pPr>
      <w:r>
        <w:t xml:space="preserve">21</w:t>
      </w:r>
      <w:r>
        <w:t xml:space="preserve"> </w:t>
      </w:r>
      <w:r>
        <w:t xml:space="preserve">	</w:t>
      </w:r>
      <w:r>
        <w:t xml:space="preserve">d.o.o YMG.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 Weather Atlas.</w:t>
      </w:r>
    </w:p>
    <w:bookmarkEnd w:id="74"/>
    <w:bookmarkStart w:id="76" w:name="ref-vanderweeleTutorialInteraction2014"/>
    <w:p>
      <w:pPr>
        <w:pStyle w:val="Bibliography"/>
      </w:pPr>
      <w:r>
        <w:t xml:space="preserve">22</w:t>
      </w:r>
      <w:r>
        <w:t xml:space="preserve"> </w:t>
      </w:r>
      <w:r>
        <w:t xml:space="preserve">	</w:t>
      </w:r>
      <w:r>
        <w:t xml:space="preserve">VanderWeele TJ, Knol MJ.</w:t>
      </w:r>
      <w:r>
        <w:t xml:space="preserve"> </w:t>
      </w:r>
      <w:hyperlink r:id="rId75">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t xml:space="preserve">2014;</w:t>
      </w:r>
      <w:r>
        <w:t xml:space="preserve"> </w:t>
      </w:r>
      <w:r>
        <w:rPr>
          <w:bCs/>
          <w:b/>
        </w:rPr>
        <w:t xml:space="preserve">3</w:t>
      </w:r>
      <w:r>
        <w:t xml:space="preserve">: 33–72.</w:t>
      </w:r>
    </w:p>
    <w:bookmarkEnd w:id="76"/>
    <w:bookmarkStart w:id="78" w:name="ref-schulerTargetedMaximumLikelihood2017"/>
    <w:p>
      <w:pPr>
        <w:pStyle w:val="Bibliography"/>
      </w:pPr>
      <w:r>
        <w:t xml:space="preserve">23</w:t>
      </w:r>
      <w:r>
        <w:t xml:space="preserve"> </w:t>
      </w:r>
      <w:r>
        <w:t xml:space="preserve">	</w:t>
      </w:r>
      <w:r>
        <w:t xml:space="preserve">Schuler MS, Rose S.</w:t>
      </w:r>
      <w:r>
        <w:t xml:space="preserve"> </w:t>
      </w:r>
      <w:hyperlink r:id="rId77">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t xml:space="preserve">2017;</w:t>
      </w:r>
      <w:r>
        <w:t xml:space="preserve"> </w:t>
      </w:r>
      <w:r>
        <w:rPr>
          <w:bCs/>
          <w:b/>
        </w:rPr>
        <w:t xml:space="preserve">185</w:t>
      </w:r>
      <w:r>
        <w:t xml:space="preserve">: 65–73.</w:t>
      </w:r>
    </w:p>
    <w:bookmarkEnd w:id="78"/>
    <w:bookmarkStart w:id="79" w:name="X4ea7256b642a81e90b5df5e4071b9e34f6788d7"/>
    <w:p>
      <w:pPr>
        <w:pStyle w:val="Bibliography"/>
      </w:pPr>
      <w:r>
        <w:t xml:space="preserve">24</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9"/>
    <w:bookmarkStart w:id="81" w:name="ref-kneeEffectsUrbanSanitation2021"/>
    <w:p>
      <w:pPr>
        <w:pStyle w:val="Bibliography"/>
      </w:pPr>
      <w:r>
        <w:t xml:space="preserve">25</w:t>
      </w:r>
      <w:r>
        <w:t xml:space="preserve"> </w:t>
      </w:r>
      <w:r>
        <w:t xml:space="preserve">	</w:t>
      </w:r>
      <w:r>
        <w:t xml:space="preserve">Knee J, Sumner T, Adriano Z,</w:t>
      </w:r>
      <w:r>
        <w:t xml:space="preserve"> </w:t>
      </w:r>
      <w:r>
        <w:rPr>
          <w:iCs/>
          <w:i/>
        </w:rPr>
        <w:t xml:space="preserve">et al.</w:t>
      </w:r>
      <w:r>
        <w:t xml:space="preserve"> </w:t>
      </w:r>
      <w:hyperlink r:id="rId80">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t xml:space="preserve">2021;</w:t>
      </w:r>
      <w:r>
        <w:t xml:space="preserve"> </w:t>
      </w:r>
      <w:r>
        <w:rPr>
          <w:bCs/>
          <w:b/>
        </w:rPr>
        <w:t xml:space="preserve">10</w:t>
      </w:r>
      <w:r>
        <w:t xml:space="preserve">: e62278.</w:t>
      </w:r>
    </w:p>
    <w:bookmarkEnd w:id="81"/>
    <w:bookmarkStart w:id="83" w:name="X5228fa985af5ce71b0c533e44873ca75e261300"/>
    <w:p>
      <w:pPr>
        <w:pStyle w:val="Bibliography"/>
      </w:pPr>
      <w:r>
        <w:t xml:space="preserve">26</w:t>
      </w:r>
      <w:r>
        <w:t xml:space="preserve"> </w:t>
      </w:r>
      <w:r>
        <w:t xml:space="preserve">	</w:t>
      </w:r>
      <w:r>
        <w:t xml:space="preserve">Reese H, Routray P, Torondel B,</w:t>
      </w:r>
      <w:r>
        <w:t xml:space="preserve"> </w:t>
      </w:r>
      <w:r>
        <w:rPr>
          <w:iCs/>
          <w:i/>
        </w:rPr>
        <w:t xml:space="preserve">et al.</w:t>
      </w:r>
      <w:r>
        <w:t xml:space="preserve"> </w:t>
      </w:r>
      <w:hyperlink r:id="rId82">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t xml:space="preserve">2019;</w:t>
      </w:r>
      <w:r>
        <w:t xml:space="preserve"> </w:t>
      </w:r>
      <w:r>
        <w:rPr>
          <w:bCs/>
          <w:b/>
        </w:rPr>
        <w:t xml:space="preserve">48</w:t>
      </w:r>
      <w:r>
        <w:t xml:space="preserve">: 1757–67.</w:t>
      </w:r>
    </w:p>
    <w:bookmarkEnd w:id="83"/>
    <w:bookmarkStart w:id="85" w:name="Xd991f8dfcb33adf9c25dec389b3b0d8e33f406d"/>
    <w:p>
      <w:pPr>
        <w:pStyle w:val="Bibliography"/>
      </w:pPr>
      <w:r>
        <w:t xml:space="preserve">27</w:t>
      </w:r>
      <w:r>
        <w:t xml:space="preserve"> </w:t>
      </w:r>
      <w:r>
        <w:t xml:space="preserve">	</w:t>
      </w:r>
      <w:r>
        <w:t xml:space="preserve">Clasen T, Boisson S, Routray P,</w:t>
      </w:r>
      <w:r>
        <w:t xml:space="preserve"> </w:t>
      </w:r>
      <w:r>
        <w:rPr>
          <w:iCs/>
          <w:i/>
        </w:rPr>
        <w:t xml:space="preserve">et al.</w:t>
      </w:r>
      <w:r>
        <w:t xml:space="preserve"> </w:t>
      </w:r>
      <w:hyperlink r:id="rId84">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2014;</w:t>
      </w:r>
      <w:r>
        <w:t xml:space="preserve"> </w:t>
      </w:r>
      <w:r>
        <w:rPr>
          <w:bCs/>
          <w:b/>
        </w:rPr>
        <w:t xml:space="preserve">2</w:t>
      </w:r>
      <w:r>
        <w:t xml:space="preserve">: e645–653.</w:t>
      </w:r>
    </w:p>
    <w:bookmarkEnd w:id="85"/>
    <w:bookmarkStart w:id="87" w:name="Xf2a03ad0ba8e597b78cac8eb44474a2515beb21"/>
    <w:p>
      <w:pPr>
        <w:pStyle w:val="Bibliography"/>
      </w:pPr>
      <w:r>
        <w:t xml:space="preserve">28</w:t>
      </w:r>
      <w:r>
        <w:t xml:space="preserve"> </w:t>
      </w:r>
      <w:r>
        <w:t xml:space="preserve">	</w:t>
      </w:r>
      <w:r>
        <w:t xml:space="preserve">Boehm AB, Wang D, Ercumen A,</w:t>
      </w:r>
      <w:r>
        <w:t xml:space="preserve"> </w:t>
      </w:r>
      <w:r>
        <w:rPr>
          <w:iCs/>
          <w:i/>
        </w:rPr>
        <w:t xml:space="preserve">et al.</w:t>
      </w:r>
      <w:r>
        <w:t xml:space="preserve"> </w:t>
      </w:r>
      <w:hyperlink r:id="rId86">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t xml:space="preserve">2016;</w:t>
      </w:r>
      <w:r>
        <w:t xml:space="preserve"> </w:t>
      </w:r>
      <w:r>
        <w:rPr>
          <w:bCs/>
          <w:b/>
        </w:rPr>
        <w:t xml:space="preserve">3</w:t>
      </w:r>
      <w:r>
        <w:t xml:space="preserve">: 393–8.</w:t>
      </w:r>
    </w:p>
    <w:bookmarkEnd w:id="87"/>
    <w:bookmarkStart w:id="89" w:name="Xda33b900c79b319f16c7caa64a1c94f62a2b60d"/>
    <w:p>
      <w:pPr>
        <w:pStyle w:val="Bibliography"/>
      </w:pPr>
      <w:r>
        <w:t xml:space="preserve">29</w:t>
      </w:r>
      <w:r>
        <w:t xml:space="preserve"> </w:t>
      </w:r>
      <w:r>
        <w:t xml:space="preserve">	</w:t>
      </w:r>
      <w:r>
        <w:t xml:space="preserve">Kwong LH, Sen D, Islam S,</w:t>
      </w:r>
      <w:r>
        <w:t xml:space="preserve"> </w:t>
      </w:r>
      <w:r>
        <w:rPr>
          <w:iCs/>
          <w:i/>
        </w:rPr>
        <w:t xml:space="preserve">et al.</w:t>
      </w:r>
      <w:r>
        <w:t xml:space="preserve"> </w:t>
      </w:r>
      <w:hyperlink r:id="rId88">
        <w:r>
          <w:rPr>
            <w:rStyle w:val="Hyperlink"/>
          </w:rPr>
          <w:t xml:space="preserve">Effect of sanitation improvements on soil-transmitted helminth eggs in courtyard soil from rural</w:t>
        </w:r>
        <w:r>
          <w:rPr>
            <w:rStyle w:val="Hyperlink"/>
          </w:rPr>
          <w:t xml:space="preserve"> </w:t>
        </w:r>
        <w:r>
          <w:rPr>
            <w:rStyle w:val="Hyperlink"/>
          </w:rPr>
          <w:t xml:space="preserve">Bangladesh</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 cluster-randomized controlled trial</w:t>
        </w:r>
      </w:hyperlink>
      <w:r>
        <w:t xml:space="preserve">.</w:t>
      </w:r>
      <w:r>
        <w:t xml:space="preserve"> </w:t>
      </w:r>
      <w:r>
        <w:rPr>
          <w:iCs/>
          <w:i/>
        </w:rPr>
        <w:t xml:space="preserve">bioRxiv</w:t>
      </w:r>
      <w:r>
        <w:t xml:space="preserve"> </w:t>
      </w:r>
      <w:r>
        <w:t xml:space="preserve">2020; : 2020.09.29.318097.</w:t>
      </w:r>
    </w:p>
    <w:bookmarkEnd w:id="89"/>
    <w:bookmarkStart w:id="91" w:name="X9dcf9420471408d0f247188f0ab66b2bab98776"/>
    <w:p>
      <w:pPr>
        <w:pStyle w:val="Bibliography"/>
      </w:pPr>
      <w:r>
        <w:t xml:space="preserve">30</w:t>
      </w:r>
      <w:r>
        <w:t xml:space="preserve"> </w:t>
      </w:r>
      <w:r>
        <w:t xml:space="preserve">	</w:t>
      </w:r>
      <w:r>
        <w:t xml:space="preserve">Fuhrmeister ER, Ercumen A, Pickering AJ,</w:t>
      </w:r>
      <w:r>
        <w:t xml:space="preserve"> </w:t>
      </w:r>
      <w:r>
        <w:rPr>
          <w:iCs/>
          <w:i/>
        </w:rPr>
        <w:t xml:space="preserve">et al.</w:t>
      </w:r>
      <w:r>
        <w:t xml:space="preserve"> </w:t>
      </w:r>
      <w:hyperlink r:id="rId90">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4316–26.</w:t>
      </w:r>
    </w:p>
    <w:bookmarkEnd w:id="91"/>
    <w:bookmarkStart w:id="93" w:name="ref-caponeImpactUrbanSanitation2021"/>
    <w:p>
      <w:pPr>
        <w:pStyle w:val="Bibliography"/>
      </w:pPr>
      <w:r>
        <w:t xml:space="preserve">31</w:t>
      </w:r>
      <w:r>
        <w:t xml:space="preserve"> </w:t>
      </w:r>
      <w:r>
        <w:t xml:space="preserve">	</w:t>
      </w:r>
      <w:r>
        <w:t xml:space="preserve">Capone D, Berendes D, Cumming O,</w:t>
      </w:r>
      <w:r>
        <w:t xml:space="preserve"> </w:t>
      </w:r>
      <w:r>
        <w:rPr>
          <w:iCs/>
          <w:i/>
        </w:rPr>
        <w:t xml:space="preserve">et al.</w:t>
      </w:r>
      <w:r>
        <w:t xml:space="preserve"> </w:t>
      </w:r>
      <w:hyperlink r:id="rId92">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t xml:space="preserve">2021;</w:t>
      </w:r>
      <w:r>
        <w:t xml:space="preserve"> </w:t>
      </w:r>
      <w:r>
        <w:rPr>
          <w:bCs/>
          <w:b/>
        </w:rPr>
        <w:t xml:space="preserve">55</w:t>
      </w:r>
      <w:r>
        <w:t xml:space="preserve">: 9989–10000.</w:t>
      </w:r>
    </w:p>
    <w:bookmarkEnd w:id="93"/>
    <w:bookmarkStart w:id="95" w:name="Xf9e2a4a9eb87275ea3c8190d2addb0f7bef699d"/>
    <w:p>
      <w:pPr>
        <w:pStyle w:val="Bibliography"/>
      </w:pPr>
      <w:r>
        <w:t xml:space="preserve">32</w:t>
      </w:r>
      <w:r>
        <w:t xml:space="preserve"> </w:t>
      </w:r>
      <w:r>
        <w:t xml:space="preserve">	</w:t>
      </w:r>
      <w:r>
        <w:t xml:space="preserve">Steinbaum L, Mboya J, Mahoney R, Njenga SM, Null C, Pickering AJ.</w:t>
      </w:r>
      <w:r>
        <w:t xml:space="preserve"> </w:t>
      </w:r>
      <w:hyperlink r:id="rId94">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t xml:space="preserve">2019;</w:t>
      </w:r>
      <w:r>
        <w:t xml:space="preserve"> </w:t>
      </w:r>
      <w:r>
        <w:rPr>
          <w:bCs/>
          <w:b/>
        </w:rPr>
        <w:t xml:space="preserve">13</w:t>
      </w:r>
      <w:r>
        <w:t xml:space="preserve">: e0007180.</w:t>
      </w:r>
    </w:p>
    <w:bookmarkEnd w:id="95"/>
    <w:bookmarkStart w:id="97" w:name="ref-holcombHumanFecalContamination2020"/>
    <w:p>
      <w:pPr>
        <w:pStyle w:val="Bibliography"/>
      </w:pPr>
      <w:r>
        <w:t xml:space="preserve">33</w:t>
      </w:r>
      <w:r>
        <w:t xml:space="preserve"> </w:t>
      </w:r>
      <w:r>
        <w:t xml:space="preserve">	</w:t>
      </w:r>
      <w:r>
        <w:t xml:space="preserve">Holcomb DA, Knee J, Sumner T,</w:t>
      </w:r>
      <w:r>
        <w:t xml:space="preserve"> </w:t>
      </w:r>
      <w:r>
        <w:rPr>
          <w:iCs/>
          <w:i/>
        </w:rPr>
        <w:t xml:space="preserve">et al.</w:t>
      </w:r>
      <w:r>
        <w:t xml:space="preserve"> </w:t>
      </w:r>
      <w:hyperlink r:id="rId96">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t xml:space="preserve">2020;</w:t>
      </w:r>
      <w:r>
        <w:t xml:space="preserve"> </w:t>
      </w:r>
      <w:r>
        <w:rPr>
          <w:bCs/>
          <w:b/>
        </w:rPr>
        <w:t xml:space="preserve">226</w:t>
      </w:r>
      <w:r>
        <w:t xml:space="preserve">: 113496.</w:t>
      </w:r>
    </w:p>
    <w:bookmarkEnd w:id="97"/>
    <w:bookmarkStart w:id="99" w:name="X361173ab8320ad3938a8eb9d501624ab76df10b"/>
    <w:p>
      <w:pPr>
        <w:pStyle w:val="Bibliography"/>
      </w:pPr>
      <w:r>
        <w:t xml:space="preserve">34</w:t>
      </w:r>
      <w:r>
        <w:t xml:space="preserve"> </w:t>
      </w:r>
      <w:r>
        <w:t xml:space="preserve">	</w:t>
      </w:r>
      <w:r>
        <w:t xml:space="preserve">Platts-Mills JA, Babji S, Bodhidatta L,</w:t>
      </w:r>
      <w:r>
        <w:t xml:space="preserve"> </w:t>
      </w:r>
      <w:r>
        <w:rPr>
          <w:iCs/>
          <w:i/>
        </w:rPr>
        <w:t xml:space="preserve">et al.</w:t>
      </w:r>
      <w:r>
        <w:t xml:space="preserve"> </w:t>
      </w:r>
      <w:hyperlink r:id="rId98">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t xml:space="preserve">2015;</w:t>
      </w:r>
      <w:r>
        <w:t xml:space="preserve"> </w:t>
      </w:r>
      <w:r>
        <w:rPr>
          <w:bCs/>
          <w:b/>
        </w:rPr>
        <w:t xml:space="preserve">3</w:t>
      </w:r>
      <w:r>
        <w:t xml:space="preserve">: e564–75.</w:t>
      </w:r>
    </w:p>
    <w:bookmarkEnd w:id="99"/>
    <w:bookmarkStart w:id="101" w:name="X852a9682960257461b43c3173c4111a322563e7"/>
    <w:p>
      <w:pPr>
        <w:pStyle w:val="Bibliography"/>
      </w:pPr>
      <w:r>
        <w:t xml:space="preserve">35</w:t>
      </w:r>
      <w:r>
        <w:t xml:space="preserve"> </w:t>
      </w:r>
      <w:r>
        <w:t xml:space="preserve">	</w:t>
      </w:r>
      <w:r>
        <w:t xml:space="preserve">Taniuchi M, Sobuz SU, Begum S,</w:t>
      </w:r>
      <w:r>
        <w:t xml:space="preserve"> </w:t>
      </w:r>
      <w:r>
        <w:rPr>
          <w:iCs/>
          <w:i/>
        </w:rPr>
        <w:t xml:space="preserve">et al.</w:t>
      </w:r>
      <w:r>
        <w:t xml:space="preserve"> </w:t>
      </w:r>
      <w:hyperlink r:id="rId100">
        <w:r>
          <w:rPr>
            <w:rStyle w:val="Hyperlink"/>
          </w:rPr>
          <w:t xml:space="preserve">Etiology of diarrhea in</w:t>
        </w:r>
        <w:r>
          <w:rPr>
            <w:rStyle w:val="Hyperlink"/>
          </w:rPr>
          <w:t xml:space="preserve"> </w:t>
        </w:r>
        <w:r>
          <w:rPr>
            <w:rStyle w:val="Hyperlink"/>
          </w:rPr>
          <w:t xml:space="preserve">Bangladeshi</w:t>
        </w:r>
        <w:r>
          <w:rPr>
            <w:rStyle w:val="Hyperlink"/>
          </w:rPr>
          <w:t xml:space="preserve"> </w:t>
        </w:r>
        <w:r>
          <w:rPr>
            <w:rStyle w:val="Hyperlink"/>
          </w:rPr>
          <w:t xml:space="preserve">infants in the first year of life analyzed using molecular methods</w:t>
        </w:r>
      </w:hyperlink>
      <w:r>
        <w:t xml:space="preserve">.</w:t>
      </w:r>
      <w:r>
        <w:t xml:space="preserve"> </w:t>
      </w:r>
      <w:r>
        <w:rPr>
          <w:iCs/>
          <w:i/>
        </w:rPr>
        <w:t xml:space="preserve">The Journal of Infectious Diseases</w:t>
      </w:r>
      <w:r>
        <w:t xml:space="preserve"> </w:t>
      </w:r>
      <w:r>
        <w:t xml:space="preserve">2013;</w:t>
      </w:r>
      <w:r>
        <w:t xml:space="preserve"> </w:t>
      </w:r>
      <w:r>
        <w:rPr>
          <w:bCs/>
          <w:b/>
        </w:rPr>
        <w:t xml:space="preserve">208</w:t>
      </w:r>
      <w:r>
        <w:t xml:space="preserve">: 1794–802.</w:t>
      </w:r>
    </w:p>
    <w:bookmarkEnd w:id="101"/>
    <w:bookmarkStart w:id="103" w:name="ref-rogawskiQuantifyingImpactNatural2018"/>
    <w:p>
      <w:pPr>
        <w:pStyle w:val="Bibliography"/>
      </w:pPr>
      <w:r>
        <w:t xml:space="preserve">36</w:t>
      </w:r>
      <w:r>
        <w:t xml:space="preserve"> </w:t>
      </w:r>
      <w:r>
        <w:t xml:space="preserve">	</w:t>
      </w:r>
      <w:r>
        <w:t xml:space="preserve">Rogawski ET, Platts-Mills JA, Colgate ER,</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t xml:space="preserve">2018;</w:t>
      </w:r>
      <w:r>
        <w:t xml:space="preserve"> </w:t>
      </w:r>
      <w:r>
        <w:rPr>
          <w:bCs/>
          <w:b/>
        </w:rPr>
        <w:t xml:space="preserve">217</w:t>
      </w:r>
      <w:r>
        <w:t xml:space="preserve">: 861–8.</w:t>
      </w:r>
    </w:p>
    <w:bookmarkEnd w:id="103"/>
    <w:bookmarkStart w:id="105" w:name="X28b8f7a62df31f893e94c92fe8813b1071b54c6"/>
    <w:p>
      <w:pPr>
        <w:pStyle w:val="Bibliography"/>
      </w:pPr>
      <w:r>
        <w:t xml:space="preserve">37</w:t>
      </w:r>
      <w:r>
        <w:t xml:space="preserve"> </w:t>
      </w:r>
      <w:r>
        <w:t xml:space="preserve">	</w:t>
      </w:r>
      <w:r>
        <w:t xml:space="preserve">Rego R, Watson S, Ul Alam MA,</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t xml:space="preserve">2021;</w:t>
      </w:r>
      <w:r>
        <w:t xml:space="preserve"> </w:t>
      </w:r>
      <w:r>
        <w:rPr>
          <w:bCs/>
          <w:b/>
        </w:rPr>
        <w:t xml:space="preserve">42</w:t>
      </w:r>
      <w:r>
        <w:t xml:space="preserve">. DOI:</w:t>
      </w:r>
      <w:hyperlink r:id="rId104">
        <w:r>
          <w:rPr>
            <w:rStyle w:val="Hyperlink"/>
          </w:rPr>
          <w:t xml:space="preserve">10.1016/j.eclinm.2021.101205</w:t>
        </w:r>
      </w:hyperlink>
      <w:r>
        <w:t xml:space="preserve">.</w:t>
      </w:r>
    </w:p>
    <w:bookmarkEnd w:id="105"/>
    <w:bookmarkStart w:id="107" w:name="ref-arnoldOptimalRecallPeriod2013"/>
    <w:p>
      <w:pPr>
        <w:pStyle w:val="Bibliography"/>
      </w:pPr>
      <w:r>
        <w:t xml:space="preserve">38</w:t>
      </w:r>
      <w:r>
        <w:t xml:space="preserve"> </w:t>
      </w:r>
      <w:r>
        <w:t xml:space="preserve">	</w:t>
      </w:r>
      <w:r>
        <w:t xml:space="preserve">Arnold BF, Galiani S, Ram PK,</w:t>
      </w:r>
      <w:r>
        <w:t xml:space="preserve"> </w:t>
      </w:r>
      <w:r>
        <w:rPr>
          <w:iCs/>
          <w:i/>
        </w:rPr>
        <w:t xml:space="preserve">et al.</w:t>
      </w:r>
      <w:r>
        <w:t xml:space="preserve"> </w:t>
      </w:r>
      <w:hyperlink r:id="rId106">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t xml:space="preserve">2013;</w:t>
      </w:r>
      <w:r>
        <w:t xml:space="preserve"> </w:t>
      </w:r>
      <w:r>
        <w:rPr>
          <w:bCs/>
          <w:b/>
        </w:rPr>
        <w:t xml:space="preserve">177</w:t>
      </w:r>
      <w:r>
        <w:t xml:space="preserve">: 361–70.</w:t>
      </w:r>
    </w:p>
    <w:bookmarkEnd w:id="107"/>
    <w:bookmarkStart w:id="109" w:name="ref-brownStoolBasedPathogenDetection2020"/>
    <w:p>
      <w:pPr>
        <w:pStyle w:val="Bibliography"/>
      </w:pPr>
      <w:r>
        <w:t xml:space="preserve">39</w:t>
      </w:r>
      <w:r>
        <w:t xml:space="preserve"> </w:t>
      </w:r>
      <w:r>
        <w:t xml:space="preserve">	</w:t>
      </w:r>
      <w:r>
        <w:t xml:space="preserve">Brown J,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260–1.</w:t>
      </w:r>
    </w:p>
    <w:bookmarkEnd w:id="109"/>
    <w:bookmarkStart w:id="111" w:name="ref-alfaUVvisibleMarkerConfirms2008"/>
    <w:p>
      <w:pPr>
        <w:pStyle w:val="Bibliography"/>
      </w:pPr>
      <w:r>
        <w:t xml:space="preserve">40</w:t>
      </w:r>
      <w:r>
        <w:t xml:space="preserve"> </w:t>
      </w:r>
      <w:r>
        <w:t xml:space="preserve">	</w:t>
      </w:r>
      <w:r>
        <w:t xml:space="preserve">Alfa MJ, Dueck C, Olson N,</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t xml:space="preserve">2008;</w:t>
      </w:r>
      <w:r>
        <w:t xml:space="preserve"> </w:t>
      </w:r>
      <w:r>
        <w:rPr>
          <w:bCs/>
          <w:b/>
        </w:rPr>
        <w:t xml:space="preserve">8</w:t>
      </w:r>
      <w:r>
        <w:t xml:space="preserve">: 64.</w:t>
      </w:r>
    </w:p>
    <w:bookmarkEnd w:id="111"/>
    <w:bookmarkStart w:id="113" w:name="ref-blackSurvivalRatesParasite1982"/>
    <w:p>
      <w:pPr>
        <w:pStyle w:val="Bibliography"/>
      </w:pPr>
      <w:r>
        <w:t xml:space="preserve">41</w:t>
      </w:r>
      <w:r>
        <w:t xml:space="preserve"> </w:t>
      </w:r>
      <w:r>
        <w:t xml:space="preserve">	</w:t>
      </w:r>
      <w:r>
        <w:t xml:space="preserve">Black MI, Scarpino PV, O’Donnell CJ, Meyer KB, Jones JV, Kaneshiro ES.</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t xml:space="preserve">1982;</w:t>
      </w:r>
      <w:r>
        <w:t xml:space="preserve"> </w:t>
      </w:r>
      <w:r>
        <w:rPr>
          <w:bCs/>
          <w:b/>
        </w:rPr>
        <w:t xml:space="preserve">44</w:t>
      </w:r>
      <w:r>
        <w:t xml:space="preserve">: 1138–43.</w:t>
      </w:r>
    </w:p>
    <w:bookmarkEnd w:id="113"/>
    <w:bookmarkStart w:id="115" w:name="Xdfed2973b4dca25bac7669eac6b426c4d4533b5"/>
    <w:p>
      <w:pPr>
        <w:pStyle w:val="Bibliography"/>
      </w:pPr>
      <w:r>
        <w:t xml:space="preserve">42</w:t>
      </w:r>
      <w:r>
        <w:t xml:space="preserve"> </w:t>
      </w:r>
      <w:r>
        <w:t xml:space="preserve">	</w:t>
      </w:r>
      <w:r>
        <w:t xml:space="preserve">Byappanahalli M, Fujioka R. Evidence that tropical soil environment can support the growth of</w:t>
      </w:r>
      <w:r>
        <w:t xml:space="preserve"> </w:t>
      </w:r>
      <w:r>
        <w:t xml:space="preserve">Escherichia</w:t>
      </w:r>
      <w:r>
        <w:t xml:space="preserve"> </w:t>
      </w:r>
      <w:r>
        <w:t xml:space="preserve">coli. 1998. DOI:</w:t>
      </w:r>
      <w:hyperlink r:id="rId114">
        <w:r>
          <w:rPr>
            <w:rStyle w:val="Hyperlink"/>
          </w:rPr>
          <w:t xml:space="preserve">10.1016/S0273-1223(98)00820-8</w:t>
        </w:r>
      </w:hyperlink>
      <w:r>
        <w:t xml:space="preserve">.</w:t>
      </w:r>
    </w:p>
    <w:bookmarkEnd w:id="115"/>
    <w:bookmarkStart w:id="117" w:name="ref-kotloffBurdenAetiologyDiarrhoeal2013"/>
    <w:p>
      <w:pPr>
        <w:pStyle w:val="Bibliography"/>
      </w:pPr>
      <w:r>
        <w:t xml:space="preserve">43</w:t>
      </w:r>
      <w:r>
        <w:t xml:space="preserve"> </w:t>
      </w:r>
      <w:r>
        <w:t xml:space="preserve">	</w:t>
      </w:r>
      <w:r>
        <w:t xml:space="preserve">Kotloff KL, Nataro JP, Blackwelder WC,</w:t>
      </w:r>
      <w:r>
        <w:t xml:space="preserve"> </w:t>
      </w:r>
      <w:r>
        <w:rPr>
          <w:iCs/>
          <w:i/>
        </w:rPr>
        <w:t xml:space="preserve">et al.</w:t>
      </w:r>
      <w:r>
        <w:t xml:space="preserve"> </w:t>
      </w:r>
      <w:hyperlink r:id="rId116">
        <w:r>
          <w:rPr>
            <w:rStyle w:val="Hyperlink"/>
          </w:rPr>
          <w:t xml:space="preserve">Burden and aetiology of diarrhoeal disease in infants and young children in developing countries (the</w:t>
        </w:r>
        <w:r>
          <w:rPr>
            <w:rStyle w:val="Hyperlink"/>
          </w:rPr>
          <w:t xml:space="preserve"> </w:t>
        </w:r>
        <w:r>
          <w:rPr>
            <w:rStyle w:val="Hyperlink"/>
          </w:rPr>
          <w:t xml:space="preserve">Global Enteric Multicenter Study</w:t>
        </w:r>
        <w:r>
          <w:rPr>
            <w:rStyle w:val="Hyperlink"/>
          </w:rPr>
          <w:t xml:space="preserve">,</w:t>
        </w:r>
        <w:r>
          <w:rPr>
            <w:rStyle w:val="Hyperlink"/>
          </w:rPr>
          <w:t xml:space="preserve"> </w:t>
        </w:r>
        <w:r>
          <w:rPr>
            <w:rStyle w:val="Hyperlink"/>
          </w:rPr>
          <w:t xml:space="preserve">GEMS</w:t>
        </w:r>
        <w:r>
          <w:rPr>
            <w:rStyle w:val="Hyperlink"/>
          </w:rPr>
          <w:t xml:space="preserve">): A prospective, case-control study</w:t>
        </w:r>
      </w:hyperlink>
      <w:r>
        <w:t xml:space="preserve">.</w:t>
      </w:r>
      <w:r>
        <w:t xml:space="preserve"> </w:t>
      </w:r>
      <w:r>
        <w:rPr>
          <w:iCs/>
          <w:i/>
        </w:rPr>
        <w:t xml:space="preserve">The Lancet</w:t>
      </w:r>
      <w:r>
        <w:t xml:space="preserve"> </w:t>
      </w:r>
      <w:r>
        <w:t xml:space="preserve">2013;</w:t>
      </w:r>
      <w:r>
        <w:t xml:space="preserve"> </w:t>
      </w:r>
      <w:r>
        <w:rPr>
          <w:bCs/>
          <w:b/>
        </w:rPr>
        <w:t xml:space="preserve">382</w:t>
      </w:r>
      <w:r>
        <w:t xml:space="preserve">: 209–22.</w:t>
      </w:r>
    </w:p>
    <w:bookmarkEnd w:id="117"/>
    <w:bookmarkStart w:id="119" w:name="ref-khurooASCARIASIS1996"/>
    <w:p>
      <w:pPr>
        <w:pStyle w:val="Bibliography"/>
      </w:pPr>
      <w:r>
        <w:t xml:space="preserve">44</w:t>
      </w:r>
      <w:r>
        <w:t xml:space="preserve"> </w:t>
      </w:r>
      <w:r>
        <w:t xml:space="preserve">	</w:t>
      </w:r>
      <w:r>
        <w:t xml:space="preserve">Khuroo MS.</w:t>
      </w:r>
      <w:r>
        <w:t xml:space="preserve"> </w:t>
      </w:r>
      <w:hyperlink r:id="rId118">
        <w:r>
          <w:rPr>
            <w:rStyle w:val="Hyperlink"/>
          </w:rPr>
          <w:t xml:space="preserve">ASCARIASIS</w:t>
        </w:r>
      </w:hyperlink>
      <w:r>
        <w:t xml:space="preserve">.</w:t>
      </w:r>
      <w:r>
        <w:t xml:space="preserve"> </w:t>
      </w:r>
      <w:r>
        <w:rPr>
          <w:iCs/>
          <w:i/>
        </w:rPr>
        <w:t xml:space="preserve">Gastroenterology Clinics of North America</w:t>
      </w:r>
      <w:r>
        <w:t xml:space="preserve"> </w:t>
      </w:r>
      <w:r>
        <w:t xml:space="preserve">1996;</w:t>
      </w:r>
      <w:r>
        <w:t xml:space="preserve"> </w:t>
      </w:r>
      <w:r>
        <w:rPr>
          <w:bCs/>
          <w:b/>
        </w:rPr>
        <w:t xml:space="preserve">25</w:t>
      </w:r>
      <w:r>
        <w:t xml:space="preserve">: 553–77.</w:t>
      </w:r>
    </w:p>
    <w:bookmarkEnd w:id="119"/>
    <w:bookmarkStart w:id="121" w:name="ref-ahmedCurrentStatusMarker2016"/>
    <w:p>
      <w:pPr>
        <w:pStyle w:val="Bibliography"/>
      </w:pPr>
      <w:r>
        <w:t xml:space="preserve">45</w:t>
      </w:r>
      <w:r>
        <w:t xml:space="preserve"> </w:t>
      </w:r>
      <w:r>
        <w:t xml:space="preserve">	</w:t>
      </w:r>
      <w:r>
        <w:t xml:space="preserve">Ahmed W, Hughes B, Harwood VJ.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t xml:space="preserve">2016;</w:t>
      </w:r>
      <w:r>
        <w:t xml:space="preserve"> </w:t>
      </w:r>
      <w:r>
        <w:rPr>
          <w:bCs/>
          <w:b/>
        </w:rPr>
        <w:t xml:space="preserve">8</w:t>
      </w:r>
      <w:r>
        <w:t xml:space="preserve">: 231.</w:t>
      </w:r>
    </w:p>
    <w:bookmarkEnd w:id="121"/>
    <w:bookmarkStart w:id="123" w:name="X8f4bf48b100f335b534f57a0aa587c0a4ee0d9a"/>
    <w:p>
      <w:pPr>
        <w:pStyle w:val="Bibliography"/>
      </w:pPr>
      <w:r>
        <w:t xml:space="preserve">46</w:t>
      </w:r>
      <w:r>
        <w:t xml:space="preserve"> </w:t>
      </w:r>
      <w:r>
        <w:t xml:space="preserve">	</w:t>
      </w:r>
      <w:r>
        <w:t xml:space="preserve">Reischer GH, Ebdon JE, Bauer JM,</w:t>
      </w:r>
      <w:r>
        <w:t xml:space="preserve"> </w:t>
      </w:r>
      <w:r>
        <w:rPr>
          <w:iCs/>
          <w:i/>
        </w:rPr>
        <w:t xml:space="preserve">et al.</w:t>
      </w:r>
      <w:r>
        <w:t xml:space="preserve"> </w:t>
      </w:r>
      <w:hyperlink r:id="rId122">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t xml:space="preserve">2013;</w:t>
      </w:r>
      <w:r>
        <w:t xml:space="preserve"> </w:t>
      </w:r>
      <w:r>
        <w:rPr>
          <w:bCs/>
          <w:b/>
        </w:rPr>
        <w:t xml:space="preserve">47</w:t>
      </w:r>
      <w:r>
        <w:t xml:space="preserve">: 8548–56.</w:t>
      </w:r>
    </w:p>
    <w:bookmarkEnd w:id="123"/>
    <w:bookmarkStart w:id="125" w:name="Xe1c8834819d06a0c30d8ca86a994cb457d93554"/>
    <w:p>
      <w:pPr>
        <w:pStyle w:val="Bibliography"/>
      </w:pPr>
      <w:r>
        <w:t xml:space="preserve">47</w:t>
      </w:r>
      <w:r>
        <w:t xml:space="preserve"> </w:t>
      </w:r>
      <w:r>
        <w:t xml:space="preserve">	</w:t>
      </w:r>
      <w:r>
        <w:t xml:space="preserve">Odagiri M, Schriewer A, Hanley K,</w:t>
      </w:r>
      <w:r>
        <w:t xml:space="preserve"> </w:t>
      </w:r>
      <w:r>
        <w:rPr>
          <w:iCs/>
          <w:i/>
        </w:rPr>
        <w:t xml:space="preserve">et al.</w:t>
      </w:r>
      <w:r>
        <w:t xml:space="preserve"> </w:t>
      </w:r>
      <w:hyperlink r:id="rId124">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t xml:space="preserve">2015;</w:t>
      </w:r>
      <w:r>
        <w:t xml:space="preserve"> </w:t>
      </w:r>
      <w:r>
        <w:rPr>
          <w:bCs/>
          <w:b/>
        </w:rPr>
        <w:t xml:space="preserve">502</w:t>
      </w:r>
      <w:r>
        <w:t xml:space="preserve">: 462–70.</w:t>
      </w:r>
    </w:p>
    <w:bookmarkEnd w:id="125"/>
    <w:bookmarkStart w:id="127" w:name="X3ba82e295fb5e7aa742c64bd8d9a3e519bd4195"/>
    <w:p>
      <w:pPr>
        <w:pStyle w:val="Bibliography"/>
      </w:pPr>
      <w:r>
        <w:t xml:space="preserve">48</w:t>
      </w:r>
      <w:r>
        <w:t xml:space="preserve"> </w:t>
      </w:r>
      <w:r>
        <w:t xml:space="preserve">	</w:t>
      </w:r>
      <w:r>
        <w:t xml:space="preserve">Ercumen A, Prottas C, Harris A, Dioguardi A, Dowd G, Guiteras R.</w:t>
      </w:r>
      <w:r>
        <w:t xml:space="preserve"> </w:t>
      </w:r>
      <w:hyperlink r:id="rId126">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t xml:space="preserve">2020;</w:t>
      </w:r>
      <w:r>
        <w:t xml:space="preserve"> </w:t>
      </w:r>
      <w:r>
        <w:rPr>
          <w:bCs/>
          <w:b/>
        </w:rPr>
        <w:t xml:space="preserve">102</w:t>
      </w:r>
      <w:r>
        <w:t xml:space="preserve">: 526–33.</w:t>
      </w:r>
    </w:p>
    <w:bookmarkEnd w:id="127"/>
    <w:bookmarkStart w:id="129" w:name="ref-georgeChildMouthingFeces2021"/>
    <w:p>
      <w:pPr>
        <w:pStyle w:val="Bibliography"/>
      </w:pPr>
      <w:r>
        <w:t xml:space="preserve">49</w:t>
      </w:r>
      <w:r>
        <w:t xml:space="preserve"> </w:t>
      </w:r>
      <w:r>
        <w:t xml:space="preserve">	</w:t>
      </w:r>
      <w:r>
        <w:t xml:space="preserve">George CM, Cirhuza LB, Kuhl J,</w:t>
      </w:r>
      <w:r>
        <w:t xml:space="preserve"> </w:t>
      </w:r>
      <w:r>
        <w:rPr>
          <w:iCs/>
          <w:i/>
        </w:rPr>
        <w:t xml:space="preserve">et al.</w:t>
      </w:r>
      <w:r>
        <w:t xml:space="preserve"> </w:t>
      </w:r>
      <w:hyperlink r:id="rId128">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t xml:space="preserve">2021;</w:t>
      </w:r>
      <w:r>
        <w:t xml:space="preserve"> </w:t>
      </w:r>
      <w:r>
        <w:rPr>
          <w:bCs/>
          <w:b/>
        </w:rPr>
        <w:t xml:space="preserve">228</w:t>
      </w:r>
      <w:r>
        <w:t xml:space="preserve">: 110–116.e1.</w:t>
      </w:r>
    </w:p>
    <w:bookmarkEnd w:id="129"/>
    <w:bookmarkStart w:id="131" w:name="ref-georgeFecalMarkersEnvironmental2015"/>
    <w:p>
      <w:pPr>
        <w:pStyle w:val="Bibliography"/>
      </w:pPr>
      <w:r>
        <w:t xml:space="preserve">50</w:t>
      </w:r>
      <w:r>
        <w:t xml:space="preserve"> </w:t>
      </w:r>
      <w:r>
        <w:t xml:space="preserve">	</w:t>
      </w:r>
      <w:r>
        <w:t xml:space="preserve">George CM, Oldja L, Biswas SK,</w:t>
      </w:r>
      <w:r>
        <w:t xml:space="preserve"> </w:t>
      </w:r>
      <w:r>
        <w:rPr>
          <w:iCs/>
          <w:i/>
        </w:rPr>
        <w:t xml:space="preserve">et al.</w:t>
      </w:r>
      <w:r>
        <w:t xml:space="preserve"> </w:t>
      </w:r>
      <w:hyperlink r:id="rId130">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t xml:space="preserve">2015;</w:t>
      </w:r>
      <w:r>
        <w:t xml:space="preserve"> </w:t>
      </w:r>
      <w:r>
        <w:rPr>
          <w:bCs/>
          <w:b/>
        </w:rPr>
        <w:t xml:space="preserve">93</w:t>
      </w:r>
      <w:r>
        <w:t xml:space="preserve">: 269–75.</w:t>
      </w:r>
    </w:p>
    <w:bookmarkEnd w:id="131"/>
    <w:bookmarkStart w:id="133" w:name="ref-zambranoHumanDiarrheaInfections2014"/>
    <w:p>
      <w:pPr>
        <w:pStyle w:val="Bibliography"/>
      </w:pPr>
      <w:r>
        <w:t xml:space="preserve">51</w:t>
      </w:r>
      <w:r>
        <w:t xml:space="preserve"> </w:t>
      </w:r>
      <w:r>
        <w:t xml:space="preserve">	</w:t>
      </w:r>
      <w:r>
        <w:t xml:space="preserve">Zambrano LD, Levy K, Menezes NP, Freeman MC.</w:t>
      </w:r>
      <w:r>
        <w:t xml:space="preserve"> </w:t>
      </w:r>
      <w:hyperlink r:id="rId132">
        <w:r>
          <w:rPr>
            <w:rStyle w:val="Hyperlink"/>
          </w:rPr>
          <w:t xml:space="preserve">Human diarrhea infections associated with domestic animal husbandry: A systematic review and meta-analysis</w:t>
        </w:r>
      </w:hyperlink>
      <w:r>
        <w:t xml:space="preserve">.</w:t>
      </w:r>
      <w:r>
        <w:t xml:space="preserve"> </w:t>
      </w:r>
      <w:r>
        <w:rPr>
          <w:iCs/>
          <w:i/>
        </w:rPr>
        <w:t xml:space="preserve">Transactions of the Royal Society of Tropical Medicine and Hygiene</w:t>
      </w:r>
      <w:r>
        <w:t xml:space="preserve"> </w:t>
      </w:r>
      <w:r>
        <w:t xml:space="preserve">2014;</w:t>
      </w:r>
      <w:r>
        <w:t xml:space="preserve"> </w:t>
      </w:r>
      <w:r>
        <w:rPr>
          <w:bCs/>
          <w:b/>
        </w:rPr>
        <w:t xml:space="preserve">108</w:t>
      </w:r>
      <w:r>
        <w:t xml:space="preserve">: 313–25.</w:t>
      </w:r>
    </w:p>
    <w:bookmarkEnd w:id="133"/>
    <w:bookmarkStart w:id="135" w:name="X27e5f587e6c80eb31b3abd285447339a3880fde"/>
    <w:p>
      <w:pPr>
        <w:pStyle w:val="Bibliography"/>
      </w:pPr>
      <w:r>
        <w:t xml:space="preserve">52</w:t>
      </w:r>
      <w:r>
        <w:t xml:space="preserve"> </w:t>
      </w:r>
      <w:r>
        <w:t xml:space="preserve">	</w:t>
      </w:r>
      <w:r>
        <w:t xml:space="preserve">Grados O, Bravo N, Black RE, Butzler JP.</w:t>
      </w:r>
      <w:r>
        <w:t xml:space="preserve"> </w:t>
      </w:r>
      <w:hyperlink r:id="rId134">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t xml:space="preserve">1988;</w:t>
      </w:r>
      <w:r>
        <w:t xml:space="preserve"> </w:t>
      </w:r>
      <w:r>
        <w:rPr>
          <w:bCs/>
          <w:b/>
        </w:rPr>
        <w:t xml:space="preserve">66</w:t>
      </w:r>
      <w:r>
        <w:t xml:space="preserve">: 369–74.</w:t>
      </w:r>
    </w:p>
    <w:bookmarkEnd w:id="135"/>
    <w:bookmarkStart w:id="137" w:name="X6237623ded5ffd56f795a728338205e5c74de4e"/>
    <w:p>
      <w:pPr>
        <w:pStyle w:val="Bibliography"/>
      </w:pPr>
      <w:r>
        <w:t xml:space="preserve">53</w:t>
      </w:r>
      <w:r>
        <w:t xml:space="preserve"> </w:t>
      </w:r>
      <w:r>
        <w:t xml:space="preserve">	</w:t>
      </w:r>
      <w:r>
        <w:t xml:space="preserve">Haque MA, Platts-Mills JA, Mduma E,</w:t>
      </w:r>
      <w:r>
        <w:t xml:space="preserve"> </w:t>
      </w:r>
      <w:r>
        <w:rPr>
          <w:iCs/>
          <w:i/>
        </w:rPr>
        <w:t xml:space="preserve">et al.</w:t>
      </w:r>
      <w:r>
        <w:t xml:space="preserve"> </w:t>
      </w:r>
      <w:hyperlink r:id="rId136">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t xml:space="preserve">2019;</w:t>
      </w:r>
      <w:r>
        <w:t xml:space="preserve"> </w:t>
      </w:r>
      <w:r>
        <w:rPr>
          <w:bCs/>
          <w:b/>
        </w:rPr>
        <w:t xml:space="preserve">9</w:t>
      </w:r>
      <w:r>
        <w:t xml:space="preserve">: 17124.</w:t>
      </w:r>
    </w:p>
    <w:bookmarkEnd w:id="137"/>
    <w:bookmarkStart w:id="139" w:name="ref-headeyExposurePoultryHarmful2016"/>
    <w:p>
      <w:pPr>
        <w:pStyle w:val="Bibliography"/>
      </w:pPr>
      <w:r>
        <w:t xml:space="preserve">54</w:t>
      </w:r>
      <w:r>
        <w:t xml:space="preserve"> </w:t>
      </w:r>
      <w:r>
        <w:t xml:space="preserve">	</w:t>
      </w:r>
      <w:r>
        <w:t xml:space="preserve">Headey D, Hirvonen K.</w:t>
      </w:r>
      <w:r>
        <w:t xml:space="preserve"> </w:t>
      </w:r>
      <w:hyperlink r:id="rId138">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t xml:space="preserve">2016;</w:t>
      </w:r>
      <w:r>
        <w:t xml:space="preserve"> </w:t>
      </w:r>
      <w:r>
        <w:rPr>
          <w:bCs/>
          <w:b/>
        </w:rPr>
        <w:t xml:space="preserve">11</w:t>
      </w:r>
      <w:r>
        <w:t xml:space="preserve">: e0160590.</w:t>
      </w:r>
    </w:p>
    <w:bookmarkEnd w:id="139"/>
    <w:bookmarkStart w:id="141" w:name="X68f4979cb9354f36269d5b8bd65ef82bf51876f"/>
    <w:p>
      <w:pPr>
        <w:pStyle w:val="Bibliography"/>
      </w:pPr>
      <w:r>
        <w:t xml:space="preserve">55</w:t>
      </w:r>
      <w:r>
        <w:t xml:space="preserve"> </w:t>
      </w:r>
      <w:r>
        <w:t xml:space="preserve">	</w:t>
      </w:r>
      <w:r>
        <w:t xml:space="preserve">Griffith JF, Weisberg SB, Arnold BF, Cao Y, Schiff KC, Colford JM.</w:t>
      </w:r>
      <w:r>
        <w:t xml:space="preserve"> </w:t>
      </w:r>
      <w:hyperlink r:id="rId140">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t xml:space="preserve">2016;</w:t>
      </w:r>
      <w:r>
        <w:t xml:space="preserve"> </w:t>
      </w:r>
      <w:r>
        <w:rPr>
          <w:bCs/>
          <w:b/>
        </w:rPr>
        <w:t xml:space="preserve">94</w:t>
      </w:r>
      <w:r>
        <w:t xml:space="preserve">: 371–81.</w:t>
      </w:r>
    </w:p>
    <w:bookmarkEnd w:id="141"/>
    <w:bookmarkStart w:id="143" w:name="ref-odagiriHumanFecalPathogen2016"/>
    <w:p>
      <w:pPr>
        <w:pStyle w:val="Bibliography"/>
      </w:pPr>
      <w:r>
        <w:t xml:space="preserve">56</w:t>
      </w:r>
      <w:r>
        <w:t xml:space="preserve"> </w:t>
      </w:r>
      <w:r>
        <w:t xml:space="preserve">	</w:t>
      </w:r>
      <w:r>
        <w:t xml:space="preserve">Odagiri M, Schriewer A, Daniels ME,</w:t>
      </w:r>
      <w:r>
        <w:t xml:space="preserve"> </w:t>
      </w:r>
      <w:r>
        <w:rPr>
          <w:iCs/>
          <w:i/>
        </w:rPr>
        <w:t xml:space="preserve">et al.</w:t>
      </w:r>
      <w:r>
        <w:t xml:space="preserve"> </w:t>
      </w:r>
      <w:hyperlink r:id="rId142">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t xml:space="preserve">2016;</w:t>
      </w:r>
      <w:r>
        <w:t xml:space="preserve"> </w:t>
      </w:r>
      <w:r>
        <w:rPr>
          <w:bCs/>
          <w:b/>
        </w:rPr>
        <w:t xml:space="preserve">100</w:t>
      </w:r>
      <w:r>
        <w:t xml:space="preserve">: 232–44.</w:t>
      </w:r>
    </w:p>
    <w:bookmarkEnd w:id="143"/>
    <w:bookmarkStart w:id="145" w:name="X57fb6a9a0467e0563a528599200f7c49a1040ef"/>
    <w:p>
      <w:pPr>
        <w:pStyle w:val="Bibliography"/>
      </w:pPr>
      <w:r>
        <w:t xml:space="preserve">57</w:t>
      </w:r>
      <w:r>
        <w:t xml:space="preserve"> </w:t>
      </w:r>
      <w:r>
        <w:t xml:space="preserve">	</w:t>
      </w:r>
      <w:r>
        <w:t xml:space="preserve">Hodge J, Chang HH, Boisson S, Collin SM, Peletz R, Clasen T.</w:t>
      </w:r>
      <w:r>
        <w:t xml:space="preserve"> </w:t>
      </w:r>
      <w:hyperlink r:id="rId144">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t xml:space="preserve">2016;</w:t>
      </w:r>
      <w:r>
        <w:t xml:space="preserve"> </w:t>
      </w:r>
      <w:r>
        <w:rPr>
          <w:bCs/>
          <w:b/>
        </w:rPr>
        <w:t xml:space="preserve">124</w:t>
      </w:r>
      <w:r>
        <w:t xml:space="preserve">: 1560–7.</w:t>
      </w:r>
    </w:p>
    <w:bookmarkEnd w:id="145"/>
    <w:bookmarkStart w:id="147" w:name="Xff5461ced33daa2db28e576edab0bed3265b0d6"/>
    <w:p>
      <w:pPr>
        <w:pStyle w:val="Bibliography"/>
      </w:pPr>
      <w:r>
        <w:t xml:space="preserve">58</w:t>
      </w:r>
      <w:r>
        <w:t xml:space="preserve"> </w:t>
      </w:r>
      <w:r>
        <w:t xml:space="preserve">	</w:t>
      </w:r>
      <w:r>
        <w:t xml:space="preserve">Boehm AB, Van De Werfhorst LC, Griffith JF,</w:t>
      </w:r>
      <w:r>
        <w:t xml:space="preserve"> </w:t>
      </w:r>
      <w:r>
        <w:rPr>
          <w:iCs/>
          <w:i/>
        </w:rPr>
        <w:t xml:space="preserve">et al.</w:t>
      </w:r>
      <w:r>
        <w:t xml:space="preserve"> </w:t>
      </w:r>
      <w:hyperlink r:id="rId146">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t xml:space="preserve">2013;</w:t>
      </w:r>
      <w:r>
        <w:t xml:space="preserve"> </w:t>
      </w:r>
      <w:r>
        <w:rPr>
          <w:bCs/>
          <w:b/>
        </w:rPr>
        <w:t xml:space="preserve">47</w:t>
      </w:r>
      <w:r>
        <w:t xml:space="preserve">: 6812–28.</w:t>
      </w:r>
    </w:p>
    <w:bookmarkEnd w:id="147"/>
    <w:bookmarkStart w:id="149" w:name="ref-levyDriversWaterQuality2009"/>
    <w:p>
      <w:pPr>
        <w:pStyle w:val="Bibliography"/>
      </w:pPr>
      <w:r>
        <w:t xml:space="preserve">59</w:t>
      </w:r>
      <w:r>
        <w:t xml:space="preserve"> </w:t>
      </w:r>
      <w:r>
        <w:t xml:space="preserve">	</w:t>
      </w:r>
      <w:r>
        <w:t xml:space="preserve">Levy K, Hubbard AE, Nelson KL, Eisenberg JNS.</w:t>
      </w:r>
      <w:r>
        <w:t xml:space="preserve"> </w:t>
      </w:r>
      <w:hyperlink r:id="rId148">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t xml:space="preserve">2009;</w:t>
      </w:r>
      <w:r>
        <w:t xml:space="preserve"> </w:t>
      </w:r>
      <w:r>
        <w:rPr>
          <w:bCs/>
          <w:b/>
        </w:rPr>
        <w:t xml:space="preserve">43</w:t>
      </w:r>
      <w:r>
        <w:t xml:space="preserve">: 1788–97.</w:t>
      </w:r>
    </w:p>
    <w:bookmarkEnd w:id="149"/>
    <w:bookmarkStart w:id="151" w:name="ref-ramVariabilityHandContamination2011"/>
    <w:p>
      <w:pPr>
        <w:pStyle w:val="Bibliography"/>
      </w:pPr>
      <w:r>
        <w:t xml:space="preserve">60</w:t>
      </w:r>
      <w:r>
        <w:t xml:space="preserve"> </w:t>
      </w:r>
      <w:r>
        <w:t xml:space="preserve">	</w:t>
      </w:r>
      <w:r>
        <w:t xml:space="preserve">Ram PK, Jahid I, Halder AK,</w:t>
      </w:r>
      <w:r>
        <w:t xml:space="preserve"> </w:t>
      </w:r>
      <w:r>
        <w:rPr>
          <w:iCs/>
          <w:i/>
        </w:rPr>
        <w:t xml:space="preserve">et al.</w:t>
      </w:r>
      <w:r>
        <w:t xml:space="preserve"> </w:t>
      </w:r>
      <w:hyperlink r:id="rId150">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t xml:space="preserve">2011;</w:t>
      </w:r>
      <w:r>
        <w:t xml:space="preserve"> </w:t>
      </w:r>
      <w:r>
        <w:rPr>
          <w:bCs/>
          <w:b/>
        </w:rPr>
        <w:t xml:space="preserve">84</w:t>
      </w:r>
      <w:r>
        <w:t xml:space="preserve">: 510–6.</w:t>
      </w:r>
    </w:p>
    <w:bookmarkEnd w:id="151"/>
    <w:bookmarkStart w:id="153" w:name="ref-wadeHealthRisksChildren2022"/>
    <w:p>
      <w:pPr>
        <w:pStyle w:val="Bibliography"/>
      </w:pPr>
      <w:r>
        <w:t xml:space="preserve">61</w:t>
      </w:r>
      <w:r>
        <w:t xml:space="preserve"> </w:t>
      </w:r>
      <w:r>
        <w:t xml:space="preserve">	</w:t>
      </w:r>
      <w:r>
        <w:t xml:space="preserve">Wade TJ, Arnold BF, Schiff K,</w:t>
      </w:r>
      <w:r>
        <w:t xml:space="preserve"> </w:t>
      </w:r>
      <w:r>
        <w:rPr>
          <w:iCs/>
          <w:i/>
        </w:rPr>
        <w:t xml:space="preserve">et al.</w:t>
      </w:r>
      <w:r>
        <w:t xml:space="preserve"> </w:t>
      </w:r>
      <w:hyperlink r:id="rId152">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t xml:space="preserve">2022;</w:t>
      </w:r>
      <w:r>
        <w:t xml:space="preserve"> </w:t>
      </w:r>
      <w:r>
        <w:rPr>
          <w:bCs/>
          <w:b/>
        </w:rPr>
        <w:t xml:space="preserve">17</w:t>
      </w:r>
      <w:r>
        <w:t xml:space="preserve">: e0266749.</w:t>
      </w:r>
    </w:p>
    <w:bookmarkEnd w:id="153"/>
    <w:bookmarkStart w:id="155" w:name="X474a11941f8014983166b9eb14a24e6711c6d24"/>
    <w:p>
      <w:pPr>
        <w:pStyle w:val="Bibliography"/>
      </w:pPr>
      <w:r>
        <w:t xml:space="preserve">62</w:t>
      </w:r>
      <w:r>
        <w:t xml:space="preserve"> </w:t>
      </w:r>
      <w:r>
        <w:t xml:space="preserve">	</w:t>
      </w:r>
      <w:r>
        <w:t xml:space="preserve">Goddard FGB, Ban R, Barr DB,</w:t>
      </w:r>
      <w:r>
        <w:t xml:space="preserve"> </w:t>
      </w:r>
      <w:r>
        <w:rPr>
          <w:iCs/>
          <w:i/>
        </w:rPr>
        <w:t xml:space="preserve">et al.</w:t>
      </w:r>
      <w:r>
        <w:t xml:space="preserve"> </w:t>
      </w:r>
      <w:hyperlink r:id="rId154">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t xml:space="preserve">2020;</w:t>
      </w:r>
      <w:r>
        <w:t xml:space="preserve"> </w:t>
      </w:r>
      <w:r>
        <w:rPr>
          <w:bCs/>
          <w:b/>
        </w:rPr>
        <w:t xml:space="preserve">54</w:t>
      </w:r>
      <w:r>
        <w:t xml:space="preserve">: 11673–91.</w:t>
      </w:r>
    </w:p>
    <w:bookmarkEnd w:id="155"/>
    <w:bookmarkStart w:id="157" w:name="ref-kwongHandObjectMouthingRural2016"/>
    <w:p>
      <w:pPr>
        <w:pStyle w:val="Bibliography"/>
      </w:pPr>
      <w:r>
        <w:t xml:space="preserve">63</w:t>
      </w:r>
      <w:r>
        <w:t xml:space="preserve"> </w:t>
      </w:r>
      <w:r>
        <w:t xml:space="preserve">	</w:t>
      </w:r>
      <w:r>
        <w:t xml:space="preserve">Kwong LH, Ercumen A, Pickering AJ, Unicomb L, Davis J, Luby SP.</w:t>
      </w:r>
      <w:r>
        <w:t xml:space="preserve"> </w:t>
      </w:r>
      <w:hyperlink r:id="rId156">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t xml:space="preserve">2016;</w:t>
      </w:r>
      <w:r>
        <w:t xml:space="preserve"> </w:t>
      </w:r>
      <w:r>
        <w:rPr>
          <w:bCs/>
          <w:b/>
        </w:rPr>
        <w:t xml:space="preserve">13</w:t>
      </w:r>
      <w:r>
        <w:t xml:space="preserve">: E563.</w:t>
      </w:r>
    </w:p>
    <w:bookmarkEnd w:id="157"/>
    <w:bookmarkStart w:id="159" w:name="Xe9f896e0fbb222dd76e3cde440d54cee7f0016c"/>
    <w:p>
      <w:pPr>
        <w:pStyle w:val="Bibliography"/>
      </w:pPr>
      <w:r>
        <w:t xml:space="preserve">64</w:t>
      </w:r>
      <w:r>
        <w:t xml:space="preserve"> </w:t>
      </w:r>
      <w:r>
        <w:t xml:space="preserve">	</w:t>
      </w:r>
      <w:r>
        <w:t xml:space="preserve">Kwong LH, Ercumen A, Pickering AJ, Unicomb L, Davis J, Luby SP.</w:t>
      </w:r>
      <w:r>
        <w:t xml:space="preserve"> </w:t>
      </w:r>
      <w:hyperlink r:id="rId158">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t xml:space="preserve">2020;</w:t>
      </w:r>
      <w:r>
        <w:t xml:space="preserve"> </w:t>
      </w:r>
      <w:r>
        <w:rPr>
          <w:bCs/>
          <w:b/>
        </w:rPr>
        <w:t xml:space="preserve">30</w:t>
      </w:r>
      <w:r>
        <w:t xml:space="preserve">: 205–16.</w:t>
      </w:r>
    </w:p>
    <w:bookmarkEnd w:id="159"/>
    <w:bookmarkStart w:id="161" w:name="ref-robbAssessmentFecalExposure2017"/>
    <w:p>
      <w:pPr>
        <w:pStyle w:val="Bibliography"/>
      </w:pPr>
      <w:r>
        <w:t xml:space="preserve">65</w:t>
      </w:r>
      <w:r>
        <w:t xml:space="preserve"> </w:t>
      </w:r>
      <w:r>
        <w:t xml:space="preserve">	</w:t>
      </w:r>
      <w:r>
        <w:t xml:space="preserve">Robb K, Null C, Teunis P, Yakubu H, Armah G, Moe CL.</w:t>
      </w:r>
      <w:r>
        <w:t xml:space="preserve"> </w:t>
      </w:r>
      <w:hyperlink r:id="rId160">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t xml:space="preserve">2017;</w:t>
      </w:r>
      <w:r>
        <w:t xml:space="preserve"> </w:t>
      </w:r>
      <w:r>
        <w:rPr>
          <w:bCs/>
          <w:b/>
        </w:rPr>
        <w:t xml:space="preserve">97</w:t>
      </w:r>
      <w:r>
        <w:t xml:space="preserve">: 1020–32.</w:t>
      </w:r>
    </w:p>
    <w:bookmarkEnd w:id="161"/>
    <w:bookmarkStart w:id="163" w:name="ref-rajSaniPathExposureAssessment2020"/>
    <w:p>
      <w:pPr>
        <w:pStyle w:val="Bibliography"/>
      </w:pPr>
      <w:r>
        <w:t xml:space="preserve">66</w:t>
      </w:r>
      <w:r>
        <w:t xml:space="preserve"> </w:t>
      </w:r>
      <w:r>
        <w:t xml:space="preserve">	</w:t>
      </w:r>
      <w:r>
        <w:t xml:space="preserve">Raj SJ, Wang Y, Yakubu H,</w:t>
      </w:r>
      <w:r>
        <w:t xml:space="preserve"> </w:t>
      </w:r>
      <w:r>
        <w:rPr>
          <w:iCs/>
          <w:i/>
        </w:rPr>
        <w:t xml:space="preserve">et al.</w:t>
      </w:r>
      <w:r>
        <w:t xml:space="preserve"> </w:t>
      </w:r>
      <w:hyperlink r:id="rId162">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t xml:space="preserve">2020;</w:t>
      </w:r>
      <w:r>
        <w:t xml:space="preserve"> </w:t>
      </w:r>
      <w:r>
        <w:rPr>
          <w:bCs/>
          <w:b/>
        </w:rPr>
        <w:t xml:space="preserve">15</w:t>
      </w:r>
      <w:r>
        <w:t xml:space="preserve">: e0234364.</w:t>
      </w:r>
    </w:p>
    <w:bookmarkEnd w:id="163"/>
    <w:bookmarkEnd w:id="164"/>
    <w:bookmarkEnd w:id="165"/>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tox.2530060208"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8"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6" Target="https://doi.org/10.1016/j.watres.2012.12.046" TargetMode="External" /><Relationship Type="http://schemas.openxmlformats.org/officeDocument/2006/relationships/hyperlink" Id="rId140" Target="https://doi.org/10.1016/j.watres.2016.02.036" TargetMode="External" /><Relationship Type="http://schemas.openxmlformats.org/officeDocument/2006/relationships/hyperlink" Id="rId142" Target="https://doi.org/10.1016/j.watres.2016.05.015" TargetMode="External" /><Relationship Type="http://schemas.openxmlformats.org/officeDocument/2006/relationships/hyperlink" Id="rId154"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8" Target="https://doi.org/10.1038/s41370-019-0115-8" TargetMode="External" /><Relationship Type="http://schemas.openxmlformats.org/officeDocument/2006/relationships/hyperlink" Id="rId136"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132" Target="https://doi.org/10.1093/trstmh/tru056"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4"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8" Target="https://doi.org/10.1371/journal.pone.0160590" TargetMode="External" /><Relationship Type="http://schemas.openxmlformats.org/officeDocument/2006/relationships/hyperlink" Id="rId162" Target="https://doi.org/10.1371/journal.pone.0234364" TargetMode="External" /><Relationship Type="http://schemas.openxmlformats.org/officeDocument/2006/relationships/hyperlink" Id="rId152"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6"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0"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0"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4" Target="https://www.ncbi.nlm.nih.gov/pmc/articles/PMC2491135" TargetMode="External" /><Relationship Type="http://schemas.openxmlformats.org/officeDocument/2006/relationships/hyperlink" Id="rId148"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tox.2530060208" TargetMode="External" /><Relationship Type="http://schemas.openxmlformats.org/officeDocument/2006/relationships/hyperlink" Id="rId116" Target="https://doi.org/10.1016/S0140-6736(13)60844-2"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8"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6" Target="https://doi.org/10.1016/j.watres.2012.12.046" TargetMode="External" /><Relationship Type="http://schemas.openxmlformats.org/officeDocument/2006/relationships/hyperlink" Id="rId140" Target="https://doi.org/10.1016/j.watres.2016.02.036" TargetMode="External" /><Relationship Type="http://schemas.openxmlformats.org/officeDocument/2006/relationships/hyperlink" Id="rId142" Target="https://doi.org/10.1016/j.watres.2016.05.015" TargetMode="External" /><Relationship Type="http://schemas.openxmlformats.org/officeDocument/2006/relationships/hyperlink" Id="rId154"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8" Target="https://doi.org/10.1038/s41370-019-0115-8" TargetMode="External" /><Relationship Type="http://schemas.openxmlformats.org/officeDocument/2006/relationships/hyperlink" Id="rId136"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132" Target="https://doi.org/10.1093/trstmh/tru056"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4"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8" Target="https://doi.org/10.1371/journal.pone.0160590" TargetMode="External" /><Relationship Type="http://schemas.openxmlformats.org/officeDocument/2006/relationships/hyperlink" Id="rId162" Target="https://doi.org/10.1371/journal.pone.0234364" TargetMode="External" /><Relationship Type="http://schemas.openxmlformats.org/officeDocument/2006/relationships/hyperlink" Id="rId152"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6"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60"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50"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4" Target="https://www.ncbi.nlm.nih.gov/pmc/articles/PMC2491135" TargetMode="External" /><Relationship Type="http://schemas.openxmlformats.org/officeDocument/2006/relationships/hyperlink" Id="rId148"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2022-08-04T16:27:20Z</dcterms:created>
  <dcterms:modified xsi:type="dcterms:W3CDTF">2022-08-04T16:27:20Z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