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FA1BF" w14:textId="77777777" w:rsidR="00C20595" w:rsidRPr="00C20595" w:rsidRDefault="00C20595" w:rsidP="00C20595">
      <w:pPr>
        <w:spacing w:before="340" w:after="60" w:line="240" w:lineRule="auto"/>
        <w:outlineLvl w:val="0"/>
        <w:rPr>
          <w:rFonts w:ascii="Calibri" w:eastAsia="Calibri" w:hAnsi="Calibri" w:cs="Calibri"/>
          <w:color w:val="2E74B5"/>
          <w:kern w:val="0"/>
          <w:sz w:val="32"/>
          <w:szCs w:val="32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1F3A5F"/>
          <w:kern w:val="0"/>
          <w:sz w:val="30"/>
          <w:szCs w:val="30"/>
          <w:lang w:eastAsia="en-GB"/>
          <w14:ligatures w14:val="none"/>
        </w:rPr>
        <w:t>WP-0  Project Setup &amp; Foundations</w:t>
      </w:r>
    </w:p>
    <w:p w14:paraId="7F9CDF38" w14:textId="77777777" w:rsidR="00C20595" w:rsidRPr="00C20595" w:rsidRDefault="00C20595" w:rsidP="00C20595">
      <w:pPr>
        <w:spacing w:after="12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666666"/>
          <w:kern w:val="0"/>
          <w:sz w:val="19"/>
          <w:szCs w:val="19"/>
          <w:lang w:eastAsia="en-GB"/>
          <w14:ligatures w14:val="none"/>
        </w:rPr>
        <w:t xml:space="preserve">Weeks: </w:t>
      </w:r>
      <w:r w:rsidRPr="00C20595">
        <w:rPr>
          <w:rFonts w:ascii="Calibri" w:eastAsia="Calibri" w:hAnsi="Calibri" w:cs="Calibri"/>
          <w:color w:val="666666"/>
          <w:kern w:val="0"/>
          <w:sz w:val="19"/>
          <w:szCs w:val="19"/>
          <w:lang w:eastAsia="en-GB"/>
          <w14:ligatures w14:val="none"/>
        </w:rPr>
        <w:t xml:space="preserve">Week 1    </w:t>
      </w:r>
      <w:r w:rsidRPr="00C20595">
        <w:rPr>
          <w:rFonts w:ascii="Calibri" w:eastAsia="Calibri" w:hAnsi="Calibri" w:cs="Calibri"/>
          <w:b/>
          <w:bCs/>
          <w:color w:val="666666"/>
          <w:kern w:val="0"/>
          <w:sz w:val="19"/>
          <w:szCs w:val="19"/>
          <w:lang w:eastAsia="en-GB"/>
          <w14:ligatures w14:val="none"/>
        </w:rPr>
        <w:t xml:space="preserve">Track: </w:t>
      </w:r>
      <w:r w:rsidRPr="00C20595">
        <w:rPr>
          <w:rFonts w:ascii="Calibri" w:eastAsia="Calibri" w:hAnsi="Calibri" w:cs="Calibri"/>
          <w:color w:val="666666"/>
          <w:kern w:val="0"/>
          <w:sz w:val="19"/>
          <w:szCs w:val="19"/>
          <w:lang w:eastAsia="en-GB"/>
          <w14:ligatures w14:val="none"/>
        </w:rPr>
        <w:t>Both</w:t>
      </w:r>
    </w:p>
    <w:p w14:paraId="402C6872" w14:textId="77777777" w:rsidR="00C20595" w:rsidRPr="00C20595" w:rsidRDefault="00C20595" w:rsidP="00C20595">
      <w:pPr>
        <w:spacing w:after="12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222222"/>
          <w:kern w:val="0"/>
          <w:sz w:val="21"/>
          <w:szCs w:val="21"/>
          <w:lang w:eastAsia="en-GB"/>
          <w14:ligatures w14:val="none"/>
        </w:rPr>
        <w:t xml:space="preserve">Goal.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A clean, professional repository and working local environment, so that every later package lands on solid ground.</w:t>
      </w:r>
    </w:p>
    <w:p w14:paraId="02AFB60F" w14:textId="77777777" w:rsidR="00C20595" w:rsidRPr="00C20595" w:rsidRDefault="00C20595" w:rsidP="00C20595">
      <w:pPr>
        <w:spacing w:before="120" w:after="6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1F3A5F"/>
          <w:kern w:val="0"/>
          <w:sz w:val="22"/>
          <w:szCs w:val="22"/>
          <w:lang w:eastAsia="en-GB"/>
          <w14:ligatures w14:val="none"/>
        </w:rPr>
        <w:t>Tasks</w:t>
      </w:r>
    </w:p>
    <w:p w14:paraId="29E80C5B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Create your private Git repository; set up main + feature-branch workflow.</w:t>
      </w:r>
    </w:p>
    <w:p w14:paraId="462ECDA9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Add a README describing the project and how to run it locally.</w:t>
      </w:r>
    </w:p>
    <w:p w14:paraId="0C94ABA2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Scaffold the solution structure: separate backend (.NET) and frontend (Angular) projects.</w:t>
      </w:r>
    </w:p>
    <w:p w14:paraId="3E891428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Set up SQL Server locally (or containerized) and confirm connectivity.</w:t>
      </w:r>
    </w:p>
    <w:p w14:paraId="2BD7261D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Add a .gitignore, an .editorconfig, and basic solution conventions.</w:t>
      </w:r>
    </w:p>
    <w:p w14:paraId="77DDE95E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Create AI-USAGE.md with the headers you’ll fill in throughout.</w:t>
      </w:r>
    </w:p>
    <w:p w14:paraId="174EBC41" w14:textId="77777777" w:rsidR="00C20595" w:rsidRPr="00C20595" w:rsidRDefault="00C20595" w:rsidP="00C20595">
      <w:pPr>
        <w:spacing w:before="120" w:after="6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1F3A5F"/>
          <w:kern w:val="0"/>
          <w:sz w:val="22"/>
          <w:szCs w:val="22"/>
          <w:lang w:eastAsia="en-GB"/>
          <w14:ligatures w14:val="none"/>
        </w:rPr>
        <w:t>Acceptance criteria</w:t>
      </w:r>
    </w:p>
    <w:p w14:paraId="4298BBE4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The repo clones and both projects build from a clean checkout following only the README.</w:t>
      </w:r>
    </w:p>
    <w:p w14:paraId="786CEF18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Branch protection or at least an agreed no-direct-to-main convention is in place.</w:t>
      </w:r>
    </w:p>
    <w:p w14:paraId="061D60B0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A database connection is confirmed from the backend.</w:t>
      </w:r>
    </w:p>
    <w:p w14:paraId="3012E1E2" w14:textId="77777777" w:rsidR="00C20595" w:rsidRPr="00C20595" w:rsidRDefault="00C20595" w:rsidP="00C20595">
      <w:pPr>
        <w:spacing w:before="340" w:after="60" w:line="240" w:lineRule="auto"/>
        <w:outlineLvl w:val="0"/>
        <w:rPr>
          <w:rFonts w:ascii="Calibri" w:eastAsia="Calibri" w:hAnsi="Calibri" w:cs="Calibri"/>
          <w:color w:val="2E74B5"/>
          <w:kern w:val="0"/>
          <w:sz w:val="32"/>
          <w:szCs w:val="32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1F3A5F"/>
          <w:kern w:val="0"/>
          <w:sz w:val="30"/>
          <w:szCs w:val="30"/>
          <w:lang w:eastAsia="en-GB"/>
          <w14:ligatures w14:val="none"/>
        </w:rPr>
        <w:t>WP-1  Data Model &amp; Database</w:t>
      </w:r>
    </w:p>
    <w:p w14:paraId="5F705971" w14:textId="77777777" w:rsidR="00C20595" w:rsidRPr="00C20595" w:rsidRDefault="00C20595" w:rsidP="00C20595">
      <w:pPr>
        <w:spacing w:after="12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666666"/>
          <w:kern w:val="0"/>
          <w:sz w:val="19"/>
          <w:szCs w:val="19"/>
          <w:lang w:eastAsia="en-GB"/>
          <w14:ligatures w14:val="none"/>
        </w:rPr>
        <w:t xml:space="preserve">Weeks: </w:t>
      </w:r>
      <w:r w:rsidRPr="00C20595">
        <w:rPr>
          <w:rFonts w:ascii="Calibri" w:eastAsia="Calibri" w:hAnsi="Calibri" w:cs="Calibri"/>
          <w:color w:val="666666"/>
          <w:kern w:val="0"/>
          <w:sz w:val="19"/>
          <w:szCs w:val="19"/>
          <w:lang w:eastAsia="en-GB"/>
          <w14:ligatures w14:val="none"/>
        </w:rPr>
        <w:t xml:space="preserve">Week 1    </w:t>
      </w:r>
      <w:r w:rsidRPr="00C20595">
        <w:rPr>
          <w:rFonts w:ascii="Calibri" w:eastAsia="Calibri" w:hAnsi="Calibri" w:cs="Calibri"/>
          <w:b/>
          <w:bCs/>
          <w:color w:val="666666"/>
          <w:kern w:val="0"/>
          <w:sz w:val="19"/>
          <w:szCs w:val="19"/>
          <w:lang w:eastAsia="en-GB"/>
          <w14:ligatures w14:val="none"/>
        </w:rPr>
        <w:t xml:space="preserve">Track: </w:t>
      </w:r>
      <w:r w:rsidRPr="00C20595">
        <w:rPr>
          <w:rFonts w:ascii="Calibri" w:eastAsia="Calibri" w:hAnsi="Calibri" w:cs="Calibri"/>
          <w:color w:val="666666"/>
          <w:kern w:val="0"/>
          <w:sz w:val="19"/>
          <w:szCs w:val="19"/>
          <w:lang w:eastAsia="en-GB"/>
          <w14:ligatures w14:val="none"/>
        </w:rPr>
        <w:t>Backend</w:t>
      </w:r>
    </w:p>
    <w:p w14:paraId="742422AF" w14:textId="77777777" w:rsidR="00C20595" w:rsidRPr="00C20595" w:rsidRDefault="00C20595" w:rsidP="00C20595">
      <w:pPr>
        <w:spacing w:after="12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222222"/>
          <w:kern w:val="0"/>
          <w:sz w:val="21"/>
          <w:szCs w:val="21"/>
          <w:lang w:eastAsia="en-GB"/>
          <w14:ligatures w14:val="none"/>
        </w:rPr>
        <w:t xml:space="preserve">Goal.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The relational model that every later feature depends on. This is the single highest-leverage design you’ll make — design for what’s coming, not just for today.</w:t>
      </w:r>
    </w:p>
    <w:p w14:paraId="29537D3A" w14:textId="77777777" w:rsidR="00C20595" w:rsidRPr="00C20595" w:rsidRDefault="00C20595" w:rsidP="00C20595">
      <w:pPr>
        <w:spacing w:before="120" w:after="6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1F3A5F"/>
          <w:kern w:val="0"/>
          <w:sz w:val="22"/>
          <w:szCs w:val="22"/>
          <w:lang w:eastAsia="en-GB"/>
          <w14:ligatures w14:val="none"/>
        </w:rPr>
        <w:t>Tasks</w:t>
      </w:r>
    </w:p>
    <w:p w14:paraId="02F7D20C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Model the core entities: Tenant, User, Resource, AvailabilityWindow, BlackoutPeriod, Booking, RecurrenceRule, ApprovalRequest.</w:t>
      </w:r>
    </w:p>
    <w:p w14:paraId="7841BDC5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Define relationships, keys, and the constraints that protect data integrity.</w:t>
      </w:r>
    </w:p>
    <w:p w14:paraId="0D1A1D3E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Decide how tenancy is represented on every ownable entity.</w:t>
      </w:r>
    </w:p>
    <w:p w14:paraId="3DE08281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Plan indexing for the queries you know are coming (availability lookups, booking overlap checks).</w:t>
      </w:r>
    </w:p>
    <w:p w14:paraId="68FB646E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Produce an ERD and write the initial migrations + seed data.</w:t>
      </w:r>
    </w:p>
    <w:p w14:paraId="0F48BA70" w14:textId="77777777" w:rsidR="00C20595" w:rsidRPr="00C20595" w:rsidRDefault="00C20595" w:rsidP="00C20595">
      <w:pPr>
        <w:pBdr>
          <w:left w:val="single" w:sz="18" w:space="8" w:color="9B3B0F"/>
        </w:pBdr>
        <w:spacing w:before="80" w:after="80" w:line="240" w:lineRule="auto"/>
        <w:ind w:left="20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9B3B0F"/>
          <w:kern w:val="0"/>
          <w:sz w:val="19"/>
          <w:szCs w:val="19"/>
          <w:lang w:eastAsia="en-GB"/>
          <w14:ligatures w14:val="none"/>
        </w:rPr>
        <w:t xml:space="preserve">HARD PROBLEM  </w:t>
      </w:r>
      <w:r w:rsidRPr="00C20595">
        <w:rPr>
          <w:rFonts w:ascii="Calibri" w:eastAsia="Calibri" w:hAnsi="Calibri" w:cs="Calibri"/>
          <w:color w:val="222222"/>
          <w:kern w:val="0"/>
          <w:sz w:val="20"/>
          <w:szCs w:val="20"/>
          <w:lang w:eastAsia="en-GB"/>
          <w14:ligatures w14:val="none"/>
        </w:rPr>
        <w:t>Your model must be able to express recurring bookings and per-tenant isolation before you build either. If it can’t, you’ll pay for it every week after. Think this through now.</w:t>
      </w:r>
    </w:p>
    <w:p w14:paraId="7425126E" w14:textId="77777777" w:rsidR="00C20595" w:rsidRPr="00C20595" w:rsidRDefault="00C20595" w:rsidP="00C20595">
      <w:pPr>
        <w:spacing w:before="120" w:after="6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1F3A5F"/>
          <w:kern w:val="0"/>
          <w:sz w:val="22"/>
          <w:szCs w:val="22"/>
          <w:lang w:eastAsia="en-GB"/>
          <w14:ligatures w14:val="none"/>
        </w:rPr>
        <w:t>Acceptance criteria</w:t>
      </w:r>
    </w:p>
    <w:p w14:paraId="4D410B8F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An ERD exists and is presented at the Week 1 design review before any application code is written.</w:t>
      </w:r>
    </w:p>
    <w:p w14:paraId="536541B1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Migrations run cleanly and seed a realistic multi-tenant dataset.</w:t>
      </w:r>
    </w:p>
    <w:p w14:paraId="6E960DD9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The model can represent a two-year weekly recurring booking without a redesign.</w:t>
      </w:r>
    </w:p>
    <w:p w14:paraId="0D9E22EA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Every ownable entity is unambiguously tied to a tenant.</w:t>
      </w:r>
    </w:p>
    <w:p w14:paraId="06AE1FD6" w14:textId="77777777" w:rsidR="00C20595" w:rsidRPr="00C20595" w:rsidRDefault="00C20595" w:rsidP="00C20595">
      <w:pPr>
        <w:spacing w:after="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  <w:br w:type="page"/>
      </w:r>
    </w:p>
    <w:p w14:paraId="61080A64" w14:textId="77777777" w:rsidR="00C20595" w:rsidRPr="00C20595" w:rsidRDefault="00C20595" w:rsidP="00C20595">
      <w:pPr>
        <w:spacing w:before="340" w:after="60" w:line="240" w:lineRule="auto"/>
        <w:outlineLvl w:val="0"/>
        <w:rPr>
          <w:rFonts w:ascii="Calibri" w:eastAsia="Calibri" w:hAnsi="Calibri" w:cs="Calibri"/>
          <w:color w:val="2E74B5"/>
          <w:kern w:val="0"/>
          <w:sz w:val="32"/>
          <w:szCs w:val="32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1F3A5F"/>
          <w:kern w:val="0"/>
          <w:sz w:val="30"/>
          <w:szCs w:val="30"/>
          <w:lang w:eastAsia="en-GB"/>
          <w14:ligatures w14:val="none"/>
        </w:rPr>
        <w:lastRenderedPageBreak/>
        <w:t>WP-2  Backend Skeleton, Auth &amp; Tenancy</w:t>
      </w:r>
    </w:p>
    <w:p w14:paraId="0C837A45" w14:textId="77777777" w:rsidR="00C20595" w:rsidRPr="00C20595" w:rsidRDefault="00C20595" w:rsidP="00C20595">
      <w:pPr>
        <w:spacing w:after="12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666666"/>
          <w:kern w:val="0"/>
          <w:sz w:val="19"/>
          <w:szCs w:val="19"/>
          <w:lang w:eastAsia="en-GB"/>
          <w14:ligatures w14:val="none"/>
        </w:rPr>
        <w:t xml:space="preserve">Weeks: </w:t>
      </w:r>
      <w:r w:rsidRPr="00C20595">
        <w:rPr>
          <w:rFonts w:ascii="Calibri" w:eastAsia="Calibri" w:hAnsi="Calibri" w:cs="Calibri"/>
          <w:color w:val="666666"/>
          <w:kern w:val="0"/>
          <w:sz w:val="19"/>
          <w:szCs w:val="19"/>
          <w:lang w:eastAsia="en-GB"/>
          <w14:ligatures w14:val="none"/>
        </w:rPr>
        <w:t xml:space="preserve">Week 2    </w:t>
      </w:r>
      <w:r w:rsidRPr="00C20595">
        <w:rPr>
          <w:rFonts w:ascii="Calibri" w:eastAsia="Calibri" w:hAnsi="Calibri" w:cs="Calibri"/>
          <w:b/>
          <w:bCs/>
          <w:color w:val="666666"/>
          <w:kern w:val="0"/>
          <w:sz w:val="19"/>
          <w:szCs w:val="19"/>
          <w:lang w:eastAsia="en-GB"/>
          <w14:ligatures w14:val="none"/>
        </w:rPr>
        <w:t xml:space="preserve">Track: </w:t>
      </w:r>
      <w:r w:rsidRPr="00C20595">
        <w:rPr>
          <w:rFonts w:ascii="Calibri" w:eastAsia="Calibri" w:hAnsi="Calibri" w:cs="Calibri"/>
          <w:color w:val="666666"/>
          <w:kern w:val="0"/>
          <w:sz w:val="19"/>
          <w:szCs w:val="19"/>
          <w:lang w:eastAsia="en-GB"/>
          <w14:ligatures w14:val="none"/>
        </w:rPr>
        <w:t>Backend</w:t>
      </w:r>
    </w:p>
    <w:p w14:paraId="2AF657AC" w14:textId="77777777" w:rsidR="00C20595" w:rsidRPr="00C20595" w:rsidRDefault="00C20595" w:rsidP="00C20595">
      <w:pPr>
        <w:spacing w:after="12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222222"/>
          <w:kern w:val="0"/>
          <w:sz w:val="21"/>
          <w:szCs w:val="21"/>
          <w:lang w:eastAsia="en-GB"/>
          <w14:ligatures w14:val="none"/>
        </w:rPr>
        <w:t xml:space="preserve">Goal.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A layered backend with real authentication, tenant isolation, and the cross-cutting foundations — logging, error handling, and request dispatch — wired in from the start. Everything you build after this package uses these, so they have to be right early.</w:t>
      </w:r>
    </w:p>
    <w:p w14:paraId="478E3A93" w14:textId="77777777" w:rsidR="00C20595" w:rsidRPr="00C20595" w:rsidRDefault="00C20595" w:rsidP="00C20595">
      <w:pPr>
        <w:spacing w:before="120" w:after="6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1F3A5F"/>
          <w:kern w:val="0"/>
          <w:sz w:val="22"/>
          <w:szCs w:val="22"/>
          <w:lang w:eastAsia="en-GB"/>
          <w14:ligatures w14:val="none"/>
        </w:rPr>
        <w:t>Tasks — architecture &amp; auth</w:t>
      </w:r>
    </w:p>
    <w:p w14:paraId="3669F21E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Establish layered architecture: API / application / domain / infrastructure.</w:t>
      </w:r>
    </w:p>
    <w:p w14:paraId="197A4523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Wire EF Core to the WP-1 schema.</w:t>
      </w:r>
    </w:p>
    <w:p w14:paraId="02BB1A33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Implement credential login issuing a short-lived access token + rotating refresh token.</w:t>
      </w:r>
    </w:p>
    <w:p w14:paraId="5EE8B8C5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Implement refresh-token rotation and reuse detection.</w:t>
      </w:r>
    </w:p>
    <w:p w14:paraId="210537C9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Implement role-based access control (SysAdmin, TenantAdmin, Approver, Member).</w:t>
      </w:r>
    </w:p>
    <w:p w14:paraId="6039D8CF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Enforce tenant isolation structurally, so it can’t be forgotten per-query.</w:t>
      </w:r>
    </w:p>
    <w:p w14:paraId="263F5F48" w14:textId="77777777" w:rsidR="00C20595" w:rsidRPr="00C20595" w:rsidRDefault="00C20595" w:rsidP="00C20595">
      <w:pPr>
        <w:pBdr>
          <w:left w:val="single" w:sz="18" w:space="8" w:color="9B3B0F"/>
        </w:pBdr>
        <w:spacing w:before="80" w:after="80" w:line="240" w:lineRule="auto"/>
        <w:ind w:left="20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9B3B0F"/>
          <w:kern w:val="0"/>
          <w:sz w:val="19"/>
          <w:szCs w:val="19"/>
          <w:lang w:eastAsia="en-GB"/>
          <w14:ligatures w14:val="none"/>
        </w:rPr>
        <w:t xml:space="preserve">HARD PROBLEM  </w:t>
      </w:r>
      <w:r w:rsidRPr="00C20595">
        <w:rPr>
          <w:rFonts w:ascii="Calibri" w:eastAsia="Calibri" w:hAnsi="Calibri" w:cs="Calibri"/>
          <w:color w:val="222222"/>
          <w:kern w:val="0"/>
          <w:sz w:val="20"/>
          <w:szCs w:val="20"/>
          <w:lang w:eastAsia="en-GB"/>
          <w14:ligatures w14:val="none"/>
        </w:rPr>
        <w:t>Tenant isolation must be enforced at a layer you cannot bypass by forgetting a WHERE clause. A filter copy-pasted into forty methods is the wrong answer — find the structural one.</w:t>
      </w:r>
    </w:p>
    <w:p w14:paraId="68371E14" w14:textId="77777777" w:rsidR="00C20595" w:rsidRPr="00C20595" w:rsidRDefault="00C20595" w:rsidP="00C20595">
      <w:pPr>
        <w:spacing w:before="120" w:after="6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1F3A5F"/>
          <w:kern w:val="0"/>
          <w:sz w:val="22"/>
          <w:szCs w:val="22"/>
          <w:lang w:eastAsia="en-GB"/>
          <w14:ligatures w14:val="none"/>
        </w:rPr>
        <w:t>Tasks — structured logging (Serilog)</w:t>
      </w:r>
    </w:p>
    <w:p w14:paraId="2589C5B3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Configure Serilog as the logging provider, replacing the default logger.</w:t>
      </w:r>
    </w:p>
    <w:p w14:paraId="3172351A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Log structured properties (key/value), not interpolated strings — so logs are queryable, not just readable.</w:t>
      </w:r>
    </w:p>
    <w:p w14:paraId="056BEE75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Attach a correlation ID to every request and flow it through all logs for that request (and later, through background jobs).</w:t>
      </w:r>
    </w:p>
    <w:p w14:paraId="18A7A0F9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Set sensible sinks and levels (console in dev; a structured sink you can query otherwise) and never log secrets, tokens, or passwords.</w:t>
      </w:r>
    </w:p>
    <w:p w14:paraId="71D73936" w14:textId="77777777" w:rsidR="00C20595" w:rsidRPr="00C20595" w:rsidRDefault="00C20595" w:rsidP="00C20595">
      <w:pPr>
        <w:spacing w:before="120" w:after="6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1F3A5F"/>
          <w:kern w:val="0"/>
          <w:sz w:val="22"/>
          <w:szCs w:val="22"/>
          <w:lang w:eastAsia="en-GB"/>
          <w14:ligatures w14:val="none"/>
        </w:rPr>
        <w:t>Tasks — global exception handling</w:t>
      </w:r>
    </w:p>
    <w:p w14:paraId="68BAB4C4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Add a global exception handler (middleware or IExceptionHandler) so no unhandled exception ever leaks a stack trace to the client.</w:t>
      </w:r>
    </w:p>
    <w:p w14:paraId="5DB5AF9F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Map domain/validation errors to clean, consistent problem responses (e.g. ProblemDetails) with the correlation ID attached.</w:t>
      </w:r>
    </w:p>
    <w:p w14:paraId="1E1F6099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Log the full exception server-side once, at the boundary — not scattered try/catch that swallows or double-logs.</w:t>
      </w:r>
    </w:p>
    <w:p w14:paraId="34C98E65" w14:textId="77777777" w:rsidR="00C20595" w:rsidRPr="00C20595" w:rsidRDefault="00C20595" w:rsidP="00C20595">
      <w:pPr>
        <w:spacing w:before="120" w:after="6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1F3A5F"/>
          <w:kern w:val="0"/>
          <w:sz w:val="22"/>
          <w:szCs w:val="22"/>
          <w:lang w:eastAsia="en-GB"/>
          <w14:ligatures w14:val="none"/>
        </w:rPr>
        <w:t>Tasks — custom mediator</w:t>
      </w:r>
    </w:p>
    <w:p w14:paraId="3368971A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Write your own lightweight mediator (do not pull in MediatR) — a dispatcher that maps a request object to its handler and invokes it.</w:t>
      </w:r>
    </w:p>
    <w:p w14:paraId="4E799530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Move request handling into command/query handlers so controllers stay thin and the application layer holds the logic.</w:t>
      </w:r>
    </w:p>
    <w:p w14:paraId="295D3CFD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color w:val="2E6DA4"/>
          <w:kern w:val="0"/>
          <w:sz w:val="22"/>
          <w:szCs w:val="22"/>
          <w:lang w:eastAsia="en-GB"/>
          <w14:ligatures w14:val="none"/>
        </w:rPr>
        <w:t>☐</w:t>
      </w:r>
      <w:r w:rsidRPr="00C20595">
        <w:rPr>
          <w:rFonts w:ascii="Calibri" w:eastAsia="Calibri" w:hAnsi="Calibri" w:cs="Calibri"/>
          <w:color w:val="2E6DA4"/>
          <w:kern w:val="0"/>
          <w:sz w:val="22"/>
          <w:szCs w:val="22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Support a pipeline (behaviors) so cross-cutting steps — logging, validation — wrap every handler in one place.</w:t>
      </w:r>
    </w:p>
    <w:p w14:paraId="78F9749F" w14:textId="77777777" w:rsidR="00C20595" w:rsidRPr="00C20595" w:rsidRDefault="00C20595" w:rsidP="00C20595">
      <w:pPr>
        <w:pBdr>
          <w:left w:val="single" w:sz="18" w:space="8" w:color="9B3B0F"/>
        </w:pBdr>
        <w:spacing w:before="80" w:after="80" w:line="240" w:lineRule="auto"/>
        <w:ind w:left="20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9B3B0F"/>
          <w:kern w:val="0"/>
          <w:sz w:val="19"/>
          <w:szCs w:val="19"/>
          <w:lang w:eastAsia="en-GB"/>
          <w14:ligatures w14:val="none"/>
        </w:rPr>
        <w:t xml:space="preserve">HARD PROBLEM  </w:t>
      </w:r>
      <w:r w:rsidRPr="00C20595">
        <w:rPr>
          <w:rFonts w:ascii="Calibri" w:eastAsia="Calibri" w:hAnsi="Calibri" w:cs="Calibri"/>
          <w:color w:val="222222"/>
          <w:kern w:val="0"/>
          <w:sz w:val="20"/>
          <w:szCs w:val="20"/>
          <w:lang w:eastAsia="en-GB"/>
          <w14:ligatures w14:val="none"/>
        </w:rPr>
        <w:t>Writing your own mediator is where separation of concerns becomes real. The point isn’t to reimplement a library — it’s to understand what it does: resolve a handler, run a pipeline around it, keep controllers ignorant of the work. Keep it small and be able to explain every line.</w:t>
      </w:r>
    </w:p>
    <w:p w14:paraId="14FBF93E" w14:textId="77777777" w:rsidR="00C20595" w:rsidRPr="00C20595" w:rsidRDefault="00C20595" w:rsidP="00C20595">
      <w:pPr>
        <w:spacing w:before="120" w:after="60" w:line="240" w:lineRule="auto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Calibri" w:eastAsia="Calibri" w:hAnsi="Calibri" w:cs="Calibri"/>
          <w:b/>
          <w:bCs/>
          <w:color w:val="1F3A5F"/>
          <w:kern w:val="0"/>
          <w:sz w:val="22"/>
          <w:szCs w:val="22"/>
          <w:lang w:eastAsia="en-GB"/>
          <w14:ligatures w14:val="none"/>
        </w:rPr>
        <w:t>Acceptance criteria</w:t>
      </w:r>
    </w:p>
    <w:p w14:paraId="21956E35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A user can log in and receive access + refresh tokens; refresh rotates on use.</w:t>
      </w:r>
    </w:p>
    <w:p w14:paraId="7CB1A0F2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A reused refresh token invalidates the session family.</w:t>
      </w:r>
    </w:p>
    <w:p w14:paraId="45785EDF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Passwords are hashed with a modern algorithm; never logged or stored in plaintext.</w:t>
      </w:r>
    </w:p>
    <w:p w14:paraId="35DC6DB3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lastRenderedPageBreak/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A request scoped to tenant A can never read tenant B data, even with a forged identifier.</w:t>
      </w:r>
    </w:p>
    <w:p w14:paraId="646939F3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Every endpoint enforces role- and tenant-scoped authorization server-side.</w:t>
      </w:r>
    </w:p>
    <w:p w14:paraId="33E11BE2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Every log line for a request carries the same correlation ID, and logs are structured (queryable properties, not flat strings).</w:t>
      </w:r>
    </w:p>
    <w:p w14:paraId="5DF78990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An unhandled exception returns a clean problem response with a correlation ID — never a raw stack trace — and is logged once server-side.</w:t>
      </w:r>
    </w:p>
    <w:p w14:paraId="7C6538B1" w14:textId="77777777" w:rsidR="00C20595" w:rsidRPr="00C20595" w:rsidRDefault="00C20595" w:rsidP="00C20595">
      <w:pPr>
        <w:spacing w:after="50" w:line="240" w:lineRule="auto"/>
        <w:ind w:left="460" w:hanging="240"/>
        <w:rPr>
          <w:rFonts w:ascii="Calibri" w:eastAsia="Calibri" w:hAnsi="Calibri" w:cs="Calibri"/>
          <w:kern w:val="0"/>
          <w:sz w:val="20"/>
          <w:szCs w:val="20"/>
          <w:lang w:eastAsia="en-GB"/>
          <w14:ligatures w14:val="none"/>
        </w:rPr>
      </w:pPr>
      <w:r w:rsidRPr="00C20595">
        <w:rPr>
          <w:rFonts w:ascii="Segoe UI Symbol" w:eastAsia="Calibri" w:hAnsi="Segoe UI Symbol" w:cs="Segoe UI Symbol"/>
          <w:b/>
          <w:bCs/>
          <w:color w:val="1E7A46"/>
          <w:kern w:val="0"/>
          <w:sz w:val="21"/>
          <w:szCs w:val="21"/>
          <w:lang w:eastAsia="en-GB"/>
          <w14:ligatures w14:val="none"/>
        </w:rPr>
        <w:t>✓</w:t>
      </w:r>
      <w:r w:rsidRPr="00C20595">
        <w:rPr>
          <w:rFonts w:ascii="Calibri" w:eastAsia="Calibri" w:hAnsi="Calibri" w:cs="Calibri"/>
          <w:b/>
          <w:bCs/>
          <w:color w:val="1E7A46"/>
          <w:kern w:val="0"/>
          <w:sz w:val="21"/>
          <w:szCs w:val="21"/>
          <w:lang w:eastAsia="en-GB"/>
          <w14:ligatures w14:val="none"/>
        </w:rPr>
        <w:t xml:space="preserve">  </w:t>
      </w:r>
      <w:r w:rsidRPr="00C20595">
        <w:rPr>
          <w:rFonts w:ascii="Calibri" w:eastAsia="Calibri" w:hAnsi="Calibri" w:cs="Calibri"/>
          <w:color w:val="222222"/>
          <w:kern w:val="0"/>
          <w:sz w:val="21"/>
          <w:szCs w:val="21"/>
          <w:lang w:eastAsia="en-GB"/>
          <w14:ligatures w14:val="none"/>
        </w:rPr>
        <w:t>Controllers dispatch through your mediator to handlers; no business logic lives in a controller.</w:t>
      </w:r>
    </w:p>
    <w:p w14:paraId="18925BC1" w14:textId="77777777" w:rsidR="00E1042F" w:rsidRDefault="00E1042F"/>
    <w:sectPr w:rsidR="00E1042F">
      <w:headerReference w:type="even" r:id="rId6"/>
      <w:headerReference w:type="default" r:id="rId7"/>
      <w:headerReference w:type="firs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62F35" w14:textId="77777777" w:rsidR="008604A3" w:rsidRDefault="008604A3" w:rsidP="00C20595">
      <w:pPr>
        <w:spacing w:after="0" w:line="240" w:lineRule="auto"/>
      </w:pPr>
      <w:r>
        <w:separator/>
      </w:r>
    </w:p>
  </w:endnote>
  <w:endnote w:type="continuationSeparator" w:id="0">
    <w:p w14:paraId="731D1BE2" w14:textId="77777777" w:rsidR="008604A3" w:rsidRDefault="008604A3" w:rsidP="00C205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5ED72" w14:textId="77777777" w:rsidR="008604A3" w:rsidRDefault="008604A3" w:rsidP="00C20595">
      <w:pPr>
        <w:spacing w:after="0" w:line="240" w:lineRule="auto"/>
      </w:pPr>
      <w:r>
        <w:separator/>
      </w:r>
    </w:p>
  </w:footnote>
  <w:footnote w:type="continuationSeparator" w:id="0">
    <w:p w14:paraId="28C388D2" w14:textId="77777777" w:rsidR="008604A3" w:rsidRDefault="008604A3" w:rsidP="00C205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91857" w14:textId="2EE2A06B" w:rsidR="00C20595" w:rsidRDefault="00C2059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731009D" wp14:editId="2D565B5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857885" cy="370205"/>
              <wp:effectExtent l="0" t="0" r="0" b="10795"/>
              <wp:wrapNone/>
              <wp:docPr id="1437300267" name="Text Box 2" descr="Proprietar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78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E9B37A" w14:textId="7F9730F3" w:rsidR="00C20595" w:rsidRPr="00C20595" w:rsidRDefault="00C20595" w:rsidP="00C2059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2059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Proprietary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31009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roprietary" style="position:absolute;margin-left:16.35pt;margin-top:0;width:67.55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" filled="f" stroked="f">
              <v:fill o:detectmouseclick="t"/>
              <v:textbox style="mso-fit-shape-to-text:t" inset="0,15pt,20pt,0">
                <w:txbxContent>
                  <w:p w14:paraId="6BE9B37A" w14:textId="7F9730F3" w:rsidR="00C20595" w:rsidRPr="00C20595" w:rsidRDefault="00C20595" w:rsidP="00C2059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C2059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Proprietary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90C89" w14:textId="363AB600" w:rsidR="00C20595" w:rsidRDefault="00C2059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564EFAD" wp14:editId="005F8B3F">
              <wp:simplePos x="91440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857885" cy="370205"/>
              <wp:effectExtent l="0" t="0" r="0" b="10795"/>
              <wp:wrapNone/>
              <wp:docPr id="1289271913" name="Text Box 3" descr="Proprietar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78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7CE4B3" w14:textId="635E7301" w:rsidR="00C20595" w:rsidRPr="00C20595" w:rsidRDefault="00C20595" w:rsidP="00C2059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2059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Proprietary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64EFA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roprietary" style="position:absolute;margin-left:16.35pt;margin-top:0;width:67.55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" filled="f" stroked="f">
              <v:fill o:detectmouseclick="t"/>
              <v:textbox style="mso-fit-shape-to-text:t" inset="0,15pt,20pt,0">
                <w:txbxContent>
                  <w:p w14:paraId="457CE4B3" w14:textId="635E7301" w:rsidR="00C20595" w:rsidRPr="00C20595" w:rsidRDefault="00C20595" w:rsidP="00C2059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C2059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Proprietary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A263" w14:textId="3562E67F" w:rsidR="00C20595" w:rsidRDefault="00C2059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E316DCE" wp14:editId="342C8E5B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857885" cy="370205"/>
              <wp:effectExtent l="0" t="0" r="0" b="10795"/>
              <wp:wrapNone/>
              <wp:docPr id="855856050" name="Text Box 1" descr="Proprietar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78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08A59B" w14:textId="66C5EA19" w:rsidR="00C20595" w:rsidRPr="00C20595" w:rsidRDefault="00C20595" w:rsidP="00C20595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2059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Proprietary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316DC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roprietary" style="position:absolute;margin-left:16.35pt;margin-top:0;width:67.55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" filled="f" stroked="f">
              <v:fill o:detectmouseclick="t"/>
              <v:textbox style="mso-fit-shape-to-text:t" inset="0,15pt,20pt,0">
                <w:txbxContent>
                  <w:p w14:paraId="0008A59B" w14:textId="66C5EA19" w:rsidR="00C20595" w:rsidRPr="00C20595" w:rsidRDefault="00C20595" w:rsidP="00C20595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C2059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Proprietary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595"/>
    <w:rsid w:val="00522D98"/>
    <w:rsid w:val="007368FC"/>
    <w:rsid w:val="007B601C"/>
    <w:rsid w:val="008604A3"/>
    <w:rsid w:val="00C20595"/>
    <w:rsid w:val="00E10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BE244"/>
  <w15:chartTrackingRefBased/>
  <w15:docId w15:val="{6CCB5393-C5BF-4462-B9FE-F42C236C7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5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05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05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5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5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5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5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5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5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5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05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5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5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5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5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5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5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5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5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5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5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5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5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5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5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5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5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5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59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205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05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813</Words>
  <Characters>4637</Characters>
  <Application>Microsoft Office Word</Application>
  <DocSecurity>0</DocSecurity>
  <Lines>38</Lines>
  <Paragraphs>10</Paragraphs>
  <ScaleCrop>false</ScaleCrop>
  <Company/>
  <LinksUpToDate>false</LinksUpToDate>
  <CharactersWithSpaces>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Jotanovic</dc:creator>
  <cp:keywords/>
  <dc:description/>
  <cp:lastModifiedBy>Goran Jotanovic</cp:lastModifiedBy>
  <cp:revision>1</cp:revision>
  <dcterms:created xsi:type="dcterms:W3CDTF">2026-08-20T11:45:00Z</dcterms:created>
  <dcterms:modified xsi:type="dcterms:W3CDTF">2026-08-20T11:46:00Z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330353b2,55ab762b,4cd8ba69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Proprietary</vt:lpwstr>
  </property>
  <property fmtid="{D5CDD505-2E9C-101B-9397-08002B2CF9AE}" pid="5" name="MSIP_Label_ac629de7-cfdf-49f2-9483-80ca02e7fb52_Enabled">
    <vt:lpwstr>true</vt:lpwstr>
  </property>
  <property fmtid="{D5CDD505-2E9C-101B-9397-08002B2CF9AE}" pid="6" name="MSIP_Label_ac629de7-cfdf-49f2-9483-80ca02e7fb52_SetDate">
    <vt:lpwstr>2026-08-20T11:46:26Z</vt:lpwstr>
  </property>
  <property fmtid="{D5CDD505-2E9C-101B-9397-08002B2CF9AE}" pid="7" name="MSIP_Label_ac629de7-cfdf-49f2-9483-80ca02e7fb52_Method">
    <vt:lpwstr>Standard</vt:lpwstr>
  </property>
  <property fmtid="{D5CDD505-2E9C-101B-9397-08002B2CF9AE}" pid="8" name="MSIP_Label_ac629de7-cfdf-49f2-9483-80ca02e7fb52_Name">
    <vt:lpwstr>HTEC Internal</vt:lpwstr>
  </property>
  <property fmtid="{D5CDD505-2E9C-101B-9397-08002B2CF9AE}" pid="9" name="MSIP_Label_ac629de7-cfdf-49f2-9483-80ca02e7fb52_SiteId">
    <vt:lpwstr>9f85665b-7efd-4776-9dfe-b6bfda2565ee</vt:lpwstr>
  </property>
  <property fmtid="{D5CDD505-2E9C-101B-9397-08002B2CF9AE}" pid="10" name="MSIP_Label_ac629de7-cfdf-49f2-9483-80ca02e7fb52_ActionId">
    <vt:lpwstr>204b7075-2f8d-498c-b825-dbd958d74a7b</vt:lpwstr>
  </property>
  <property fmtid="{D5CDD505-2E9C-101B-9397-08002B2CF9AE}" pid="11" name="MSIP_Label_ac629de7-cfdf-49f2-9483-80ca02e7fb52_ContentBits">
    <vt:lpwstr>1</vt:lpwstr>
  </property>
  <property fmtid="{D5CDD505-2E9C-101B-9397-08002B2CF9AE}" pid="12" name="MSIP_Label_ac629de7-cfdf-49f2-9483-80ca02e7fb52_Tag">
    <vt:lpwstr>10, 3, 0, 1</vt:lpwstr>
  </property>
</Properties>
</file>