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A1BF" w14:textId="77777777" w:rsidR="00C20595" w:rsidRPr="00C20595" w:rsidRDefault="00C20595" w:rsidP="00C20595">
      <w:pPr>
        <w:spacing w:before="340" w:after="60" w:line="240" w:lineRule="auto"/>
        <w:outlineLvl w:val="0"/>
        <w:rPr>
          <w:rFonts w:ascii="Calibri" w:eastAsia="Calibri" w:hAnsi="Calibri" w:cs="Calibri"/>
          <w:color w:val="2E74B5"/>
          <w:kern w:val="0"/>
          <w:sz w:val="32"/>
          <w:szCs w:val="32"/>
          <w:lang w:eastAsia="en-GB"/>
          <w14:ligatures w14:val="none"/>
        </w:rPr>
      </w:pPr>
      <w:r w:rsidRPr="00C20595">
        <w:rPr>
          <w:rFonts w:ascii="Calibri" w:eastAsia="Calibri" w:hAnsi="Calibri" w:cs="Calibri"/>
          <w:b/>
          <w:bCs/>
          <w:color w:val="1F3A5F"/>
          <w:kern w:val="0"/>
          <w:sz w:val="30"/>
          <w:szCs w:val="30"/>
          <w:lang w:eastAsia="en-GB"/>
          <w14:ligatures w14:val="none"/>
        </w:rPr>
        <w:t>WP-</w:t>
      </w:r>
      <w:proofErr w:type="gramStart"/>
      <w:r w:rsidRPr="00C20595">
        <w:rPr>
          <w:rFonts w:ascii="Calibri" w:eastAsia="Calibri" w:hAnsi="Calibri" w:cs="Calibri"/>
          <w:b/>
          <w:bCs/>
          <w:color w:val="1F3A5F"/>
          <w:kern w:val="0"/>
          <w:sz w:val="30"/>
          <w:szCs w:val="30"/>
          <w:lang w:eastAsia="en-GB"/>
          <w14:ligatures w14:val="none"/>
        </w:rPr>
        <w:t>0  Project</w:t>
      </w:r>
      <w:proofErr w:type="gramEnd"/>
      <w:r w:rsidRPr="00C20595">
        <w:rPr>
          <w:rFonts w:ascii="Calibri" w:eastAsia="Calibri" w:hAnsi="Calibri" w:cs="Calibri"/>
          <w:b/>
          <w:bCs/>
          <w:color w:val="1F3A5F"/>
          <w:kern w:val="0"/>
          <w:sz w:val="30"/>
          <w:szCs w:val="30"/>
          <w:lang w:eastAsia="en-GB"/>
          <w14:ligatures w14:val="none"/>
        </w:rPr>
        <w:t xml:space="preserve"> Setup &amp; Foundations</w:t>
      </w:r>
    </w:p>
    <w:p w14:paraId="7F9CDF38" w14:textId="77777777" w:rsidR="00C20595" w:rsidRPr="00C20595" w:rsidRDefault="00C20595" w:rsidP="00C20595">
      <w:pPr>
        <w:spacing w:after="120" w:line="240" w:lineRule="auto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C20595">
        <w:rPr>
          <w:rFonts w:ascii="Calibri" w:eastAsia="Calibri" w:hAnsi="Calibri" w:cs="Calibri"/>
          <w:b/>
          <w:bCs/>
          <w:color w:val="666666"/>
          <w:kern w:val="0"/>
          <w:sz w:val="19"/>
          <w:szCs w:val="19"/>
          <w:lang w:eastAsia="en-GB"/>
          <w14:ligatures w14:val="none"/>
        </w:rPr>
        <w:t xml:space="preserve">Weeks: </w:t>
      </w:r>
      <w:r w:rsidRPr="00C20595">
        <w:rPr>
          <w:rFonts w:ascii="Calibri" w:eastAsia="Calibri" w:hAnsi="Calibri" w:cs="Calibri"/>
          <w:color w:val="666666"/>
          <w:kern w:val="0"/>
          <w:sz w:val="19"/>
          <w:szCs w:val="19"/>
          <w:lang w:eastAsia="en-GB"/>
          <w14:ligatures w14:val="none"/>
        </w:rPr>
        <w:t xml:space="preserve">Week 1    </w:t>
      </w:r>
      <w:r w:rsidRPr="00C20595">
        <w:rPr>
          <w:rFonts w:ascii="Calibri" w:eastAsia="Calibri" w:hAnsi="Calibri" w:cs="Calibri"/>
          <w:b/>
          <w:bCs/>
          <w:color w:val="666666"/>
          <w:kern w:val="0"/>
          <w:sz w:val="19"/>
          <w:szCs w:val="19"/>
          <w:lang w:eastAsia="en-GB"/>
          <w14:ligatures w14:val="none"/>
        </w:rPr>
        <w:t xml:space="preserve">Track: </w:t>
      </w:r>
      <w:r w:rsidRPr="00C20595">
        <w:rPr>
          <w:rFonts w:ascii="Calibri" w:eastAsia="Calibri" w:hAnsi="Calibri" w:cs="Calibri"/>
          <w:color w:val="666666"/>
          <w:kern w:val="0"/>
          <w:sz w:val="19"/>
          <w:szCs w:val="19"/>
          <w:lang w:eastAsia="en-GB"/>
          <w14:ligatures w14:val="none"/>
        </w:rPr>
        <w:t>Both</w:t>
      </w:r>
    </w:p>
    <w:p w14:paraId="402C6872" w14:textId="77777777" w:rsidR="00C20595" w:rsidRPr="00C20595" w:rsidRDefault="00C20595" w:rsidP="00C20595">
      <w:pPr>
        <w:spacing w:after="120" w:line="240" w:lineRule="auto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C20595">
        <w:rPr>
          <w:rFonts w:ascii="Calibri" w:eastAsia="Calibri" w:hAnsi="Calibri" w:cs="Calibri"/>
          <w:b/>
          <w:bCs/>
          <w:color w:val="222222"/>
          <w:kern w:val="0"/>
          <w:sz w:val="21"/>
          <w:szCs w:val="21"/>
          <w:lang w:eastAsia="en-GB"/>
          <w14:ligatures w14:val="none"/>
        </w:rPr>
        <w:t xml:space="preserve">Goal.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A clean, professional repository and working local environment, so that every later package lands on solid ground.</w:t>
      </w:r>
    </w:p>
    <w:p w14:paraId="02AFB60F" w14:textId="77777777" w:rsidR="00C20595" w:rsidRPr="00C20595" w:rsidRDefault="00C20595" w:rsidP="00C20595">
      <w:pPr>
        <w:spacing w:before="120" w:after="60" w:line="240" w:lineRule="auto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C20595">
        <w:rPr>
          <w:rFonts w:ascii="Calibri" w:eastAsia="Calibri" w:hAnsi="Calibri" w:cs="Calibri"/>
          <w:b/>
          <w:bCs/>
          <w:color w:val="1F3A5F"/>
          <w:kern w:val="0"/>
          <w:sz w:val="22"/>
          <w:szCs w:val="22"/>
          <w:lang w:eastAsia="en-GB"/>
          <w14:ligatures w14:val="none"/>
        </w:rPr>
        <w:t>Tasks</w:t>
      </w:r>
    </w:p>
    <w:p w14:paraId="29E80C5B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color w:val="2E6DA4"/>
          <w:kern w:val="0"/>
          <w:sz w:val="22"/>
          <w:szCs w:val="22"/>
          <w:lang w:eastAsia="en-GB"/>
          <w14:ligatures w14:val="none"/>
        </w:rPr>
        <w:t>☐</w:t>
      </w:r>
      <w:r w:rsidRPr="00C20595">
        <w:rPr>
          <w:rFonts w:ascii="Calibri" w:eastAsia="Calibri" w:hAnsi="Calibri" w:cs="Calibri"/>
          <w:color w:val="2E6DA4"/>
          <w:kern w:val="0"/>
          <w:sz w:val="22"/>
          <w:szCs w:val="22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Create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your private Git repository; set up main + feature-branch workflow.</w:t>
      </w:r>
    </w:p>
    <w:p w14:paraId="462ECDA9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color w:val="2E6DA4"/>
          <w:kern w:val="0"/>
          <w:sz w:val="22"/>
          <w:szCs w:val="22"/>
          <w:lang w:eastAsia="en-GB"/>
          <w14:ligatures w14:val="none"/>
        </w:rPr>
        <w:t>☐</w:t>
      </w:r>
      <w:r w:rsidRPr="00C20595">
        <w:rPr>
          <w:rFonts w:ascii="Calibri" w:eastAsia="Calibri" w:hAnsi="Calibri" w:cs="Calibri"/>
          <w:color w:val="2E6DA4"/>
          <w:kern w:val="0"/>
          <w:sz w:val="22"/>
          <w:szCs w:val="22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Add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a README describing the project and how to run it locally.</w:t>
      </w:r>
    </w:p>
    <w:p w14:paraId="0C94ABA2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color w:val="2E6DA4"/>
          <w:kern w:val="0"/>
          <w:sz w:val="22"/>
          <w:szCs w:val="22"/>
          <w:lang w:eastAsia="en-GB"/>
          <w14:ligatures w14:val="none"/>
        </w:rPr>
        <w:t>☐</w:t>
      </w:r>
      <w:r w:rsidRPr="00C20595">
        <w:rPr>
          <w:rFonts w:ascii="Calibri" w:eastAsia="Calibri" w:hAnsi="Calibri" w:cs="Calibri"/>
          <w:color w:val="2E6DA4"/>
          <w:kern w:val="0"/>
          <w:sz w:val="22"/>
          <w:szCs w:val="22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Scaffold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the solution structure: separate backend (.NET) and frontend (Angular) projects.</w:t>
      </w:r>
    </w:p>
    <w:p w14:paraId="3E891428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color w:val="2E6DA4"/>
          <w:kern w:val="0"/>
          <w:sz w:val="22"/>
          <w:szCs w:val="22"/>
          <w:lang w:eastAsia="en-GB"/>
          <w14:ligatures w14:val="none"/>
        </w:rPr>
        <w:t>☐</w:t>
      </w:r>
      <w:r w:rsidRPr="00C20595">
        <w:rPr>
          <w:rFonts w:ascii="Calibri" w:eastAsia="Calibri" w:hAnsi="Calibri" w:cs="Calibri"/>
          <w:color w:val="2E6DA4"/>
          <w:kern w:val="0"/>
          <w:sz w:val="22"/>
          <w:szCs w:val="22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Set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up SQL Server locally (or containerized) and confirm connectivity.</w:t>
      </w:r>
    </w:p>
    <w:p w14:paraId="2BD7261D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color w:val="2E6DA4"/>
          <w:kern w:val="0"/>
          <w:sz w:val="22"/>
          <w:szCs w:val="22"/>
          <w:lang w:eastAsia="en-GB"/>
          <w14:ligatures w14:val="none"/>
        </w:rPr>
        <w:t>☐</w:t>
      </w:r>
      <w:r w:rsidRPr="00C20595">
        <w:rPr>
          <w:rFonts w:ascii="Calibri" w:eastAsia="Calibri" w:hAnsi="Calibri" w:cs="Calibri"/>
          <w:color w:val="2E6DA4"/>
          <w:kern w:val="0"/>
          <w:sz w:val="22"/>
          <w:szCs w:val="22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Add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a .</w:t>
      </w:r>
      <w:proofErr w:type="spellStart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gitignore</w:t>
      </w:r>
      <w:proofErr w:type="spellEnd"/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, </w:t>
      </w:r>
      <w:proofErr w:type="gramStart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an .</w:t>
      </w:r>
      <w:proofErr w:type="spellStart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editorconfig</w:t>
      </w:r>
      <w:proofErr w:type="spellEnd"/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, and basic solution conventions.</w:t>
      </w:r>
    </w:p>
    <w:p w14:paraId="77DDE95E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color w:val="2E6DA4"/>
          <w:kern w:val="0"/>
          <w:sz w:val="22"/>
          <w:szCs w:val="22"/>
          <w:lang w:eastAsia="en-GB"/>
          <w14:ligatures w14:val="none"/>
        </w:rPr>
        <w:t>☐</w:t>
      </w:r>
      <w:r w:rsidRPr="00C20595">
        <w:rPr>
          <w:rFonts w:ascii="Calibri" w:eastAsia="Calibri" w:hAnsi="Calibri" w:cs="Calibri"/>
          <w:color w:val="2E6DA4"/>
          <w:kern w:val="0"/>
          <w:sz w:val="22"/>
          <w:szCs w:val="22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Create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AI-USAGE.md with the headers you’ll fill in throughout.</w:t>
      </w:r>
    </w:p>
    <w:p w14:paraId="174EBC41" w14:textId="77777777" w:rsidR="00C20595" w:rsidRPr="00C20595" w:rsidRDefault="00C20595" w:rsidP="00C20595">
      <w:pPr>
        <w:spacing w:before="120" w:after="60" w:line="240" w:lineRule="auto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C20595">
        <w:rPr>
          <w:rFonts w:ascii="Calibri" w:eastAsia="Calibri" w:hAnsi="Calibri" w:cs="Calibri"/>
          <w:b/>
          <w:bCs/>
          <w:color w:val="1F3A5F"/>
          <w:kern w:val="0"/>
          <w:sz w:val="22"/>
          <w:szCs w:val="22"/>
          <w:lang w:eastAsia="en-GB"/>
          <w14:ligatures w14:val="none"/>
        </w:rPr>
        <w:t>Acceptance criteria</w:t>
      </w:r>
    </w:p>
    <w:p w14:paraId="4298BBE4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b/>
          <w:bCs/>
          <w:color w:val="1E7A46"/>
          <w:kern w:val="0"/>
          <w:sz w:val="21"/>
          <w:szCs w:val="21"/>
          <w:lang w:eastAsia="en-GB"/>
          <w14:ligatures w14:val="none"/>
        </w:rPr>
        <w:t>✓</w:t>
      </w:r>
      <w:r w:rsidRPr="00C20595">
        <w:rPr>
          <w:rFonts w:ascii="Calibri" w:eastAsia="Calibri" w:hAnsi="Calibri" w:cs="Calibri"/>
          <w:b/>
          <w:bCs/>
          <w:color w:val="1E7A46"/>
          <w:kern w:val="0"/>
          <w:sz w:val="21"/>
          <w:szCs w:val="21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The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repo clones and both projects build from a clean checkout following only the README.</w:t>
      </w:r>
    </w:p>
    <w:p w14:paraId="786CEF18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b/>
          <w:bCs/>
          <w:color w:val="1E7A46"/>
          <w:kern w:val="0"/>
          <w:sz w:val="21"/>
          <w:szCs w:val="21"/>
          <w:lang w:eastAsia="en-GB"/>
          <w14:ligatures w14:val="none"/>
        </w:rPr>
        <w:t>✓</w:t>
      </w:r>
      <w:r w:rsidRPr="00C20595">
        <w:rPr>
          <w:rFonts w:ascii="Calibri" w:eastAsia="Calibri" w:hAnsi="Calibri" w:cs="Calibri"/>
          <w:b/>
          <w:bCs/>
          <w:color w:val="1E7A46"/>
          <w:kern w:val="0"/>
          <w:sz w:val="21"/>
          <w:szCs w:val="21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Branch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protection or at least an agreed no-direct-to-main convention is in place.</w:t>
      </w:r>
    </w:p>
    <w:p w14:paraId="061D60B0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b/>
          <w:bCs/>
          <w:color w:val="1E7A46"/>
          <w:kern w:val="0"/>
          <w:sz w:val="21"/>
          <w:szCs w:val="21"/>
          <w:lang w:eastAsia="en-GB"/>
          <w14:ligatures w14:val="none"/>
        </w:rPr>
        <w:t>✓</w:t>
      </w:r>
      <w:r w:rsidRPr="00C20595">
        <w:rPr>
          <w:rFonts w:ascii="Calibri" w:eastAsia="Calibri" w:hAnsi="Calibri" w:cs="Calibri"/>
          <w:b/>
          <w:bCs/>
          <w:color w:val="1E7A46"/>
          <w:kern w:val="0"/>
          <w:sz w:val="21"/>
          <w:szCs w:val="21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A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database connection is confirmed from the backend.</w:t>
      </w:r>
    </w:p>
    <w:p w14:paraId="3012E1E2" w14:textId="77777777" w:rsidR="00C20595" w:rsidRPr="00C20595" w:rsidRDefault="00C20595" w:rsidP="00C20595">
      <w:pPr>
        <w:spacing w:before="340" w:after="60" w:line="240" w:lineRule="auto"/>
        <w:outlineLvl w:val="0"/>
        <w:rPr>
          <w:rFonts w:ascii="Calibri" w:eastAsia="Calibri" w:hAnsi="Calibri" w:cs="Calibri"/>
          <w:color w:val="2E74B5"/>
          <w:kern w:val="0"/>
          <w:sz w:val="32"/>
          <w:szCs w:val="32"/>
          <w:lang w:eastAsia="en-GB"/>
          <w14:ligatures w14:val="none"/>
        </w:rPr>
      </w:pPr>
      <w:r w:rsidRPr="00C20595">
        <w:rPr>
          <w:rFonts w:ascii="Calibri" w:eastAsia="Calibri" w:hAnsi="Calibri" w:cs="Calibri"/>
          <w:b/>
          <w:bCs/>
          <w:color w:val="1F3A5F"/>
          <w:kern w:val="0"/>
          <w:sz w:val="30"/>
          <w:szCs w:val="30"/>
          <w:lang w:eastAsia="en-GB"/>
          <w14:ligatures w14:val="none"/>
        </w:rPr>
        <w:t>WP-</w:t>
      </w:r>
      <w:proofErr w:type="gramStart"/>
      <w:r w:rsidRPr="00C20595">
        <w:rPr>
          <w:rFonts w:ascii="Calibri" w:eastAsia="Calibri" w:hAnsi="Calibri" w:cs="Calibri"/>
          <w:b/>
          <w:bCs/>
          <w:color w:val="1F3A5F"/>
          <w:kern w:val="0"/>
          <w:sz w:val="30"/>
          <w:szCs w:val="30"/>
          <w:lang w:eastAsia="en-GB"/>
          <w14:ligatures w14:val="none"/>
        </w:rPr>
        <w:t>1  Data</w:t>
      </w:r>
      <w:proofErr w:type="gramEnd"/>
      <w:r w:rsidRPr="00C20595">
        <w:rPr>
          <w:rFonts w:ascii="Calibri" w:eastAsia="Calibri" w:hAnsi="Calibri" w:cs="Calibri"/>
          <w:b/>
          <w:bCs/>
          <w:color w:val="1F3A5F"/>
          <w:kern w:val="0"/>
          <w:sz w:val="30"/>
          <w:szCs w:val="30"/>
          <w:lang w:eastAsia="en-GB"/>
          <w14:ligatures w14:val="none"/>
        </w:rPr>
        <w:t xml:space="preserve"> Model &amp; Database</w:t>
      </w:r>
    </w:p>
    <w:p w14:paraId="5F705971" w14:textId="77777777" w:rsidR="00C20595" w:rsidRPr="00C20595" w:rsidRDefault="00C20595" w:rsidP="00C20595">
      <w:pPr>
        <w:spacing w:after="120" w:line="240" w:lineRule="auto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C20595">
        <w:rPr>
          <w:rFonts w:ascii="Calibri" w:eastAsia="Calibri" w:hAnsi="Calibri" w:cs="Calibri"/>
          <w:b/>
          <w:bCs/>
          <w:color w:val="666666"/>
          <w:kern w:val="0"/>
          <w:sz w:val="19"/>
          <w:szCs w:val="19"/>
          <w:lang w:eastAsia="en-GB"/>
          <w14:ligatures w14:val="none"/>
        </w:rPr>
        <w:t xml:space="preserve">Weeks: </w:t>
      </w:r>
      <w:r w:rsidRPr="00C20595">
        <w:rPr>
          <w:rFonts w:ascii="Calibri" w:eastAsia="Calibri" w:hAnsi="Calibri" w:cs="Calibri"/>
          <w:color w:val="666666"/>
          <w:kern w:val="0"/>
          <w:sz w:val="19"/>
          <w:szCs w:val="19"/>
          <w:lang w:eastAsia="en-GB"/>
          <w14:ligatures w14:val="none"/>
        </w:rPr>
        <w:t xml:space="preserve">Week 1    </w:t>
      </w:r>
      <w:r w:rsidRPr="00C20595">
        <w:rPr>
          <w:rFonts w:ascii="Calibri" w:eastAsia="Calibri" w:hAnsi="Calibri" w:cs="Calibri"/>
          <w:b/>
          <w:bCs/>
          <w:color w:val="666666"/>
          <w:kern w:val="0"/>
          <w:sz w:val="19"/>
          <w:szCs w:val="19"/>
          <w:lang w:eastAsia="en-GB"/>
          <w14:ligatures w14:val="none"/>
        </w:rPr>
        <w:t xml:space="preserve">Track: </w:t>
      </w:r>
      <w:r w:rsidRPr="00C20595">
        <w:rPr>
          <w:rFonts w:ascii="Calibri" w:eastAsia="Calibri" w:hAnsi="Calibri" w:cs="Calibri"/>
          <w:color w:val="666666"/>
          <w:kern w:val="0"/>
          <w:sz w:val="19"/>
          <w:szCs w:val="19"/>
          <w:lang w:eastAsia="en-GB"/>
          <w14:ligatures w14:val="none"/>
        </w:rPr>
        <w:t>Backend</w:t>
      </w:r>
    </w:p>
    <w:p w14:paraId="742422AF" w14:textId="77777777" w:rsidR="00C20595" w:rsidRPr="00C20595" w:rsidRDefault="00C20595" w:rsidP="00C20595">
      <w:pPr>
        <w:spacing w:after="120" w:line="240" w:lineRule="auto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C20595">
        <w:rPr>
          <w:rFonts w:ascii="Calibri" w:eastAsia="Calibri" w:hAnsi="Calibri" w:cs="Calibri"/>
          <w:b/>
          <w:bCs/>
          <w:color w:val="222222"/>
          <w:kern w:val="0"/>
          <w:sz w:val="21"/>
          <w:szCs w:val="21"/>
          <w:lang w:eastAsia="en-GB"/>
          <w14:ligatures w14:val="none"/>
        </w:rPr>
        <w:t xml:space="preserve">Goal.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The relational model that every later feature depends on. This is the single highest-leverage design you’ll make — design for what’s coming, not just for today.</w:t>
      </w:r>
    </w:p>
    <w:p w14:paraId="29537D3A" w14:textId="77777777" w:rsidR="00C20595" w:rsidRPr="00C20595" w:rsidRDefault="00C20595" w:rsidP="00C20595">
      <w:pPr>
        <w:spacing w:before="120" w:after="60" w:line="240" w:lineRule="auto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C20595">
        <w:rPr>
          <w:rFonts w:ascii="Calibri" w:eastAsia="Calibri" w:hAnsi="Calibri" w:cs="Calibri"/>
          <w:b/>
          <w:bCs/>
          <w:color w:val="1F3A5F"/>
          <w:kern w:val="0"/>
          <w:sz w:val="22"/>
          <w:szCs w:val="22"/>
          <w:lang w:eastAsia="en-GB"/>
          <w14:ligatures w14:val="none"/>
        </w:rPr>
        <w:t>Tasks</w:t>
      </w:r>
    </w:p>
    <w:p w14:paraId="02F7D20C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color w:val="2E6DA4"/>
          <w:kern w:val="0"/>
          <w:sz w:val="22"/>
          <w:szCs w:val="22"/>
          <w:lang w:eastAsia="en-GB"/>
          <w14:ligatures w14:val="none"/>
        </w:rPr>
        <w:t>☐</w:t>
      </w:r>
      <w:r w:rsidRPr="00C20595">
        <w:rPr>
          <w:rFonts w:ascii="Calibri" w:eastAsia="Calibri" w:hAnsi="Calibri" w:cs="Calibri"/>
          <w:color w:val="2E6DA4"/>
          <w:kern w:val="0"/>
          <w:sz w:val="22"/>
          <w:szCs w:val="22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Model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the core entities: Tenant, User, Resource, </w:t>
      </w:r>
      <w:proofErr w:type="spellStart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AvailabilityWindow</w:t>
      </w:r>
      <w:proofErr w:type="spell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BlackoutPeriod</w:t>
      </w:r>
      <w:proofErr w:type="spell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, Booking, </w:t>
      </w:r>
      <w:proofErr w:type="spellStart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RecurrenceRule</w:t>
      </w:r>
      <w:proofErr w:type="spell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ApprovalRequest</w:t>
      </w:r>
      <w:proofErr w:type="spell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.</w:t>
      </w:r>
    </w:p>
    <w:p w14:paraId="7841BDC5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color w:val="2E6DA4"/>
          <w:kern w:val="0"/>
          <w:sz w:val="22"/>
          <w:szCs w:val="22"/>
          <w:lang w:eastAsia="en-GB"/>
          <w14:ligatures w14:val="none"/>
        </w:rPr>
        <w:t>☐</w:t>
      </w:r>
      <w:r w:rsidRPr="00C20595">
        <w:rPr>
          <w:rFonts w:ascii="Calibri" w:eastAsia="Calibri" w:hAnsi="Calibri" w:cs="Calibri"/>
          <w:color w:val="2E6DA4"/>
          <w:kern w:val="0"/>
          <w:sz w:val="22"/>
          <w:szCs w:val="22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Define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relationships, keys, and the constraints that protect data integrity.</w:t>
      </w:r>
    </w:p>
    <w:p w14:paraId="0D1A1D3E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color w:val="2E6DA4"/>
          <w:kern w:val="0"/>
          <w:sz w:val="22"/>
          <w:szCs w:val="22"/>
          <w:lang w:eastAsia="en-GB"/>
          <w14:ligatures w14:val="none"/>
        </w:rPr>
        <w:t>☐</w:t>
      </w:r>
      <w:r w:rsidRPr="00C20595">
        <w:rPr>
          <w:rFonts w:ascii="Calibri" w:eastAsia="Calibri" w:hAnsi="Calibri" w:cs="Calibri"/>
          <w:color w:val="2E6DA4"/>
          <w:kern w:val="0"/>
          <w:sz w:val="22"/>
          <w:szCs w:val="22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Decide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how tenancy is represented on every ownable entity.</w:t>
      </w:r>
    </w:p>
    <w:p w14:paraId="3DE08281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color w:val="2E6DA4"/>
          <w:kern w:val="0"/>
          <w:sz w:val="22"/>
          <w:szCs w:val="22"/>
          <w:lang w:eastAsia="en-GB"/>
          <w14:ligatures w14:val="none"/>
        </w:rPr>
        <w:t>☐</w:t>
      </w:r>
      <w:r w:rsidRPr="00C20595">
        <w:rPr>
          <w:rFonts w:ascii="Calibri" w:eastAsia="Calibri" w:hAnsi="Calibri" w:cs="Calibri"/>
          <w:color w:val="2E6DA4"/>
          <w:kern w:val="0"/>
          <w:sz w:val="22"/>
          <w:szCs w:val="22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Plan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indexing for the queries you know are coming (availability lookups, booking overlap checks).</w:t>
      </w:r>
    </w:p>
    <w:p w14:paraId="68FB646E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color w:val="2E6DA4"/>
          <w:kern w:val="0"/>
          <w:sz w:val="22"/>
          <w:szCs w:val="22"/>
          <w:lang w:eastAsia="en-GB"/>
          <w14:ligatures w14:val="none"/>
        </w:rPr>
        <w:t>☐</w:t>
      </w:r>
      <w:r w:rsidRPr="00C20595">
        <w:rPr>
          <w:rFonts w:ascii="Calibri" w:eastAsia="Calibri" w:hAnsi="Calibri" w:cs="Calibri"/>
          <w:color w:val="2E6DA4"/>
          <w:kern w:val="0"/>
          <w:sz w:val="22"/>
          <w:szCs w:val="22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Produce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an ERD and write the initial migrations + seed data.</w:t>
      </w:r>
    </w:p>
    <w:p w14:paraId="0F48BA70" w14:textId="77777777" w:rsidR="00C20595" w:rsidRPr="00C20595" w:rsidRDefault="00C20595" w:rsidP="00C20595">
      <w:pPr>
        <w:pBdr>
          <w:left w:val="single" w:sz="18" w:space="8" w:color="9B3B0F"/>
        </w:pBdr>
        <w:spacing w:before="80" w:after="80" w:line="240" w:lineRule="auto"/>
        <w:ind w:left="20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C20595">
        <w:rPr>
          <w:rFonts w:ascii="Calibri" w:eastAsia="Calibri" w:hAnsi="Calibri" w:cs="Calibri"/>
          <w:b/>
          <w:bCs/>
          <w:color w:val="9B3B0F"/>
          <w:kern w:val="0"/>
          <w:sz w:val="19"/>
          <w:szCs w:val="19"/>
          <w:lang w:eastAsia="en-GB"/>
          <w14:ligatures w14:val="none"/>
        </w:rPr>
        <w:t xml:space="preserve">HARD </w:t>
      </w:r>
      <w:proofErr w:type="gramStart"/>
      <w:r w:rsidRPr="00C20595">
        <w:rPr>
          <w:rFonts w:ascii="Calibri" w:eastAsia="Calibri" w:hAnsi="Calibri" w:cs="Calibri"/>
          <w:b/>
          <w:bCs/>
          <w:color w:val="9B3B0F"/>
          <w:kern w:val="0"/>
          <w:sz w:val="19"/>
          <w:szCs w:val="19"/>
          <w:lang w:eastAsia="en-GB"/>
          <w14:ligatures w14:val="none"/>
        </w:rPr>
        <w:t xml:space="preserve">PROBLEM  </w:t>
      </w:r>
      <w:r w:rsidRPr="00C20595">
        <w:rPr>
          <w:rFonts w:ascii="Calibri" w:eastAsia="Calibri" w:hAnsi="Calibri" w:cs="Calibri"/>
          <w:color w:val="222222"/>
          <w:kern w:val="0"/>
          <w:sz w:val="20"/>
          <w:szCs w:val="20"/>
          <w:lang w:eastAsia="en-GB"/>
          <w14:ligatures w14:val="none"/>
        </w:rPr>
        <w:t>Your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0"/>
          <w:szCs w:val="20"/>
          <w:lang w:eastAsia="en-GB"/>
          <w14:ligatures w14:val="none"/>
        </w:rPr>
        <w:t xml:space="preserve"> model must be able to express recurring bookings and per-tenant isolation before you build either. If it can’t, you’ll pay for it every week after. Think this through now.</w:t>
      </w:r>
    </w:p>
    <w:p w14:paraId="7425126E" w14:textId="77777777" w:rsidR="00C20595" w:rsidRPr="00C20595" w:rsidRDefault="00C20595" w:rsidP="00C20595">
      <w:pPr>
        <w:spacing w:before="120" w:after="60" w:line="240" w:lineRule="auto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C20595">
        <w:rPr>
          <w:rFonts w:ascii="Calibri" w:eastAsia="Calibri" w:hAnsi="Calibri" w:cs="Calibri"/>
          <w:b/>
          <w:bCs/>
          <w:color w:val="1F3A5F"/>
          <w:kern w:val="0"/>
          <w:sz w:val="22"/>
          <w:szCs w:val="22"/>
          <w:lang w:eastAsia="en-GB"/>
          <w14:ligatures w14:val="none"/>
        </w:rPr>
        <w:t>Acceptance criteria</w:t>
      </w:r>
    </w:p>
    <w:p w14:paraId="4D410B8F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b/>
          <w:bCs/>
          <w:color w:val="1E7A46"/>
          <w:kern w:val="0"/>
          <w:sz w:val="21"/>
          <w:szCs w:val="21"/>
          <w:lang w:eastAsia="en-GB"/>
          <w14:ligatures w14:val="none"/>
        </w:rPr>
        <w:t>✓</w:t>
      </w:r>
      <w:r w:rsidRPr="00C20595">
        <w:rPr>
          <w:rFonts w:ascii="Calibri" w:eastAsia="Calibri" w:hAnsi="Calibri" w:cs="Calibri"/>
          <w:b/>
          <w:bCs/>
          <w:color w:val="1E7A46"/>
          <w:kern w:val="0"/>
          <w:sz w:val="21"/>
          <w:szCs w:val="21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An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ERD exists and is presented at the Week 1 design review before any application code is written.</w:t>
      </w:r>
    </w:p>
    <w:p w14:paraId="536541B1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b/>
          <w:bCs/>
          <w:color w:val="1E7A46"/>
          <w:kern w:val="0"/>
          <w:sz w:val="21"/>
          <w:szCs w:val="21"/>
          <w:lang w:eastAsia="en-GB"/>
          <w14:ligatures w14:val="none"/>
        </w:rPr>
        <w:t>✓</w:t>
      </w:r>
      <w:r w:rsidRPr="00C20595">
        <w:rPr>
          <w:rFonts w:ascii="Calibri" w:eastAsia="Calibri" w:hAnsi="Calibri" w:cs="Calibri"/>
          <w:b/>
          <w:bCs/>
          <w:color w:val="1E7A46"/>
          <w:kern w:val="0"/>
          <w:sz w:val="21"/>
          <w:szCs w:val="21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Migrations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run cleanly and seed a realistic multi-tenant dataset.</w:t>
      </w:r>
    </w:p>
    <w:p w14:paraId="6E960DD9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b/>
          <w:bCs/>
          <w:color w:val="1E7A46"/>
          <w:kern w:val="0"/>
          <w:sz w:val="21"/>
          <w:szCs w:val="21"/>
          <w:lang w:eastAsia="en-GB"/>
          <w14:ligatures w14:val="none"/>
        </w:rPr>
        <w:t>✓</w:t>
      </w:r>
      <w:r w:rsidRPr="00C20595">
        <w:rPr>
          <w:rFonts w:ascii="Calibri" w:eastAsia="Calibri" w:hAnsi="Calibri" w:cs="Calibri"/>
          <w:b/>
          <w:bCs/>
          <w:color w:val="1E7A46"/>
          <w:kern w:val="0"/>
          <w:sz w:val="21"/>
          <w:szCs w:val="21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The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model can represent a two-year weekly recurring booking without a redesign.</w:t>
      </w:r>
    </w:p>
    <w:p w14:paraId="0D9E22EA" w14:textId="77777777" w:rsidR="00C20595" w:rsidRPr="00C20595" w:rsidRDefault="00C20595" w:rsidP="00C20595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 w:rsidRPr="00C20595">
        <w:rPr>
          <w:rFonts w:ascii="Segoe UI Symbol" w:eastAsia="Calibri" w:hAnsi="Segoe UI Symbol" w:cs="Segoe UI Symbol"/>
          <w:b/>
          <w:bCs/>
          <w:color w:val="1E7A46"/>
          <w:kern w:val="0"/>
          <w:sz w:val="21"/>
          <w:szCs w:val="21"/>
          <w:lang w:eastAsia="en-GB"/>
          <w14:ligatures w14:val="none"/>
        </w:rPr>
        <w:t>✓</w:t>
      </w:r>
      <w:r w:rsidRPr="00C20595">
        <w:rPr>
          <w:rFonts w:ascii="Calibri" w:eastAsia="Calibri" w:hAnsi="Calibri" w:cs="Calibri"/>
          <w:b/>
          <w:bCs/>
          <w:color w:val="1E7A46"/>
          <w:kern w:val="0"/>
          <w:sz w:val="21"/>
          <w:szCs w:val="21"/>
          <w:lang w:eastAsia="en-GB"/>
          <w14:ligatures w14:val="none"/>
        </w:rPr>
        <w:t xml:space="preserve">  </w:t>
      </w:r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>Every</w:t>
      </w:r>
      <w:proofErr w:type="gramEnd"/>
      <w:r w:rsidRPr="00C20595">
        <w:rPr>
          <w:rFonts w:ascii="Calibri" w:eastAsia="Calibri" w:hAnsi="Calibri" w:cs="Calibri"/>
          <w:color w:val="222222"/>
          <w:kern w:val="0"/>
          <w:sz w:val="21"/>
          <w:szCs w:val="21"/>
          <w:lang w:eastAsia="en-GB"/>
          <w14:ligatures w14:val="none"/>
        </w:rPr>
        <w:t xml:space="preserve"> ownable entity is unambiguously tied to a tenant.</w:t>
      </w:r>
    </w:p>
    <w:p w14:paraId="06AE1FD6" w14:textId="77777777" w:rsidR="00C20595" w:rsidRPr="00C20595" w:rsidRDefault="00C20595" w:rsidP="00C20595">
      <w:pPr>
        <w:spacing w:after="0" w:line="240" w:lineRule="auto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C20595"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  <w:br w:type="page"/>
      </w:r>
    </w:p>
    <w:p w14:paraId="361E99A3" w14:textId="77777777" w:rsidR="0067289C" w:rsidRDefault="0067289C" w:rsidP="0067289C">
      <w:pPr>
        <w:pStyle w:val="Heading1"/>
        <w:spacing w:before="340" w:after="60"/>
        <w:rPr>
          <w:rFonts w:eastAsia="Calibri"/>
        </w:rPr>
      </w:pPr>
      <w:r>
        <w:rPr>
          <w:rFonts w:eastAsia="Calibri"/>
          <w:b/>
          <w:bCs/>
          <w:color w:val="1F3A5F"/>
          <w:sz w:val="30"/>
          <w:szCs w:val="30"/>
        </w:rPr>
        <w:lastRenderedPageBreak/>
        <w:t>WP-</w:t>
      </w:r>
      <w:proofErr w:type="gramStart"/>
      <w:r>
        <w:rPr>
          <w:rFonts w:eastAsia="Calibri"/>
          <w:b/>
          <w:bCs/>
          <w:color w:val="1F3A5F"/>
          <w:sz w:val="30"/>
          <w:szCs w:val="30"/>
        </w:rPr>
        <w:t>2  Backend</w:t>
      </w:r>
      <w:proofErr w:type="gramEnd"/>
      <w:r>
        <w:rPr>
          <w:rFonts w:eastAsia="Calibri"/>
          <w:b/>
          <w:bCs/>
          <w:color w:val="1F3A5F"/>
          <w:sz w:val="30"/>
          <w:szCs w:val="30"/>
        </w:rPr>
        <w:t xml:space="preserve"> Skeleton, Auth &amp; Tenancy</w:t>
      </w:r>
    </w:p>
    <w:p w14:paraId="4EF8E079" w14:textId="77777777" w:rsidR="0067289C" w:rsidRDefault="0067289C" w:rsidP="0067289C">
      <w:pPr>
        <w:spacing w:after="120"/>
        <w:rPr>
          <w:rFonts w:eastAsia="Calibri"/>
        </w:rPr>
      </w:pPr>
      <w:r>
        <w:rPr>
          <w:b/>
          <w:bCs/>
          <w:color w:val="666666"/>
          <w:sz w:val="19"/>
          <w:szCs w:val="19"/>
        </w:rPr>
        <w:t xml:space="preserve">Weeks: </w:t>
      </w:r>
      <w:r>
        <w:rPr>
          <w:color w:val="666666"/>
          <w:sz w:val="19"/>
          <w:szCs w:val="19"/>
        </w:rPr>
        <w:t xml:space="preserve">Week 2    </w:t>
      </w:r>
      <w:r>
        <w:rPr>
          <w:b/>
          <w:bCs/>
          <w:color w:val="666666"/>
          <w:sz w:val="19"/>
          <w:szCs w:val="19"/>
        </w:rPr>
        <w:t xml:space="preserve">Track: </w:t>
      </w:r>
      <w:r>
        <w:rPr>
          <w:color w:val="666666"/>
          <w:sz w:val="19"/>
          <w:szCs w:val="19"/>
        </w:rPr>
        <w:t>Backend</w:t>
      </w:r>
    </w:p>
    <w:p w14:paraId="3CC86F21" w14:textId="77777777" w:rsidR="0067289C" w:rsidRDefault="0067289C" w:rsidP="0067289C">
      <w:pPr>
        <w:spacing w:after="120"/>
      </w:pPr>
      <w:r>
        <w:rPr>
          <w:b/>
          <w:bCs/>
          <w:color w:val="222222"/>
          <w:sz w:val="21"/>
          <w:szCs w:val="21"/>
        </w:rPr>
        <w:t xml:space="preserve">Goal.  </w:t>
      </w:r>
      <w:r>
        <w:rPr>
          <w:color w:val="222222"/>
          <w:sz w:val="21"/>
          <w:szCs w:val="21"/>
        </w:rPr>
        <w:t xml:space="preserve">A layered backend with real authentication, tenant isolation, and the cross-cutting foundations — logging, error handling, and request dispatch — wired in from the start. Everything you build after this package uses these, so they </w:t>
      </w:r>
      <w:proofErr w:type="gramStart"/>
      <w:r>
        <w:rPr>
          <w:color w:val="222222"/>
          <w:sz w:val="21"/>
          <w:szCs w:val="21"/>
        </w:rPr>
        <w:t>have to</w:t>
      </w:r>
      <w:proofErr w:type="gramEnd"/>
      <w:r>
        <w:rPr>
          <w:color w:val="222222"/>
          <w:sz w:val="21"/>
          <w:szCs w:val="21"/>
        </w:rPr>
        <w:t xml:space="preserve"> be right early.</w:t>
      </w:r>
    </w:p>
    <w:p w14:paraId="705C116A" w14:textId="77777777" w:rsidR="0067289C" w:rsidRDefault="0067289C" w:rsidP="0067289C">
      <w:pPr>
        <w:spacing w:before="120" w:after="60"/>
      </w:pPr>
      <w:r>
        <w:rPr>
          <w:b/>
          <w:bCs/>
          <w:color w:val="1F3A5F"/>
          <w:sz w:val="22"/>
          <w:szCs w:val="22"/>
        </w:rPr>
        <w:t>Tasks — architecture &amp; auth</w:t>
      </w:r>
    </w:p>
    <w:p w14:paraId="1714F3D7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Establish</w:t>
      </w:r>
      <w:proofErr w:type="gramEnd"/>
      <w:r>
        <w:rPr>
          <w:color w:val="222222"/>
          <w:sz w:val="21"/>
          <w:szCs w:val="21"/>
        </w:rPr>
        <w:t xml:space="preserve"> layered architecture: API / application / domain / infrastructure.</w:t>
      </w:r>
    </w:p>
    <w:p w14:paraId="19DB3AFA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Wire</w:t>
      </w:r>
      <w:proofErr w:type="gramEnd"/>
      <w:r>
        <w:rPr>
          <w:color w:val="222222"/>
          <w:sz w:val="21"/>
          <w:szCs w:val="21"/>
        </w:rPr>
        <w:t xml:space="preserve"> EF Core to the WP-1 schema.</w:t>
      </w:r>
    </w:p>
    <w:p w14:paraId="0A724152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Implement</w:t>
      </w:r>
      <w:proofErr w:type="gramEnd"/>
      <w:r>
        <w:rPr>
          <w:color w:val="222222"/>
          <w:sz w:val="21"/>
          <w:szCs w:val="21"/>
        </w:rPr>
        <w:t xml:space="preserve"> credential login issuing a short-lived access token + rotating refresh token.</w:t>
      </w:r>
    </w:p>
    <w:p w14:paraId="5C40989D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Implement</w:t>
      </w:r>
      <w:proofErr w:type="gramEnd"/>
      <w:r>
        <w:rPr>
          <w:color w:val="222222"/>
          <w:sz w:val="21"/>
          <w:szCs w:val="21"/>
        </w:rPr>
        <w:t xml:space="preserve"> refresh-token rotation and reuse detection.</w:t>
      </w:r>
    </w:p>
    <w:p w14:paraId="352BB739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Implement</w:t>
      </w:r>
      <w:proofErr w:type="gramEnd"/>
      <w:r>
        <w:rPr>
          <w:color w:val="222222"/>
          <w:sz w:val="21"/>
          <w:szCs w:val="21"/>
        </w:rPr>
        <w:t xml:space="preserve"> role-based access control (</w:t>
      </w:r>
      <w:proofErr w:type="spellStart"/>
      <w:r>
        <w:rPr>
          <w:color w:val="222222"/>
          <w:sz w:val="21"/>
          <w:szCs w:val="21"/>
        </w:rPr>
        <w:t>SysAdmin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TenantAdmin</w:t>
      </w:r>
      <w:proofErr w:type="spellEnd"/>
      <w:r>
        <w:rPr>
          <w:color w:val="222222"/>
          <w:sz w:val="21"/>
          <w:szCs w:val="21"/>
        </w:rPr>
        <w:t>, Approver, Member).</w:t>
      </w:r>
    </w:p>
    <w:p w14:paraId="6920C6AB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Enforce</w:t>
      </w:r>
      <w:proofErr w:type="gramEnd"/>
      <w:r>
        <w:rPr>
          <w:color w:val="222222"/>
          <w:sz w:val="21"/>
          <w:szCs w:val="21"/>
        </w:rPr>
        <w:t xml:space="preserve"> tenant isolation structurally, so it can’t be forgotten per-query.</w:t>
      </w:r>
    </w:p>
    <w:p w14:paraId="29727A78" w14:textId="77777777" w:rsidR="0067289C" w:rsidRDefault="0067289C" w:rsidP="0067289C">
      <w:pPr>
        <w:pBdr>
          <w:left w:val="single" w:sz="18" w:space="8" w:color="9B3B0F"/>
        </w:pBdr>
        <w:spacing w:before="80" w:after="80"/>
        <w:ind w:left="200"/>
      </w:pPr>
      <w:r>
        <w:rPr>
          <w:b/>
          <w:bCs/>
          <w:color w:val="9B3B0F"/>
          <w:sz w:val="19"/>
          <w:szCs w:val="19"/>
        </w:rPr>
        <w:t xml:space="preserve">HARD </w:t>
      </w:r>
      <w:proofErr w:type="gramStart"/>
      <w:r>
        <w:rPr>
          <w:b/>
          <w:bCs/>
          <w:color w:val="9B3B0F"/>
          <w:sz w:val="19"/>
          <w:szCs w:val="19"/>
        </w:rPr>
        <w:t xml:space="preserve">PROBLEM  </w:t>
      </w:r>
      <w:r>
        <w:rPr>
          <w:color w:val="222222"/>
        </w:rPr>
        <w:t>Tenant</w:t>
      </w:r>
      <w:proofErr w:type="gramEnd"/>
      <w:r>
        <w:rPr>
          <w:color w:val="222222"/>
        </w:rPr>
        <w:t xml:space="preserve"> isolation must be enforced at a layer you cannot bypass by forgetting a WHERE clause. A filter copy-pasted into forty methods is the wrong answer — find the structural one.</w:t>
      </w:r>
    </w:p>
    <w:p w14:paraId="27D11A19" w14:textId="77777777" w:rsidR="0067289C" w:rsidRDefault="0067289C" w:rsidP="0067289C">
      <w:pPr>
        <w:spacing w:before="120" w:after="60"/>
      </w:pPr>
      <w:r>
        <w:rPr>
          <w:b/>
          <w:bCs/>
          <w:color w:val="1F3A5F"/>
          <w:sz w:val="22"/>
          <w:szCs w:val="22"/>
        </w:rPr>
        <w:t>Tasks — structured logging (</w:t>
      </w:r>
      <w:proofErr w:type="spellStart"/>
      <w:r>
        <w:rPr>
          <w:b/>
          <w:bCs/>
          <w:color w:val="1F3A5F"/>
          <w:sz w:val="22"/>
          <w:szCs w:val="22"/>
        </w:rPr>
        <w:t>Serilog</w:t>
      </w:r>
      <w:proofErr w:type="spellEnd"/>
      <w:r>
        <w:rPr>
          <w:b/>
          <w:bCs/>
          <w:color w:val="1F3A5F"/>
          <w:sz w:val="22"/>
          <w:szCs w:val="22"/>
        </w:rPr>
        <w:t>)</w:t>
      </w:r>
    </w:p>
    <w:p w14:paraId="1BE2F605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Configure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Serilog</w:t>
      </w:r>
      <w:proofErr w:type="spellEnd"/>
      <w:r>
        <w:rPr>
          <w:color w:val="222222"/>
          <w:sz w:val="21"/>
          <w:szCs w:val="21"/>
        </w:rPr>
        <w:t xml:space="preserve"> as the logging provider, replacing the default logger.</w:t>
      </w:r>
    </w:p>
    <w:p w14:paraId="6D04D57C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Log</w:t>
      </w:r>
      <w:proofErr w:type="gramEnd"/>
      <w:r>
        <w:rPr>
          <w:color w:val="222222"/>
          <w:sz w:val="21"/>
          <w:szCs w:val="21"/>
        </w:rPr>
        <w:t xml:space="preserve"> structured properties (key/value), not interpolated strings — so logs are </w:t>
      </w:r>
      <w:proofErr w:type="spellStart"/>
      <w:r>
        <w:rPr>
          <w:color w:val="222222"/>
          <w:sz w:val="21"/>
          <w:szCs w:val="21"/>
        </w:rPr>
        <w:t>queryable</w:t>
      </w:r>
      <w:proofErr w:type="spellEnd"/>
      <w:r>
        <w:rPr>
          <w:color w:val="222222"/>
          <w:sz w:val="21"/>
          <w:szCs w:val="21"/>
        </w:rPr>
        <w:t>, not just readable.</w:t>
      </w:r>
    </w:p>
    <w:p w14:paraId="6D7EF4AC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Attach</w:t>
      </w:r>
      <w:proofErr w:type="gramEnd"/>
      <w:r>
        <w:rPr>
          <w:color w:val="222222"/>
          <w:sz w:val="21"/>
          <w:szCs w:val="21"/>
        </w:rPr>
        <w:t xml:space="preserve"> a correlation ID to every request and flow it through all logs for that request (and later, through background jobs).</w:t>
      </w:r>
    </w:p>
    <w:p w14:paraId="3A7D69CA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Set</w:t>
      </w:r>
      <w:proofErr w:type="gramEnd"/>
      <w:r>
        <w:rPr>
          <w:color w:val="222222"/>
          <w:sz w:val="21"/>
          <w:szCs w:val="21"/>
        </w:rPr>
        <w:t xml:space="preserve"> sensible sinks and levels (console in dev; a structured sink you can query otherwise) and never log secrets, tokens, or passwords.</w:t>
      </w:r>
    </w:p>
    <w:p w14:paraId="7850353C" w14:textId="77777777" w:rsidR="0067289C" w:rsidRDefault="0067289C" w:rsidP="0067289C">
      <w:pPr>
        <w:spacing w:before="120" w:after="60"/>
      </w:pPr>
      <w:r>
        <w:rPr>
          <w:b/>
          <w:bCs/>
          <w:color w:val="1F3A5F"/>
          <w:sz w:val="22"/>
          <w:szCs w:val="22"/>
        </w:rPr>
        <w:t>Tasks — global exception handling</w:t>
      </w:r>
    </w:p>
    <w:p w14:paraId="38172A3F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Add</w:t>
      </w:r>
      <w:proofErr w:type="gramEnd"/>
      <w:r>
        <w:rPr>
          <w:color w:val="222222"/>
          <w:sz w:val="21"/>
          <w:szCs w:val="21"/>
        </w:rPr>
        <w:t xml:space="preserve"> a global exception handler (middleware or </w:t>
      </w:r>
      <w:proofErr w:type="spellStart"/>
      <w:r>
        <w:rPr>
          <w:color w:val="222222"/>
          <w:sz w:val="21"/>
          <w:szCs w:val="21"/>
        </w:rPr>
        <w:t>IExceptionHandler</w:t>
      </w:r>
      <w:proofErr w:type="spellEnd"/>
      <w:r>
        <w:rPr>
          <w:color w:val="222222"/>
          <w:sz w:val="21"/>
          <w:szCs w:val="21"/>
        </w:rPr>
        <w:t>) so no unhandled exception ever leaks a stack trace to the client.</w:t>
      </w:r>
    </w:p>
    <w:p w14:paraId="6BBC78A5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Map</w:t>
      </w:r>
      <w:proofErr w:type="gramEnd"/>
      <w:r>
        <w:rPr>
          <w:color w:val="222222"/>
          <w:sz w:val="21"/>
          <w:szCs w:val="21"/>
        </w:rPr>
        <w:t xml:space="preserve"> domain/validation errors to clean, consistent problem responses (e.g. </w:t>
      </w:r>
      <w:proofErr w:type="spellStart"/>
      <w:r>
        <w:rPr>
          <w:color w:val="222222"/>
          <w:sz w:val="21"/>
          <w:szCs w:val="21"/>
        </w:rPr>
        <w:t>ProblemDetails</w:t>
      </w:r>
      <w:proofErr w:type="spellEnd"/>
      <w:r>
        <w:rPr>
          <w:color w:val="222222"/>
          <w:sz w:val="21"/>
          <w:szCs w:val="21"/>
        </w:rPr>
        <w:t>) with the correlation ID attached.</w:t>
      </w:r>
    </w:p>
    <w:p w14:paraId="386D2FE7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Log</w:t>
      </w:r>
      <w:proofErr w:type="gramEnd"/>
      <w:r>
        <w:rPr>
          <w:color w:val="222222"/>
          <w:sz w:val="21"/>
          <w:szCs w:val="21"/>
        </w:rPr>
        <w:t xml:space="preserve"> the full exception server-side once, at the boundary — not scattered try/catch that swallows or double-logs.</w:t>
      </w:r>
    </w:p>
    <w:p w14:paraId="4FD3825D" w14:textId="77777777" w:rsidR="0067289C" w:rsidRDefault="0067289C" w:rsidP="0067289C">
      <w:pPr>
        <w:spacing w:before="120" w:after="60"/>
      </w:pPr>
      <w:r>
        <w:rPr>
          <w:b/>
          <w:bCs/>
          <w:color w:val="1F3A5F"/>
          <w:sz w:val="22"/>
          <w:szCs w:val="22"/>
        </w:rPr>
        <w:t>Tasks — custom mediator</w:t>
      </w:r>
    </w:p>
    <w:p w14:paraId="003D14A3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Write</w:t>
      </w:r>
      <w:proofErr w:type="gramEnd"/>
      <w:r>
        <w:rPr>
          <w:color w:val="222222"/>
          <w:sz w:val="21"/>
          <w:szCs w:val="21"/>
        </w:rPr>
        <w:t xml:space="preserve"> your own lightweight mediator (do not pull in </w:t>
      </w:r>
      <w:proofErr w:type="spellStart"/>
      <w:r>
        <w:rPr>
          <w:color w:val="222222"/>
          <w:sz w:val="21"/>
          <w:szCs w:val="21"/>
        </w:rPr>
        <w:t>MediatR</w:t>
      </w:r>
      <w:proofErr w:type="spellEnd"/>
      <w:r>
        <w:rPr>
          <w:color w:val="222222"/>
          <w:sz w:val="21"/>
          <w:szCs w:val="21"/>
        </w:rPr>
        <w:t>) — a dispatcher that maps a request object to its handler and invokes it.</w:t>
      </w:r>
    </w:p>
    <w:p w14:paraId="424D6571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Move</w:t>
      </w:r>
      <w:proofErr w:type="gramEnd"/>
      <w:r>
        <w:rPr>
          <w:color w:val="222222"/>
          <w:sz w:val="21"/>
          <w:szCs w:val="21"/>
        </w:rPr>
        <w:t xml:space="preserve"> request handling into command/query handlers so controllers stay thin and the application layer holds the logic.</w:t>
      </w:r>
    </w:p>
    <w:p w14:paraId="2E396AAF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Support</w:t>
      </w:r>
      <w:proofErr w:type="gramEnd"/>
      <w:r>
        <w:rPr>
          <w:color w:val="222222"/>
          <w:sz w:val="21"/>
          <w:szCs w:val="21"/>
        </w:rPr>
        <w:t xml:space="preserve"> a pipeline (</w:t>
      </w:r>
      <w:proofErr w:type="spellStart"/>
      <w:r>
        <w:rPr>
          <w:color w:val="222222"/>
          <w:sz w:val="21"/>
          <w:szCs w:val="21"/>
        </w:rPr>
        <w:t>behaviors</w:t>
      </w:r>
      <w:proofErr w:type="spellEnd"/>
      <w:r>
        <w:rPr>
          <w:color w:val="222222"/>
          <w:sz w:val="21"/>
          <w:szCs w:val="21"/>
        </w:rPr>
        <w:t>) so cross-cutting steps — logging, validation — wrap every handler in one place.</w:t>
      </w:r>
    </w:p>
    <w:p w14:paraId="6BBE7A23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>Add</w:t>
      </w:r>
      <w:proofErr w:type="gramEnd"/>
      <w:r>
        <w:rPr>
          <w:color w:val="222222"/>
          <w:sz w:val="21"/>
          <w:szCs w:val="21"/>
        </w:rPr>
        <w:t xml:space="preserve"> request validation with </w:t>
      </w:r>
      <w:proofErr w:type="spellStart"/>
      <w:r>
        <w:rPr>
          <w:color w:val="222222"/>
          <w:sz w:val="21"/>
          <w:szCs w:val="21"/>
        </w:rPr>
        <w:t>FluentValidation</w:t>
      </w:r>
      <w:proofErr w:type="spellEnd"/>
      <w:r>
        <w:rPr>
          <w:color w:val="222222"/>
          <w:sz w:val="21"/>
          <w:szCs w:val="21"/>
        </w:rPr>
        <w:t xml:space="preserve">, wired as a pipeline </w:t>
      </w:r>
      <w:proofErr w:type="spellStart"/>
      <w:r>
        <w:rPr>
          <w:color w:val="222222"/>
          <w:sz w:val="21"/>
          <w:szCs w:val="21"/>
        </w:rPr>
        <w:t>behavior</w:t>
      </w:r>
      <w:proofErr w:type="spellEnd"/>
      <w:r>
        <w:rPr>
          <w:color w:val="222222"/>
          <w:sz w:val="21"/>
          <w:szCs w:val="21"/>
        </w:rPr>
        <w:t xml:space="preserve"> so a request is validated before its handler runs — not with checks scattered inside handlers or controllers.</w:t>
      </w:r>
    </w:p>
    <w:p w14:paraId="05608442" w14:textId="77777777" w:rsidR="0067289C" w:rsidRDefault="0067289C" w:rsidP="0067289C">
      <w:pPr>
        <w:spacing w:after="50"/>
        <w:ind w:left="460" w:hanging="240"/>
      </w:pPr>
      <w:proofErr w:type="gramStart"/>
      <w:r>
        <w:rPr>
          <w:color w:val="2E6DA4"/>
          <w:sz w:val="22"/>
          <w:szCs w:val="22"/>
        </w:rPr>
        <w:lastRenderedPageBreak/>
        <w:t xml:space="preserve">☐  </w:t>
      </w:r>
      <w:r>
        <w:rPr>
          <w:color w:val="222222"/>
          <w:sz w:val="21"/>
          <w:szCs w:val="21"/>
        </w:rPr>
        <w:t>On</w:t>
      </w:r>
      <w:proofErr w:type="gramEnd"/>
      <w:r>
        <w:rPr>
          <w:color w:val="222222"/>
          <w:sz w:val="21"/>
          <w:szCs w:val="21"/>
        </w:rPr>
        <w:t xml:space="preserve"> validation failure, short-circuit the pipeline and return a clean 400 with the field errors (via the global handler / </w:t>
      </w:r>
      <w:proofErr w:type="spellStart"/>
      <w:r>
        <w:rPr>
          <w:color w:val="222222"/>
          <w:sz w:val="21"/>
          <w:szCs w:val="21"/>
        </w:rPr>
        <w:t>ProblemDetails</w:t>
      </w:r>
      <w:proofErr w:type="spellEnd"/>
      <w:r>
        <w:rPr>
          <w:color w:val="222222"/>
          <w:sz w:val="21"/>
          <w:szCs w:val="21"/>
        </w:rPr>
        <w:t>), never a raw exception.</w:t>
      </w:r>
    </w:p>
    <w:p w14:paraId="62BE8F0C" w14:textId="77777777" w:rsidR="0067289C" w:rsidRDefault="0067289C" w:rsidP="0067289C">
      <w:pPr>
        <w:pBdr>
          <w:left w:val="single" w:sz="18" w:space="8" w:color="9B3B0F"/>
        </w:pBdr>
        <w:spacing w:before="80" w:after="80"/>
        <w:ind w:left="200"/>
      </w:pPr>
      <w:r>
        <w:rPr>
          <w:b/>
          <w:bCs/>
          <w:color w:val="9B3B0F"/>
          <w:sz w:val="19"/>
          <w:szCs w:val="19"/>
        </w:rPr>
        <w:t xml:space="preserve">HARD </w:t>
      </w:r>
      <w:proofErr w:type="gramStart"/>
      <w:r>
        <w:rPr>
          <w:b/>
          <w:bCs/>
          <w:color w:val="9B3B0F"/>
          <w:sz w:val="19"/>
          <w:szCs w:val="19"/>
        </w:rPr>
        <w:t xml:space="preserve">PROBLEM  </w:t>
      </w:r>
      <w:r>
        <w:rPr>
          <w:color w:val="222222"/>
        </w:rPr>
        <w:t>Writing</w:t>
      </w:r>
      <w:proofErr w:type="gramEnd"/>
      <w:r>
        <w:rPr>
          <w:color w:val="222222"/>
        </w:rPr>
        <w:t xml:space="preserve"> your own mediator is where separation of concerns becomes real. The point isn’t to reimplement a library — it’s to understand what it does: resolve a handler, run a pipeline around it, keep controllers ignorant of the work. Keep it small and be able to explain every line.</w:t>
      </w:r>
    </w:p>
    <w:p w14:paraId="4382AC9B" w14:textId="77777777" w:rsidR="0067289C" w:rsidRDefault="0067289C" w:rsidP="0067289C">
      <w:pPr>
        <w:spacing w:before="120" w:after="60"/>
      </w:pPr>
      <w:r>
        <w:rPr>
          <w:b/>
          <w:bCs/>
          <w:color w:val="1F3A5F"/>
          <w:sz w:val="22"/>
          <w:szCs w:val="22"/>
        </w:rPr>
        <w:t>Acceptance criteria</w:t>
      </w:r>
    </w:p>
    <w:p w14:paraId="072489B5" w14:textId="77777777" w:rsidR="0067289C" w:rsidRDefault="0067289C" w:rsidP="0067289C">
      <w:pPr>
        <w:spacing w:after="5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>A</w:t>
      </w:r>
      <w:proofErr w:type="gramEnd"/>
      <w:r>
        <w:rPr>
          <w:color w:val="222222"/>
          <w:sz w:val="21"/>
          <w:szCs w:val="21"/>
        </w:rPr>
        <w:t xml:space="preserve"> user can log in and receive access + refresh tokens; refresh rotates on use.</w:t>
      </w:r>
    </w:p>
    <w:p w14:paraId="1FC39E9A" w14:textId="77777777" w:rsidR="0067289C" w:rsidRDefault="0067289C" w:rsidP="0067289C">
      <w:pPr>
        <w:spacing w:after="5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>A</w:t>
      </w:r>
      <w:proofErr w:type="gramEnd"/>
      <w:r>
        <w:rPr>
          <w:color w:val="222222"/>
          <w:sz w:val="21"/>
          <w:szCs w:val="21"/>
        </w:rPr>
        <w:t xml:space="preserve"> reused refresh token invalidates the session family.</w:t>
      </w:r>
    </w:p>
    <w:p w14:paraId="2EA8361D" w14:textId="77777777" w:rsidR="0067289C" w:rsidRDefault="0067289C" w:rsidP="0067289C">
      <w:pPr>
        <w:spacing w:after="5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>Passwords</w:t>
      </w:r>
      <w:proofErr w:type="gramEnd"/>
      <w:r>
        <w:rPr>
          <w:color w:val="222222"/>
          <w:sz w:val="21"/>
          <w:szCs w:val="21"/>
        </w:rPr>
        <w:t xml:space="preserve"> are hashed with a modern algorithm; never logged or stored in plaintext.</w:t>
      </w:r>
    </w:p>
    <w:p w14:paraId="0630CAE9" w14:textId="77777777" w:rsidR="0067289C" w:rsidRDefault="0067289C" w:rsidP="0067289C">
      <w:pPr>
        <w:spacing w:after="5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>A</w:t>
      </w:r>
      <w:proofErr w:type="gramEnd"/>
      <w:r>
        <w:rPr>
          <w:color w:val="222222"/>
          <w:sz w:val="21"/>
          <w:szCs w:val="21"/>
        </w:rPr>
        <w:t xml:space="preserve"> request scoped to tenant A can never read tenant B data, even with a forged identifier.</w:t>
      </w:r>
    </w:p>
    <w:p w14:paraId="18E4EDFE" w14:textId="77777777" w:rsidR="0067289C" w:rsidRDefault="0067289C" w:rsidP="0067289C">
      <w:pPr>
        <w:spacing w:after="5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>Every</w:t>
      </w:r>
      <w:proofErr w:type="gramEnd"/>
      <w:r>
        <w:rPr>
          <w:color w:val="222222"/>
          <w:sz w:val="21"/>
          <w:szCs w:val="21"/>
        </w:rPr>
        <w:t xml:space="preserve"> endpoint enforces role- and tenant-scoped authorization server-side.</w:t>
      </w:r>
    </w:p>
    <w:p w14:paraId="218AD63C" w14:textId="77777777" w:rsidR="0067289C" w:rsidRDefault="0067289C" w:rsidP="0067289C">
      <w:pPr>
        <w:spacing w:after="5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>Every</w:t>
      </w:r>
      <w:proofErr w:type="gramEnd"/>
      <w:r>
        <w:rPr>
          <w:color w:val="222222"/>
          <w:sz w:val="21"/>
          <w:szCs w:val="21"/>
        </w:rPr>
        <w:t xml:space="preserve"> log line for a request carries the same correlation ID, and logs are structured (</w:t>
      </w:r>
      <w:proofErr w:type="spellStart"/>
      <w:r>
        <w:rPr>
          <w:color w:val="222222"/>
          <w:sz w:val="21"/>
          <w:szCs w:val="21"/>
        </w:rPr>
        <w:t>queryable</w:t>
      </w:r>
      <w:proofErr w:type="spellEnd"/>
      <w:r>
        <w:rPr>
          <w:color w:val="222222"/>
          <w:sz w:val="21"/>
          <w:szCs w:val="21"/>
        </w:rPr>
        <w:t xml:space="preserve"> properties, not flat strings).</w:t>
      </w:r>
    </w:p>
    <w:p w14:paraId="66496EAC" w14:textId="77777777" w:rsidR="0067289C" w:rsidRDefault="0067289C" w:rsidP="0067289C">
      <w:pPr>
        <w:spacing w:after="5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>An</w:t>
      </w:r>
      <w:proofErr w:type="gramEnd"/>
      <w:r>
        <w:rPr>
          <w:color w:val="222222"/>
          <w:sz w:val="21"/>
          <w:szCs w:val="21"/>
        </w:rPr>
        <w:t xml:space="preserve"> unhandled exception returns a clean problem response with a correlation ID — never a raw stack trace — and is logged once server-side.</w:t>
      </w:r>
    </w:p>
    <w:p w14:paraId="2A27A323" w14:textId="77777777" w:rsidR="0067289C" w:rsidRDefault="0067289C" w:rsidP="0067289C">
      <w:pPr>
        <w:spacing w:after="5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>Controllers</w:t>
      </w:r>
      <w:proofErr w:type="gramEnd"/>
      <w:r>
        <w:rPr>
          <w:color w:val="222222"/>
          <w:sz w:val="21"/>
          <w:szCs w:val="21"/>
        </w:rPr>
        <w:t xml:space="preserve"> dispatch through your mediator to handlers; no business logic lives in a controller.</w:t>
      </w:r>
    </w:p>
    <w:p w14:paraId="7C6538B1" w14:textId="4DAA49B5" w:rsidR="00C20595" w:rsidRPr="00C20595" w:rsidRDefault="0067289C" w:rsidP="0067289C">
      <w:pPr>
        <w:spacing w:after="50" w:line="240" w:lineRule="auto"/>
        <w:ind w:left="460" w:hanging="240"/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>An</w:t>
      </w:r>
      <w:proofErr w:type="gramEnd"/>
      <w:r>
        <w:rPr>
          <w:color w:val="222222"/>
          <w:sz w:val="21"/>
          <w:szCs w:val="21"/>
        </w:rPr>
        <w:t xml:space="preserve"> invalid request is rejected by the </w:t>
      </w:r>
      <w:proofErr w:type="spellStart"/>
      <w:r>
        <w:rPr>
          <w:color w:val="222222"/>
          <w:sz w:val="21"/>
          <w:szCs w:val="21"/>
        </w:rPr>
        <w:t>FluentValidation</w:t>
      </w:r>
      <w:proofErr w:type="spellEnd"/>
      <w:r>
        <w:rPr>
          <w:color w:val="222222"/>
          <w:sz w:val="21"/>
          <w:szCs w:val="21"/>
        </w:rPr>
        <w:t xml:space="preserve"> pipeline </w:t>
      </w:r>
      <w:proofErr w:type="spellStart"/>
      <w:r>
        <w:rPr>
          <w:color w:val="222222"/>
          <w:sz w:val="21"/>
          <w:szCs w:val="21"/>
        </w:rPr>
        <w:t>behavior</w:t>
      </w:r>
      <w:proofErr w:type="spellEnd"/>
      <w:r>
        <w:rPr>
          <w:color w:val="222222"/>
          <w:sz w:val="21"/>
          <w:szCs w:val="21"/>
        </w:rPr>
        <w:t xml:space="preserve"> before the handler runs, returning a 400 with field-level errors.</w:t>
      </w:r>
    </w:p>
    <w:p w14:paraId="18925BC1" w14:textId="77777777" w:rsidR="00E1042F" w:rsidRDefault="00E1042F"/>
    <w:sectPr w:rsidR="00E1042F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C11EB" w14:textId="77777777" w:rsidR="007F03A1" w:rsidRDefault="007F03A1" w:rsidP="00C20595">
      <w:pPr>
        <w:spacing w:after="0" w:line="240" w:lineRule="auto"/>
      </w:pPr>
      <w:r>
        <w:separator/>
      </w:r>
    </w:p>
  </w:endnote>
  <w:endnote w:type="continuationSeparator" w:id="0">
    <w:p w14:paraId="1FDAAA6F" w14:textId="77777777" w:rsidR="007F03A1" w:rsidRDefault="007F03A1" w:rsidP="00C20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7213F" w14:textId="77777777" w:rsidR="007F03A1" w:rsidRDefault="007F03A1" w:rsidP="00C20595">
      <w:pPr>
        <w:spacing w:after="0" w:line="240" w:lineRule="auto"/>
      </w:pPr>
      <w:r>
        <w:separator/>
      </w:r>
    </w:p>
  </w:footnote>
  <w:footnote w:type="continuationSeparator" w:id="0">
    <w:p w14:paraId="16AD296C" w14:textId="77777777" w:rsidR="007F03A1" w:rsidRDefault="007F03A1" w:rsidP="00C20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1857" w14:textId="2EE2A06B" w:rsidR="00C20595" w:rsidRDefault="00C2059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31009D" wp14:editId="2D565B5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57885" cy="370205"/>
              <wp:effectExtent l="0" t="0" r="0" b="10795"/>
              <wp:wrapNone/>
              <wp:docPr id="1437300267" name="Text Box 2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E9B37A" w14:textId="7F9730F3" w:rsidR="00C20595" w:rsidRPr="00C20595" w:rsidRDefault="00C20595" w:rsidP="00C205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05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473100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oprietary" style="position:absolute;margin-left:16.35pt;margin-top:0;width:67.5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6BE9B37A" w14:textId="7F9730F3" w:rsidR="00C20595" w:rsidRPr="00C20595" w:rsidRDefault="00C20595" w:rsidP="00C205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205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0C89" w14:textId="363AB600" w:rsidR="00C20595" w:rsidRDefault="00C2059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64EFAD" wp14:editId="005F8B3F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857885" cy="370205"/>
              <wp:effectExtent l="0" t="0" r="0" b="10795"/>
              <wp:wrapNone/>
              <wp:docPr id="1289271913" name="Text Box 3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CE4B3" w14:textId="635E7301" w:rsidR="00C20595" w:rsidRPr="00C20595" w:rsidRDefault="00C20595" w:rsidP="00C205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05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0564EF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oprietary" style="position:absolute;margin-left:16.35pt;margin-top:0;width:67.5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457CE4B3" w14:textId="635E7301" w:rsidR="00C20595" w:rsidRPr="00C20595" w:rsidRDefault="00C20595" w:rsidP="00C205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205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CA263" w14:textId="3562E67F" w:rsidR="00C20595" w:rsidRDefault="00C2059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316DCE" wp14:editId="342C8E5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57885" cy="370205"/>
              <wp:effectExtent l="0" t="0" r="0" b="10795"/>
              <wp:wrapNone/>
              <wp:docPr id="855856050" name="Text Box 1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08A59B" w14:textId="66C5EA19" w:rsidR="00C20595" w:rsidRPr="00C20595" w:rsidRDefault="00C20595" w:rsidP="00C205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05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2E316DC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oprietary" style="position:absolute;margin-left:16.35pt;margin-top:0;width:67.5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008A59B" w14:textId="66C5EA19" w:rsidR="00C20595" w:rsidRPr="00C20595" w:rsidRDefault="00C20595" w:rsidP="00C205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205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95"/>
    <w:rsid w:val="00522D98"/>
    <w:rsid w:val="0067289C"/>
    <w:rsid w:val="007368FC"/>
    <w:rsid w:val="007B601C"/>
    <w:rsid w:val="007F03A1"/>
    <w:rsid w:val="008604A3"/>
    <w:rsid w:val="00C20595"/>
    <w:rsid w:val="00CF1231"/>
    <w:rsid w:val="00E1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E244"/>
  <w15:chartTrackingRefBased/>
  <w15:docId w15:val="{6CCB5393-C5BF-4462-B9FE-F42C236C7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5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05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887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Jotanovic</dc:creator>
  <cp:keywords/>
  <dc:description/>
  <cp:lastModifiedBy>Goran Jotanovic</cp:lastModifiedBy>
  <cp:revision>2</cp:revision>
  <dcterms:created xsi:type="dcterms:W3CDTF">2026-08-20T11:45:00Z</dcterms:created>
  <dcterms:modified xsi:type="dcterms:W3CDTF">2026-08-25T08:38:00Z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330353b2,55ab762b,4cd8ba69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Proprietary</vt:lpwstr>
  </property>
  <property fmtid="{D5CDD505-2E9C-101B-9397-08002B2CF9AE}" pid="5" name="MSIP_Label_ac629de7-cfdf-49f2-9483-80ca02e7fb52_Enabled">
    <vt:lpwstr>true</vt:lpwstr>
  </property>
  <property fmtid="{D5CDD505-2E9C-101B-9397-08002B2CF9AE}" pid="6" name="MSIP_Label_ac629de7-cfdf-49f2-9483-80ca02e7fb52_SetDate">
    <vt:lpwstr>2026-08-20T11:46:26Z</vt:lpwstr>
  </property>
  <property fmtid="{D5CDD505-2E9C-101B-9397-08002B2CF9AE}" pid="7" name="MSIP_Label_ac629de7-cfdf-49f2-9483-80ca02e7fb52_Method">
    <vt:lpwstr>Standard</vt:lpwstr>
  </property>
  <property fmtid="{D5CDD505-2E9C-101B-9397-08002B2CF9AE}" pid="8" name="MSIP_Label_ac629de7-cfdf-49f2-9483-80ca02e7fb52_Name">
    <vt:lpwstr>HTEC Internal</vt:lpwstr>
  </property>
  <property fmtid="{D5CDD505-2E9C-101B-9397-08002B2CF9AE}" pid="9" name="MSIP_Label_ac629de7-cfdf-49f2-9483-80ca02e7fb52_SiteId">
    <vt:lpwstr>9f85665b-7efd-4776-9dfe-b6bfda2565ee</vt:lpwstr>
  </property>
  <property fmtid="{D5CDD505-2E9C-101B-9397-08002B2CF9AE}" pid="10" name="MSIP_Label_ac629de7-cfdf-49f2-9483-80ca02e7fb52_ActionId">
    <vt:lpwstr>204b7075-2f8d-498c-b825-dbd958d74a7b</vt:lpwstr>
  </property>
  <property fmtid="{D5CDD505-2E9C-101B-9397-08002B2CF9AE}" pid="11" name="MSIP_Label_ac629de7-cfdf-49f2-9483-80ca02e7fb52_ContentBits">
    <vt:lpwstr>1</vt:lpwstr>
  </property>
  <property fmtid="{D5CDD505-2E9C-101B-9397-08002B2CF9AE}" pid="12" name="MSIP_Label_ac629de7-cfdf-49f2-9483-80ca02e7fb52_Tag">
    <vt:lpwstr>10, 3, 0, 1</vt:lpwstr>
  </property>
</Properties>
</file>