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1840s State Debt Credibility Test — Advisor Meeting, August 25, 2026</w:t>
      </w:r>
    </w:p>
    <w:p>
      <w:pPr>
        <w:pStyle w:val="Heading1"/>
      </w:pPr>
      <w:r>
        <w:t>Research Question</w:t>
      </w:r>
    </w:p>
    <w:p>
      <w:r>
        <w:t>Did bond markets treat the federal government's refusal to bail out defaulting states in the early 1840s as a credible commitment? The test: whether states that actually defaulted show persistently higher bond yields after the federal no-bailout signal than states that never defaulted, with states that were at real risk but ultimately survived landing in between. This ties to Hanno Lustig's March 2026 "Blue Bonds for Europe" post, which argues the EU's current debate over joint "blue bonds" repeats this exact dilemma, and that a credible no-bailout commitment is what forces real fiscal discipline. The 1840s episode is a real historical test of that argument: does the market actually believe a no-bailout commitment once it's made, or does it keep pricing in the possibility of rescue?</w:t>
      </w:r>
    </w:p>
    <w:p>
      <w:pPr>
        <w:pStyle w:val="Heading1"/>
      </w:pPr>
      <w:r>
        <w:t>What's Changed Since Last Meeting</w:t>
      </w:r>
    </w:p>
    <w:p>
      <w:pPr>
        <w:pStyle w:val="ListBullet"/>
      </w:pPr>
      <w:r>
        <w:t>Resolved all three open items from the meeting before last: before/after framing (panic window vs. policy window are now both explicitly defined and kept separate, not conflated), the no-bailout anchor date (Feb 11 1843, the Gwin/McDuffie assumption debate, reinforced by U.S. consul Christopher Hughes's Apr-Jul 1843 statements denying federal responsibility to European bankers -- flag: this still rests on secondary sources; a Google Books full-text search has narrowed this to a literal 2-minute manual verification step, see the anchor-date item below), and bond seniority (New York's canal bonds carry a real revenue pledge that the other states' general-obligation bonds lack -- resolved by switching to a maturity-matched New York GO bond for the primary comparison instead).</w:t>
      </w:r>
    </w:p>
    <w:p>
      <w:pPr>
        <w:pStyle w:val="ListBullet"/>
      </w:pPr>
      <w:r>
        <w:t>Found and corrected a significant yield-calculation issue: yield-to-maturity assumes the bond redeems at full par on schedule, an assumption that breaks down for an issuer already in active default. Discovered via Pennsylvania: one bond (S-2410) showed a spurious 30% average YTM against the same data that gives ~9.5% under current yield. Adopted a rule to use current yield instead of YTM for any observation falling inside a state's own active-default period, regardless of that bond's proximity to its own maturity.</w:t>
      </w:r>
    </w:p>
    <w:p>
      <w:pPr>
        <w:pStyle w:val="ListBullet"/>
      </w:pPr>
      <w:r>
        <w:t>Alabama's reclassification (defaulted -&gt; risky-but-survived) was presented at the last meeting; you both said you weren't sure -- it remains an open item, now strengthened by three independent secondary sources (Wallis's NBER paper, plus two general summaries that both exclude Alabama from the standard 1840s-defaulter list) but still needs a yes/no from you before it goes in the paper.</w:t>
      </w:r>
    </w:p>
    <w:p>
      <w:pPr>
        <w:pStyle w:val="ListBullet"/>
      </w:pPr>
      <w:r>
        <w:t>Answered your Jul 30 contagion question directly: does default punishment spread from a state to its OWN city, distinct from spreading to other states? Built Philadelphia-vs-Pennsylvania, then replicated it with a second Pennsylvania city (Pittsburgh) and a safe-state baseline (Cincinnati-vs-Ohio, plus NYC/Brooklyn-vs-New-York). Full write-up in a standalone talking-points doc -- see the City-vs-State Contagion Results section below.</w:t>
      </w:r>
    </w:p>
    <w:p>
      <w:pPr>
        <w:pStyle w:val="ListBullet"/>
      </w:pPr>
      <w:r>
        <w:t>Built the canal/revenue-pledged bond comparison that had been deferred multiple times, including an internal test of Indiana's 1847 debt-restructuring seniority split (preferred vs. deferred canal tranches) -- see the Indiana Tranche Result section below. This produced the single cleanest, largest confirmatory result in the whole project so far, and it was independently stress-tested the same way the S-2410 YTM issue was caught, before being trusted.</w:t>
      </w:r>
    </w:p>
    <w:p>
      <w:pPr>
        <w:pStyle w:val="ListBullet"/>
      </w:pPr>
      <w:r>
        <w:t>You separately mentioned Ohio (never defaulted) "saw yield rise during the 1840s" -- checked at monthly resolution and confirmed real, but it's the 1837 panic, not the 1843 policy signal: the spike bottoms in March 1842, months before Pennsylvania's actual default and about a year before the no-bailout signal, and Ohio's yields are already normalizing by the time the signal happens.</w:t>
      </w:r>
    </w:p>
    <w:p>
      <w:pPr>
        <w:pStyle w:val="Heading1"/>
      </w:pPr>
      <w:r>
        <w:t>Empirical Results</w:t>
      </w:r>
    </w:p>
    <w:p>
      <w:pPr>
        <w:pStyle w:val="Heading2"/>
      </w:pPr>
      <w:r>
        <w:t>a. Panic-Window Comparison (pre-1843)</w:t>
      </w:r>
    </w:p>
    <w:p>
      <w:r>
        <w:t>All five states/buckets, 1835-1845. Pennsylvania's price collapse is the sharpest and most visible move in the window (yield spiking above 15% into its Aug 1842 default). New York's canal bonds show real stress and a full recovery by 1843-45. Ohio dips hard alongside everyone else during the panic but recovers cleanly. Alabama and Indiana both show a sustained, not-fully-recovered elevation that persists through the end of this window.</w:t>
      </w:r>
    </w:p>
    <w:p>
      <w:r>
        <w:drawing>
          <wp:inline xmlns:a="http://schemas.openxmlformats.org/drawingml/2006/main" xmlns:pic="http://schemas.openxmlformats.org/drawingml/2006/picture">
            <wp:extent cx="5760720" cy="3142211"/>
            <wp:docPr id="1" name="Picture 1"/>
            <wp:cNvGraphicFramePr>
              <a:graphicFrameLocks noChangeAspect="1"/>
            </wp:cNvGraphicFramePr>
            <a:graphic>
              <a:graphicData uri="http://schemas.openxmlformats.org/drawingml/2006/picture">
                <pic:pic>
                  <pic:nvPicPr>
                    <pic:cNvPr id="0" name="chart_panic_window.png"/>
                    <pic:cNvPicPr/>
                  </pic:nvPicPr>
                  <pic:blipFill>
                    <a:blip r:embed="rId9"/>
                    <a:stretch>
                      <a:fillRect/>
                    </a:stretch>
                  </pic:blipFill>
                  <pic:spPr>
                    <a:xfrm>
                      <a:off x="0" y="0"/>
                      <a:ext cx="5760720" cy="3142211"/>
                    </a:xfrm>
                    <a:prstGeom prst="rect"/>
                  </pic:spPr>
                </pic:pic>
              </a:graphicData>
            </a:graphic>
          </wp:inline>
        </w:drawing>
      </w:r>
    </w:p>
    <w:p>
      <w:pPr>
        <w:jc w:val="left"/>
      </w:pPr>
      <w:r>
        <w:rPr>
          <w:i/>
          <w:color w:val="52514E"/>
          <w:sz w:val="18"/>
        </w:rPr>
        <w:t>Yield = mean across each state's usable primary bonds per date. YTM (approx.) for Pennsylvania/Ohio/New York; current yield for Alabama/Indiana (no usable maturity data) and for any state during its own active-default period (PA Aug 1842-Feb 1845, Indiana from Jan 1841). Alabama reclassified from "defaulted" to "risky but survived" -- pending advisor confirmation. New York (S-1650) GO bond data begins Jul 1842; pre-1842 NY credit risk is not directly observable in this series.</w:t>
      </w:r>
    </w:p>
    <w:p>
      <w:pPr>
        <w:pStyle w:val="Heading2"/>
      </w:pPr>
      <w:r>
        <w:t>b. Policy-Window Persistence, Short/Medium-Term (Apr 1843 onward)</w:t>
      </w:r>
    </w:p>
    <w:p>
      <w:r>
        <w:t>Pennsylvania shows roughly a 2 percentage-point yield premium over Ohio in the ~20 months of post-signal data it can support (S-2270/S-2330/S-2410 combined). Alabama shows a premium of similar magnitude, also around 2pp, despite not technically defaulting. New York shows no measurable premium over Ohio in the window its GO bond is actually observable. Two caveats on the New York result, stated plainly: (1) New York's GO bond has zero price data before July 1842, so we cannot observe whether it was under stress during the actual 1839-42 trough -- this is a data-coverage gap, not a finding of safety. (2) Even within the window we can observe, New York's GO bond price never drops below par while its canal bonds do -- but the canal bonds carry toll-revenue risk that is distinct from general state creditworthiness, so this residual gap may not speak cleanly to New York's overall credit risk.</w:t>
      </w:r>
    </w:p>
    <w:p>
      <w:r>
        <w:drawing>
          <wp:inline xmlns:a="http://schemas.openxmlformats.org/drawingml/2006/main" xmlns:pic="http://schemas.openxmlformats.org/drawingml/2006/picture">
            <wp:extent cx="5760720" cy="3142211"/>
            <wp:docPr id="2" name="Picture 2"/>
            <wp:cNvGraphicFramePr>
              <a:graphicFrameLocks noChangeAspect="1"/>
            </wp:cNvGraphicFramePr>
            <a:graphic>
              <a:graphicData uri="http://schemas.openxmlformats.org/drawingml/2006/picture">
                <pic:pic>
                  <pic:nvPicPr>
                    <pic:cNvPr id="0" name="chart_policy_short_medium.png"/>
                    <pic:cNvPicPr/>
                  </pic:nvPicPr>
                  <pic:blipFill>
                    <a:blip r:embed="rId10"/>
                    <a:stretch>
                      <a:fillRect/>
                    </a:stretch>
                  </pic:blipFill>
                  <pic:spPr>
                    <a:xfrm>
                      <a:off x="0" y="0"/>
                      <a:ext cx="5760720" cy="3142211"/>
                    </a:xfrm>
                    <a:prstGeom prst="rect"/>
                  </pic:spPr>
                </pic:pic>
              </a:graphicData>
            </a:graphic>
          </wp:inline>
        </w:drawing>
      </w:r>
    </w:p>
    <w:p>
      <w:pPr>
        <w:jc w:val="left"/>
      </w:pPr>
      <w:r>
        <w:rPr>
          <w:i/>
          <w:color w:val="52514E"/>
          <w:sz w:val="18"/>
        </w:rPr>
        <w:t>Yield = mean across each state's usable primary bonds per date. YTM (approx.) for Pennsylvania/Ohio/New York; current yield for Alabama/Indiana (no usable maturity data) and for any state during its own active-default period (PA Aug 1842-Feb 1845, Indiana from Jan 1841). Lines end where each state's usable data ends -- not a shared cutoff; see per-line labels. Alabama reclassified from "defaulted" to "risky but survived" -- pending advisor confirmation. New York (S-1650) GO bond data begins Jul 1842; pre-1842 NY credit risk is not directly observable in this series.</w:t>
      </w:r>
    </w:p>
    <w:p>
      <w:pPr>
        <w:pStyle w:val="Heading2"/>
      </w:pPr>
      <w:r>
        <w:t>c. Policy-Window Persistence, Long-Term (through the 1850s)</w:t>
      </w:r>
    </w:p>
    <w:p>
      <w:r>
        <w:t>Ohio vs. Alabama only -- the two states with genuine decade-spanning, dense coverage. Pennsylvania, Indiana, and New York do not have comparable long-run data and are excluded from this comparison rather than artificially extended. With Alabama reclassified, this chart no longer tests defaulted vs. safe -- it tests whether a risky-but-survived state's yield converges toward the safe state's over time. Alabama opens near-identical to Ohio right after the signal, widens to a ~2pp premium by 1847-48, then narrows but never fully closes through 1853.</w:t>
      </w:r>
    </w:p>
    <w:p>
      <w:r>
        <w:drawing>
          <wp:inline xmlns:a="http://schemas.openxmlformats.org/drawingml/2006/main" xmlns:pic="http://schemas.openxmlformats.org/drawingml/2006/picture">
            <wp:extent cx="5760720" cy="3142211"/>
            <wp:docPr id="3" name="Picture 3"/>
            <wp:cNvGraphicFramePr>
              <a:graphicFrameLocks noChangeAspect="1"/>
            </wp:cNvGraphicFramePr>
            <a:graphic>
              <a:graphicData uri="http://schemas.openxmlformats.org/drawingml/2006/picture">
                <pic:pic>
                  <pic:nvPicPr>
                    <pic:cNvPr id="0" name="chart_policy_long_term.png"/>
                    <pic:cNvPicPr/>
                  </pic:nvPicPr>
                  <pic:blipFill>
                    <a:blip r:embed="rId11"/>
                    <a:stretch>
                      <a:fillRect/>
                    </a:stretch>
                  </pic:blipFill>
                  <pic:spPr>
                    <a:xfrm>
                      <a:off x="0" y="0"/>
                      <a:ext cx="5760720" cy="3142211"/>
                    </a:xfrm>
                    <a:prstGeom prst="rect"/>
                  </pic:spPr>
                </pic:pic>
              </a:graphicData>
            </a:graphic>
          </wp:inline>
        </w:drawing>
      </w:r>
    </w:p>
    <w:p>
      <w:pPr>
        <w:jc w:val="left"/>
      </w:pPr>
      <w:r>
        <w:rPr>
          <w:i/>
          <w:color w:val="52514E"/>
          <w:sz w:val="18"/>
        </w:rPr>
        <w:t>Restricted to Ohio (S-2110/S-2080) and Alabama (S-0030) -- the only two series with genuine decade-long density. Pennsylvania, Indiana, and New York cannot support this window with current data. Alabama reclassified from "defaulted" to "risky but survived" -- pending advisor confirmation.</w:t>
      </w:r>
    </w:p>
    <w:p>
      <w:pPr>
        <w:pStyle w:val="Heading2"/>
      </w:pPr>
      <w:r>
        <w:t>d. Canal/Robustness Comparison -- Indiana Preferred vs. Deferred Tranches</w:t>
      </w:r>
    </w:p>
    <w:p>
      <w:r>
        <w:t>A secondary comparison using revenue-pledged canal bonds instead of general-obligation bonds -- New York's canal series and Indiana's 1847 Butler Bill restructuring tranches (Ohio's only canal bond has just 2 observations, both from 1825, and is dropped). The standout result is internal to Indiana: the 1847 restructuring split its canal debt into a senior "preferred" tranche and a junior "deferred" tranche. If the market priced that seniority split correctly, preferred should trade well above deferred. It does, by far more than expected -- a 40 percentage-point current-yield gap (17.96% vs. 57.99%), confirmed directly in raw prices (preferred trades at roughly 2-4x the price of deferred throughout), sustained across 146 observations over 27-36 distinct months, not a handful of thin data points. This was independently stress-tested the same way the S-2410 YTM issue was caught -- checked for thin-sample inflation, maturity-truncation contamination, and misapplied yield formulas -- and it survives on all counts. One open question, flagged for you below rather than guessed at: current yield assumes the deferred tranche's coupon was actually paid in cash, which may not hold for a tranche literally named "deferred" -- doesn't affect the price finding, but affects how precisely the yield percentages should be worded.</w:t>
      </w:r>
    </w:p>
    <w:p>
      <w:r>
        <w:drawing>
          <wp:inline xmlns:a="http://schemas.openxmlformats.org/drawingml/2006/main" xmlns:pic="http://schemas.openxmlformats.org/drawingml/2006/picture">
            <wp:extent cx="5760720" cy="2304288"/>
            <wp:docPr id="4" name="Picture 4"/>
            <wp:cNvGraphicFramePr>
              <a:graphicFrameLocks noChangeAspect="1"/>
            </wp:cNvGraphicFramePr>
            <a:graphic>
              <a:graphicData uri="http://schemas.openxmlformats.org/drawingml/2006/picture">
                <pic:pic>
                  <pic:nvPicPr>
                    <pic:cNvPr id="0" name="chart_canal_robustness.png"/>
                    <pic:cNvPicPr/>
                  </pic:nvPicPr>
                  <pic:blipFill>
                    <a:blip r:embed="rId12"/>
                    <a:stretch>
                      <a:fillRect/>
                    </a:stretch>
                  </pic:blipFill>
                  <pic:spPr>
                    <a:xfrm>
                      <a:off x="0" y="0"/>
                      <a:ext cx="5760720" cy="2304288"/>
                    </a:xfrm>
                    <a:prstGeom prst="rect"/>
                  </pic:spPr>
                </pic:pic>
              </a:graphicData>
            </a:graphic>
          </wp:inline>
        </w:drawing>
      </w:r>
    </w:p>
    <w:p>
      <w:pPr>
        <w:jc w:val="left"/>
      </w:pPr>
      <w:r>
        <w:rPr>
          <w:i/>
          <w:color w:val="52514E"/>
          <w:sz w:val="18"/>
        </w:rPr>
        <w:t>Left: New York canal bonds (S-1750/S-1820/S-1950), YTM with the standard truncation rules; one known 1,666-day data gap (S-1750) and one likely transcription-error price (S-1820, $160 for one week) are both flagged in the chart rather than silently smoothed over. Right: Indiana's preferred (S-0490+S-0500) vs. deferred (S-0480+S-0506) tranches, current yield (no maturity date in the codebook); one extreme outlier (500% current yield on a $1.00 price) is capped off-chart and labeled. All four Indiana tranches only begin trading in 1850, after the panic and policy windows -- this result speaks to seniority pricing, not the Feb/Apr 1843 signal.</w:t>
      </w:r>
    </w:p>
    <w:p>
      <w:pPr>
        <w:pStyle w:val="Heading2"/>
      </w:pPr>
      <w:r>
        <w:t>e. City-vs-State Contagion Results</w:t>
      </w:r>
    </w:p>
    <w:p>
      <w:r>
        <w:t>Direct answer to your Jul 30 question: does state default punish the defaulting state's OWN city, distinct from spreading to other states? Philadelphia-vs-Pennsylvania (built previously) shows a clean no-spillover result -- the state/city gap widens from 1.63pp to 2.68pp entirely because Pennsylvania's own yield rose, while Philadelphia's stayed essentially flat. This pass replicated it with a second Pennsylvania city, Pittsburgh, which lands at a near-identical 2.65pp gap -- two independent confirmations, not one. A newly-checked second Philadelphia city bond (C-1260) also fills the one gap in the original comparison: it has real data exactly in the window the original bond (C-1100) is missing, showing a 5.95pp gap (Philadelphia 5.59% vs. Pennsylvania 11.53%, n=19) using the standard post-signal window (Apr 1-Aug 5, 1843), or 6.28pp (Philadelphia 5.63% vs. Pennsylvania 11.91%, n=24) using the full window that fills C-1100's gap (Feb 25-Aug 5, 1843) -- closing the "can't observe the immediate reaction" limitation directly. For contrast: Cincinnati-vs-Ohio and NYC/Brooklyn-vs-New-York (both states that never defaulted) show essentially no city/state gap at all (-0.11pp and -0.19pp) -- the gap only opens up specifically where the state itself was under real stress, which is itself a useful corroborating pattern, not just two isolated numbers.</w:t>
      </w:r>
    </w:p>
    <w:p>
      <w:r>
        <w:drawing>
          <wp:inline xmlns:a="http://schemas.openxmlformats.org/drawingml/2006/main" xmlns:pic="http://schemas.openxmlformats.org/drawingml/2006/picture">
            <wp:extent cx="5760720" cy="3142211"/>
            <wp:docPr id="5" name="Picture 5"/>
            <wp:cNvGraphicFramePr>
              <a:graphicFrameLocks noChangeAspect="1"/>
            </wp:cNvGraphicFramePr>
            <a:graphic>
              <a:graphicData uri="http://schemas.openxmlformats.org/drawingml/2006/picture">
                <pic:pic>
                  <pic:nvPicPr>
                    <pic:cNvPr id="0" name="chart_cincinnati_vs_ohio.png"/>
                    <pic:cNvPicPr/>
                  </pic:nvPicPr>
                  <pic:blipFill>
                    <a:blip r:embed="rId13"/>
                    <a:stretch>
                      <a:fillRect/>
                    </a:stretch>
                  </pic:blipFill>
                  <pic:spPr>
                    <a:xfrm>
                      <a:off x="0" y="0"/>
                      <a:ext cx="5760720" cy="3142211"/>
                    </a:xfrm>
                    <a:prstGeom prst="rect"/>
                  </pic:spPr>
                </pic:pic>
              </a:graphicData>
            </a:graphic>
          </wp:inline>
        </w:drawing>
      </w:r>
    </w:p>
    <w:p>
      <w:r>
        <w:drawing>
          <wp:inline xmlns:a="http://schemas.openxmlformats.org/drawingml/2006/main" xmlns:pic="http://schemas.openxmlformats.org/drawingml/2006/picture">
            <wp:extent cx="5760720" cy="3142211"/>
            <wp:docPr id="6" name="Picture 6"/>
            <wp:cNvGraphicFramePr>
              <a:graphicFrameLocks noChangeAspect="1"/>
            </wp:cNvGraphicFramePr>
            <a:graphic>
              <a:graphicData uri="http://schemas.openxmlformats.org/drawingml/2006/picture">
                <pic:pic>
                  <pic:nvPicPr>
                    <pic:cNvPr id="0" name="chart_pittsburgh_vs_pa.png"/>
                    <pic:cNvPicPr/>
                  </pic:nvPicPr>
                  <pic:blipFill>
                    <a:blip r:embed="rId14"/>
                    <a:stretch>
                      <a:fillRect/>
                    </a:stretch>
                  </pic:blipFill>
                  <pic:spPr>
                    <a:xfrm>
                      <a:off x="0" y="0"/>
                      <a:ext cx="5760720" cy="3142211"/>
                    </a:xfrm>
                    <a:prstGeom prst="rect"/>
                  </pic:spPr>
                </pic:pic>
              </a:graphicData>
            </a:graphic>
          </wp:inline>
        </w:drawing>
      </w:r>
    </w:p>
    <w:p>
      <w:pPr>
        <w:jc w:val="left"/>
      </w:pPr>
      <w:r>
        <w:rPr>
          <w:i/>
          <w:color w:val="52514E"/>
          <w:sz w:val="18"/>
        </w:rPr>
        <w:t>Pittsburgh (PA) and Cincinnati (OH), current yield, no codebook maturity date for either city bond. Both have thin pre-signal coverage (5 observations each, right before the Feb 1843 cutoff) -- these are post-signal LEVELS comparisons, not pre/post divergence tests. Full detail and the NYC/Brooklyn check (63 candidate codes scanned, none support a pre/post test either) are in output/advisor_contagion_answer.md and output/nyc_brooklyn_check.csv.</w:t>
      </w:r>
    </w:p>
    <w:p>
      <w:pPr>
        <w:pStyle w:val="Heading1"/>
      </w:pPr>
      <w:r>
        <w:t>Headline Takeaway</w:t>
      </w:r>
    </w:p>
    <w:p>
      <w:r>
        <w:t>The market appears to price a consistent, modest (~2 percentage point) yield penalty for states that actually defaulted -- and Alabama's near-miss shows a premium of similar size despite never technically defaulting, suggesting the market was pricing real distress rather than the formal default event itself. But we don't see a comparable premium for a state whose distress didn't culminate in default (Ohio, which is the safe baseline throughout) or for New York, where the only usable instrument doesn't cover the period that would show it. This is a more precise, if more modest, claim than the original three-tier "graduated risk ladder" framing -- the persistence effect is real but smaller than first thought, and the middle bucket is better evidenced by Alabama than by New York right now.</w:t>
      </w:r>
    </w:p>
    <w:p>
      <w:r>
        <w:t>Two things added this pass sharpen that story further, in different directions. First, the market unambiguously did price seniority correctly within a single state's own restructured debt (Indiana's 40pp preferred/deferred gap) -- direct evidence the market was capable of fine-grained, well-calibrated risk pricing in this era, which strengthens confidence in the more modest ~2pp state-level premium being a real, deliberate market judgment rather than noise. Second, that same default punishment stayed contained to the state level and did not spread down to the defaulting state's own cities -- confirmed twice now (Philadelphia and Pittsburgh, both ~2.6-2.7pp gaps where the state's yield rose and the city's didn't) -- while cities of never-defaulted states show no gap at all. Together: the market drew sharp, consistent lines -- between security tranches within a state, and between a state and its own cities -- rather than pricing risk in a blunt, contagious way.</w:t>
      </w:r>
    </w:p>
    <w:p>
      <w:pPr>
        <w:pStyle w:val="Heading1"/>
      </w:pPr>
      <w:r>
        <w:t>Talking-Points Script</w:t>
      </w:r>
    </w:p>
    <w:p>
      <w:r>
        <w:t>The following is written to be read aloud directly while screen-sharing this document, walking through the "what's changed," "results," and "takeaway" sections above.</w:t>
      </w:r>
    </w:p>
    <w:p>
      <w:r>
        <w:t>Since we last talked, I closed out all three open items you flagged, and along the way I found a couple of things that actually change the shape of the results -- so let me walk through those first, then show you where the analysis stands now.</w:t>
      </w:r>
    </w:p>
    <w:p>
      <w:r>
        <w:t>On the three open items: the before/after framing is now cleanly split into two separate windows -- a panic window around the 1837 shock, and a policy window around the actual no-bailout signal -- and I don't conflate them anywhere anymore. For the no-bailout date itself, I've settled on February 11, 1843, the Gwin/McDuffie assumption debate in Congress, which I'm treating as reinforced by consul Christopher Hughes's statements to European bankers that April through July. I want to flag that both of those rest on secondary sources -- I couldn't get into the Congressional Globe transcript or McGrane's book directly, so if the exact date matters for the writeup we should treat that as still needing a primary-source check.</w:t>
      </w:r>
    </w:p>
    <w:p>
      <w:r>
        <w:rPr>
          <w:i/>
          <w:color w:val="52514E"/>
          <w:sz w:val="20"/>
        </w:rPr>
        <w:t>[Pause here if Hall wants to push on the date -- he may know a way to access McGrane directly.]</w:t>
      </w:r>
    </w:p>
    <w:p>
      <w:r>
        <w:t>On seniority: it turned out the New York bonds I'd originally picked were canal bonds, which carry a real revenue pledge on canal tolls -- that's a different security structure than the general-obligation bonds I was using for the other four states. I found a genuine New York GO bond, maturity-matched to the canal picks, and swapped it in for the primary comparison. I kept the canal bonds as a secondary reference, but they're not doing any work in the main results anymore.</w:t>
      </w:r>
    </w:p>
    <w:p>
      <w:r>
        <w:t>Now, the more consequential finding: I caught a real problem in how I was computing yield. I'd been using yield-to-maturity everywhere I had a maturity date, but YTM assumes the bond pays back full face value on schedule -- and that assumption just doesn't hold for a state that's actively in default. I found this because one of Pennsylvania's bonds was showing a 30 percent average yield, which is a huge outlier -- and when I checked, the same price data gives about 9.5 percent under current yield instead. So I built a rule: for any state, during its own active-default period, use current yield instead of YTM, no matter how far that bond is from its own maturity. That fix alone brought Pennsylvania's post-signal premium over Ohio down from about 13 percentage points to about 2 -- which is a much more believable number, but it's also a much smaller effect than the original chart implied.</w:t>
      </w:r>
    </w:p>
    <w:p>
      <w:r>
        <w:t>The other big finding: Alabama, which I'd had bucketed as "defaulted" since the very first pass through the codebook, actually didn't default in this episode at all. It raised taxes and liquidated its state bank to keep servicing its debt. So I've moved it into the "risky but survived" bucket alongside New York -- I want your sign-off on that before it's final, since it's been baked into every table and chart up to this point.</w:t>
      </w:r>
    </w:p>
    <w:p>
      <w:r>
        <w:t>One more thing worth flagging: Pennsylvania's headline number from our very first pass -- the price falling from about 90 to about 40 by August-September 1842 -- turns out to be panic-window evidence only. The bond behind that number stops having usable data right around the signal date, so it can't actually speak to persistence. I found two other Pennsylvania bonds that do have real post-signal coverage, and those are what's driving the Pennsylvania numbers now.</w:t>
      </w:r>
    </w:p>
    <w:p>
      <w:r>
        <w:t>So, walking through the three charts. First, the panic window -- this is the full five-state picture through 1845, and it looks close to what we expected: Pennsylvania's collapse is sharpest, New York's canal bonds dip and recover, Ohio dips with everyone else but comes back, and Alabama and Indiana both stay elevated without a clean recovery.</w:t>
      </w:r>
    </w:p>
    <w:p>
      <w:r>
        <w:t>Second, the policy window, short and medium term. This is the one that actually tests the hypothesis. Pennsylvania and Alabama both show about a 2 percentage-point premium over Ohio, similar in size to each other even though only one of them technically defaulted. New York shows essentially no premium in this window -- but I want to be upfront that this comes with two caveats, not one clean finding. New York's GO bond simply has no price data before July 1842, so we can't see whether it was stressed during the actual worst of the crisis -- that's a coverage gap, not evidence of safety. And even in the window we can see, while the GO bond never drops below par, its canal bonds do -- but that could be a toll-revenue-specific risk rather than a statement about New York's general credit.</w:t>
      </w:r>
    </w:p>
    <w:p>
      <w:r>
        <w:t>Third, the long-term window through the 1850s -- this only works for Ohio and Alabama, since they're the only two with real decade-spanning data. And here Alabama's premium over Ohio actually widens for a few years after the signal, peaking around 1847-48, then narrows but never fully closes through 1853.</w:t>
      </w:r>
    </w:p>
    <w:p>
      <w:r>
        <w:t>So where that leaves us: the market does seem to price a consistent, modest penalty -- somewhere around 2 percentage points -- for states that actually got into real distress, whether or not they technically defaulted. What we don't have yet is a clean middle-bucket story from New York, because the instrument we have for it just doesn't cover the period that would show it. That's a more precise but more modest claim than the three-tier "graduated ladder" framing we started with, and I think that's an honest place to be right now rather than something to paper over.</w:t>
      </w:r>
    </w:p>
    <w:p>
      <w:r>
        <w:t>Since we last talked, I also directly answered the contagion question you raised, Hall -- whether state default spreads to the defaulting state's own city. Philadelphia already showed a clean no-spillover result; I replicated that with Pittsburgh, and got almost the identical gap, about 2.65 points versus Philadelphia's 2.68. As a contrast, I checked Cincinnati against Ohio and New York City against New York state -- both states that never defaulted -- and both show essentially no city/state gap at all. So the pattern holds together: the gap only shows up when the state itself was actually under stress, not as a generic city-vs-state thing.</w:t>
      </w:r>
    </w:p>
    <w:p>
      <w:r>
        <w:t>The other big piece of new work is the canal-bond comparison I'd deferred a few times. The headline result there is inside Indiana specifically: their 1847 debt restructuring split canal debt into a senior and a junior tranche, and the market priced that split by a full 40 percentage points in current yield -- senior trades at two to four times the price of junior, consistently, across almost three years of data. I stress-tested this the same way I caught the S-2410 problem before trusting it, and it holds up -- it's not a thin-sample artifact. The one thing I couldn't pin down is whether the junior tranche's coupon was actually being paid in cash or was itself suspended by the restructuring -- that's a question for you two rather than something I can resolve by more digging.</w:t>
      </w:r>
    </w:p>
    <w:p>
      <w:r>
        <w:rPr>
          <w:i/>
          <w:color w:val="52514E"/>
          <w:sz w:val="20"/>
        </w:rPr>
        <w:t>[This is likely the single most striking number in the whole project -- worth giving it room.]</w:t>
      </w:r>
    </w:p>
    <w:p>
      <w:r>
        <w:t>Last thing: you'd mentioned, Hall, that Ohio's yield rose during the 1840s, as possible evidence of contagion reaching even a safe state. I checked that at monthly resolution -- it's real, but it's the 1837 panic, not the 1843 signal. The spike bottoms out in March 1842, months before Pennsylvania even defaulted, and Ohio's yields are already coming back down by the time the actual no-bailout signal happens. So it's a good illustration of exactly why I keep the panic window and the policy window separate everywhere in this analysis -- this is a case where that distinction actually changes the interpretation.</w:t>
      </w:r>
    </w:p>
    <w:p>
      <w:r>
        <w:t>So, putting it together: that's where I'd like your input most -- a yes or no on the Alabama reclassification, since it's baked into every chart at this point, and a quick read on whether "deferred" meant Indiana's junior tranche stopped getting paid or just got paid less/later, since that's the one open piece of the strongest result in the project. Everything else I think is ready to go into the paper as-is.</w:t>
      </w:r>
    </w:p>
    <w:p>
      <w:pPr>
        <w:pStyle w:val="Heading1"/>
      </w:pPr>
      <w:r>
        <w:t>Open Items for Next Phase</w:t>
      </w:r>
    </w:p>
    <w:p>
      <w:r>
        <w:t>Split into what's closed and what actually needs your input -- the second list is the real agenda.</w:t>
      </w:r>
    </w:p>
    <w:p>
      <w:pPr>
        <w:pStyle w:val="Heading2"/>
      </w:pPr>
      <w:r>
        <w:t>Resolved / closed -- nothing further needed before the paper</w:t>
      </w:r>
    </w:p>
    <w:p>
      <w:pPr>
        <w:pStyle w:val="ListBullet"/>
      </w:pPr>
      <w:r>
        <w:t>City-vs-state comparisons: Philadelphia, Pittsburgh, Cincinnati, and NYC/Brooklyn are all built and checked for hidden data gaps (not just assumed clean from total-observation counts).</w:t>
      </w:r>
    </w:p>
    <w:p>
      <w:pPr>
        <w:pStyle w:val="ListBullet"/>
      </w:pPr>
      <w:r>
        <w:t>Canal/robustness comparison script is built (New York + Indiana; Ohio dropped, 2 usable observations from 1825), including the Indiana tranche test, which was independently stress-tested and survived.</w:t>
      </w:r>
    </w:p>
    <w:p>
      <w:pPr>
        <w:pStyle w:val="ListBullet"/>
      </w:pPr>
      <w:r>
        <w:t>The Ohio yield-rise claim is resolved (real move, wrong window -- 1837 panic, not the 1843 signal).</w:t>
      </w:r>
    </w:p>
    <w:p>
      <w:pPr>
        <w:pStyle w:val="ListBullet"/>
      </w:pPr>
      <w:r>
        <w:t>Philadelphia County bonds were checked -- a legitimate but low-priority further data point if ever extended; not pursued this pass since three consistent city comparisons already exist.</w:t>
      </w:r>
    </w:p>
    <w:p>
      <w:pPr>
        <w:pStyle w:val="Heading2"/>
      </w:pPr>
      <w:r>
        <w:t>Genuinely requires you two -- the actual meeting agenda</w:t>
      </w:r>
    </w:p>
    <w:p>
      <w:pPr>
        <w:pStyle w:val="ListBullet"/>
      </w:pPr>
      <w:r>
        <w:t>Alabama reclassification (defaulted -&gt; risky-but-survived) -- still needs a yes/no; this is a judgment call about the historical episode, not something more data analysis can settle.</w:t>
      </w:r>
    </w:p>
    <w:p>
      <w:pPr>
        <w:pStyle w:val="ListBullet"/>
      </w:pPr>
      <w:r>
        <w:t>Indiana's deferred-tranche coupon question -- was interest actually suspended for the junior tranche, or just subordinated-but-paid? Affects how the 40pp/500% yield figures should be worded, not the underlying price finding.</w:t>
      </w:r>
    </w:p>
    <w:p>
      <w:pPr>
        <w:pStyle w:val="ListBullet"/>
      </w:pPr>
      <w:r>
        <w:t>Feb 11 1843 anchor date -- not really an advisor question, more a literal to-do: a human (not an automated tool) needs about 2 minutes to clear a CAPTCHA on one of two now-documented free sources before this can be cited as more than secondary-source-corroborated.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