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2"/>
        </w:rPr>
        <w:t>Guía rápida: tax codes IVA en facturas recibidas (Bélgica)</w:t>
      </w:r>
    </w:p>
    <w:p>
      <w:r>
        <w:t>DS Smith Packaging Belgium NV (DSSPB) y DS Smith Packaging Marketing NV (DSSPM). Resumen del manual AP1311. Orden de consulta: 1) origen del proveedor, 2) bienes o servicios, 3) % de IVA. Los artículos de ley son los citados en el manual.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841"/>
        <w:gridCol w:w="3841"/>
        <w:gridCol w:w="3841"/>
        <w:gridCol w:w="3841"/>
      </w:tblGrid>
      <w:tr>
        <w:trPr>
          <w:tblHeader w:val="true"/>
        </w:trPr>
        <w:tc>
          <w:tcPr>
            <w:tcW w:type="dxa" w:w="1134"/>
            <w:shd w:val="clear" w:fill="1F3A5F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3515"/>
            <w:shd w:val="clear" w:fill="1F3A5F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5783"/>
            <w:shd w:val="clear" w:fill="1F3A5F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Cuándo aplica</w:t>
            </w:r>
          </w:p>
        </w:tc>
        <w:tc>
          <w:tcPr>
            <w:tcW w:type="dxa" w:w="4535"/>
            <w:shd w:val="clear" w:fill="1F3A5F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Excepciones</w:t>
            </w:r>
          </w:p>
        </w:tc>
      </w:tr>
      <w:tr>
        <w:tc>
          <w:tcPr>
            <w:tcW w:type="dxa" w:w="15364"/>
            <w:gridSpan w:val="4"/>
            <w:shd w:val="clear" w:fill="DCE6F1"/>
          </w:tcPr>
          <w:p>
            <w:pPr>
              <w:spacing w:after="0"/>
            </w:pPr>
            <w:r/>
            <w:r>
              <w:rPr>
                <w:b/>
                <w:color w:val="1F3A5F"/>
              </w:rPr>
              <w:t>1. NACIONAL: proveedor belga (con NIF-IVA belga)</w:t>
            </w:r>
          </w:p>
        </w:tc>
      </w:tr>
      <w:tr>
        <w:tc>
          <w:tcPr>
            <w:tcW w:type="dxa" w:w="1134"/>
            <w:shd w:val="clear" w:fill="F2F2F2"/>
          </w:tcPr>
          <w:p>
            <w:pPr>
              <w:spacing w:after="0"/>
            </w:pPr>
            <w:r/>
            <w:r>
              <w:rPr>
                <w:b/>
              </w:rPr>
              <w:t>Q0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</w:rPr>
              <w:t>0 % / IVA no deducible (proveedor BE). Entra en la declaración de IVA.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</w:rPr>
              <w:t>Factura belga sin IVA o con IVA no deducible: vales de comida (Edenred), alquiler de edificios, seguros (incl. coches), extractos de tarjeta no BE (Barclays, Airplus), transporte 0 %, embalaje extra, leasing de bicicletas (O2O 1000029004), flores/regalos (Van Cauwenberge 1000016602, VDC Komerz 1000031901), restaurante (RSCA 1000016823).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</w:rPr>
              <w:t>Aunque la factura muestre 21 % o 6 %, estos proveedores van a Q0 (manda la SAP Tax Table; en Verify el campo IVA no está activo).</w:t>
            </w:r>
          </w:p>
          <w:p>
            <w:pPr>
              <w:spacing w:after="0"/>
            </w:pPr>
            <w:r>
              <w:rPr>
                <w:b w:val="0"/>
              </w:rPr>
              <w:t>No confundir con Q3: Q0 sí entra en la declaración.</w:t>
            </w:r>
          </w:p>
        </w:tc>
      </w:tr>
      <w:tr>
        <w:tc>
          <w:tcPr>
            <w:tcW w:type="dxa" w:w="1134"/>
            <w:shd w:val="clear" w:fill="F2F2F2"/>
          </w:tcPr>
          <w:p>
            <w:pPr>
              <w:spacing w:after="0"/>
            </w:pPr>
            <w:r/>
            <w:r>
              <w:rPr>
                <w:b/>
              </w:rPr>
              <w:t>Q3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</w:rPr>
              <w:t>Fuera del ámbito del IVA (sin %, sin efecto en la declaración).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</w:rPr>
              <w:t>Cargos sociales (SD Worx) e impuestos. En facturas de SD Worx: parte administrativa con IVA BE y cargos sociales con Q3.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</w:rPr>
              <w:t>Se usa sobre todo en asientos manuales y accruals.</w:t>
            </w:r>
          </w:p>
        </w:tc>
      </w:tr>
      <w:tr>
        <w:tc>
          <w:tcPr>
            <w:tcW w:type="dxa" w:w="1134"/>
            <w:shd w:val="clear" w:fill="F2F2F2"/>
          </w:tcPr>
          <w:p>
            <w:pPr>
              <w:spacing w:after="0"/>
            </w:pPr>
            <w:r/>
            <w:r>
              <w:rPr>
                <w:b/>
              </w:rPr>
              <w:t>Q1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</w:rPr>
              <w:t>21 % bienes (commodities).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</w:rPr>
              <w:t>Proveedor BE con 21 % que vende commodities. PO 100… (YSOS) o contrato marco 55…: casi siempre Q1.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</w:rPr>
              <w:t>Solo DSSPB. DSSPM nunca usa Q1.</w:t>
            </w:r>
          </w:p>
          <w:p>
            <w:pPr>
              <w:spacing w:after="0"/>
            </w:pPr>
            <w:r>
              <w:rPr>
                <w:b w:val="0"/>
              </w:rPr>
              <w:t>PO SAP 45…: manda la SAP Tax Table; confirmar en el texto si es bien o servicio.</w:t>
            </w:r>
          </w:p>
        </w:tc>
      </w:tr>
      <w:tr>
        <w:tc>
          <w:tcPr>
            <w:tcW w:type="dxa" w:w="1134"/>
            <w:shd w:val="clear" w:fill="F2F2F2"/>
          </w:tcPr>
          <w:p>
            <w:pPr>
              <w:spacing w:after="0"/>
            </w:pPr>
            <w:r/>
            <w:r>
              <w:rPr>
                <w:b/>
              </w:rPr>
              <w:t>QK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</w:rPr>
              <w:t>21 % servicios y bienes diversos.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</w:rPr>
              <w:t>Proveedor BE con 21 % de servicios o bienes diversos. PO Coupa 3000…: siempre QK.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</w:rPr>
              <w:t>Único código de 21 % en DSSPM.</w:t>
            </w:r>
          </w:p>
          <w:p>
            <w:pPr>
              <w:spacing w:after="0"/>
            </w:pPr>
            <w:r>
              <w:rPr>
                <w:b w:val="0"/>
              </w:rPr>
              <w:t>Si la PO es 45… manda la SAP Tax Table.</w:t>
            </w:r>
          </w:p>
        </w:tc>
      </w:tr>
      <w:tr>
        <w:tc>
          <w:tcPr>
            <w:tcW w:type="dxa" w:w="1134"/>
            <w:shd w:val="clear" w:fill="F2F2F2"/>
          </w:tcPr>
          <w:p>
            <w:pPr>
              <w:spacing w:after="0"/>
            </w:pPr>
            <w:r/>
            <w:r>
              <w:rPr>
                <w:b/>
              </w:rPr>
              <w:t>Q8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</w:rPr>
              <w:t>6 % bienes (commodities). NO USAR.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</w:rPr>
              <w:t>No se usa en las sociedades belgas.</w:t>
            </w:r>
          </w:p>
        </w:tc>
      </w:tr>
      <w:tr>
        <w:tc>
          <w:tcPr>
            <w:tcW w:type="dxa" w:w="1134"/>
            <w:shd w:val="clear" w:fill="F2F2F2"/>
          </w:tcPr>
          <w:p>
            <w:pPr>
              <w:spacing w:after="0"/>
            </w:pPr>
            <w:r/>
            <w:r>
              <w:rPr>
                <w:b/>
              </w:rPr>
              <w:t>QM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</w:rPr>
              <w:t>6 % servicios y bienes diversos.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</w:rPr>
              <w:t>Agua de red (De Watergroep 1000016615, TMVW 1000016594), taxi, agua potable/refrescos/fruta, medicamentos, periódicos y libros.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134"/>
            <w:shd w:val="clear" w:fill="F2F2F2"/>
          </w:tcPr>
          <w:p>
            <w:pPr>
              <w:spacing w:after="0"/>
            </w:pPr>
            <w:r/>
            <w:r>
              <w:rPr>
                <w:b/>
              </w:rPr>
              <w:t>QL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</w:rPr>
              <w:t>12 % servicios. NO USAR.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</w:rPr>
              <w:t>Ver Q7.</w:t>
            </w:r>
          </w:p>
        </w:tc>
      </w:tr>
      <w:tr>
        <w:tc>
          <w:tcPr>
            <w:tcW w:type="dxa" w:w="1134"/>
            <w:shd w:val="clear" w:fill="F2F2F2"/>
          </w:tcPr>
          <w:p>
            <w:pPr>
              <w:spacing w:after="0"/>
            </w:pPr>
            <w:r/>
            <w:r>
              <w:rPr>
                <w:b/>
              </w:rPr>
              <w:t>Q7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</w:rPr>
              <w:t>12 % bienes. NO USAR.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</w:rPr>
              <w:t>12 % nunca es deducible (típico restaurante/catering con clientes).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</w:rPr>
              <w:t>Ver Q0 para gastos no deducibles. (Pendiente confirmar con SSC.)</w:t>
            </w:r>
          </w:p>
        </w:tc>
      </w:tr>
      <w:tr>
        <w:tc>
          <w:tcPr>
            <w:tcW w:type="dxa" w:w="1134"/>
            <w:shd w:val="clear" w:fill="F2F2F2"/>
          </w:tcPr>
          <w:p>
            <w:pPr>
              <w:spacing w:after="0"/>
            </w:pPr>
            <w:r/>
            <w:r>
              <w:rPr>
                <w:b/>
              </w:rPr>
              <w:t>QI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</w:rPr>
              <w:t>21 % servicios, 65 % no deducible (35 % deducible).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</w:rPr>
              <w:t>Leasing y gastos de coches de empresa (mantenimiento, combustible): KBC Autolease 1000003080, Alphabet 1000016478, AXUS/ALD 1000002716, Arval 1000027841.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</w:rPr>
              <w:t>Aplica a todo coste ligado al coche de empresa.</w:t>
            </w:r>
          </w:p>
        </w:tc>
      </w:tr>
      <w:tr>
        <w:tc>
          <w:tcPr>
            <w:tcW w:type="dxa" w:w="1134"/>
            <w:shd w:val="clear" w:fill="F2F2F2"/>
          </w:tcPr>
          <w:p>
            <w:pPr>
              <w:spacing w:after="0"/>
            </w:pPr>
            <w:r/>
            <w:r>
              <w:rPr>
                <w:b/>
              </w:rPr>
              <w:t>QJ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</w:rPr>
              <w:t>21 % servicios, 25 % no deducible (75 % deducible).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</w:rPr>
              <w:t>Móviles: Proximus, cuenta GL 633010.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</w:rPr>
              <w:t>Las facturas llegan con QJ: cambiar a QK si no es móvil (líneas fijas, internet).</w:t>
            </w:r>
          </w:p>
        </w:tc>
      </w:tr>
      <w:tr>
        <w:tc>
          <w:tcPr>
            <w:tcW w:type="dxa" w:w="1134"/>
            <w:shd w:val="clear" w:fill="F2F2F2"/>
          </w:tcPr>
          <w:p>
            <w:pPr>
              <w:spacing w:after="0"/>
            </w:pPr>
            <w:r/>
            <w:r>
              <w:rPr>
                <w:b/>
              </w:rPr>
              <w:t>QN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</w:rPr>
              <w:t>0 % servicios: autoliquidación local (obras en inmuebles/instalaciones).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</w:rPr>
              <w:t>Contratista BE: no cobra IVA por art. 20 K.B. nº 1; suele indicar "BTW verlegd" / "reverse charge" (obligatorio mencionarlo). Limpieza de edificios, pintura, reparaciones y mantenimiento de máquinas.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</w:rPr>
              <w:t>No confundir con servicios intracomunitarios (Q5): aquí el proveedor es belga con NIF-IVA BE.</w:t>
            </w:r>
          </w:p>
        </w:tc>
      </w:tr>
      <w:tr>
        <w:tc>
          <w:tcPr>
            <w:tcW w:type="dxa" w:w="1134"/>
            <w:shd w:val="clear" w:fill="F2F2F2"/>
          </w:tcPr>
          <w:p>
            <w:pPr>
              <w:spacing w:after="0"/>
            </w:pPr>
            <w:r/>
            <w:r>
              <w:rPr>
                <w:b/>
              </w:rPr>
              <w:t>QA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</w:rPr>
              <w:t>Sin %: regalos / uso privado (sin deducción).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</w:rPr>
              <w:t>Sin detalle en el manual.</w:t>
            </w:r>
          </w:p>
        </w:tc>
      </w:tr>
      <w:tr>
        <w:tc>
          <w:tcPr>
            <w:tcW w:type="dxa" w:w="15364"/>
            <w:gridSpan w:val="4"/>
            <w:shd w:val="clear" w:fill="DCE6F1"/>
          </w:tcPr>
          <w:p>
            <w:pPr>
              <w:spacing w:after="0"/>
            </w:pPr>
            <w:r/>
            <w:r>
              <w:rPr>
                <w:b/>
                <w:color w:val="1F3A5F"/>
              </w:rPr>
              <w:t>2. INTRACOMUNITARIO: proveedor de otro estado UE</w:t>
            </w:r>
          </w:p>
        </w:tc>
      </w:tr>
      <w:tr>
        <w:tc>
          <w:tcPr>
            <w:tcW w:type="dxa" w:w="1134"/>
            <w:shd w:val="clear" w:fill="F2F2F2"/>
          </w:tcPr>
          <w:p>
            <w:pPr>
              <w:spacing w:after="0"/>
            </w:pPr>
            <w:r/>
            <w:r>
              <w:rPr>
                <w:b/>
              </w:rPr>
              <w:t>Q4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</w:rPr>
              <w:t>0 % bienes UE: autoliquidación (adquisición intracomunitaria).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</w:rPr>
              <w:t>Proveedor con NIF-IVA de otro estado UE (no BE); transporte a otro estado miembro por proveedor o cliente. Directive 2006/112/EC (entrega intracomunitaria exenta). Textos: "Intracommunautaire levering", "Intra-community delivery", "Livraison intracommunautaire exonérée de TVA", códigos de mercancía, peso, Incoterms.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</w:rPr>
              <w:t>Vale para todos los bienes (no se separa commodity/diverso).</w:t>
            </w:r>
          </w:p>
          <w:p>
            <w:pPr>
              <w:spacing w:after="0"/>
            </w:pPr>
            <w:r>
              <w:rPr>
                <w:b w:val="0"/>
              </w:rPr>
              <w:t>Un mismo proveedor puede vender bienes y servicios (Q4 y Q5).</w:t>
            </w:r>
          </w:p>
        </w:tc>
      </w:tr>
      <w:tr>
        <w:tc>
          <w:tcPr>
            <w:tcW w:type="dxa" w:w="1134"/>
            <w:shd w:val="clear" w:fill="F2F2F2"/>
          </w:tcPr>
          <w:p>
            <w:pPr>
              <w:spacing w:after="0"/>
            </w:pPr>
            <w:r/>
            <w:r>
              <w:rPr>
                <w:b/>
              </w:rPr>
              <w:t>Q5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</w:rPr>
              <w:t>0 % servicios UE: autoliquidación.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</w:rPr>
              <w:t>Servicio de proveedor UE sin IVA. Art. 44 Directiva IVA: el servicio tributa en Bélgica. Típicos: transporte, mantenimiento/consultoría IT, recharges intercompany, alquileres, comisiones, mantenimiento.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</w:rPr>
              <w:t>Con IVA local extranjero (no autoliquidar): formación en otro país UE y restaurantes locales.</w:t>
            </w:r>
          </w:p>
          <w:p>
            <w:pPr>
              <w:spacing w:after="0"/>
            </w:pPr>
            <w:r>
              <w:rPr>
                <w:b w:val="0"/>
              </w:rPr>
              <w:t>DSSPM: consultoría con IVA extranjero es incorrecto; pedir nueva factura con autoliquidación.</w:t>
            </w:r>
          </w:p>
          <w:p>
            <w:pPr>
              <w:spacing w:after="0"/>
            </w:pPr>
            <w:r>
              <w:rPr>
                <w:b w:val="0"/>
              </w:rPr>
              <w:t>Obras en inmuebles/instalaciones: ver QN.</w:t>
            </w:r>
          </w:p>
        </w:tc>
      </w:tr>
      <w:tr>
        <w:tc>
          <w:tcPr>
            <w:tcW w:type="dxa" w:w="1134"/>
            <w:shd w:val="clear" w:fill="F2F2F2"/>
          </w:tcPr>
          <w:p>
            <w:pPr>
              <w:spacing w:after="0"/>
            </w:pPr>
            <w:r/>
            <w:r>
              <w:rPr>
                <w:b/>
              </w:rPr>
              <w:t>Q9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</w:rPr>
              <w:t>0 % bienes: autoliquidación local (proveedor no establecido en BE).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</w:rPr>
              <w:t>Solo DS Smith Packaging Netherlands BV (1000002308), compra de papel (DS Smith Paper Sourcing). Tiene NIF-IVA belga pero está establecido en NL; no factura IVA BE. Art. 194 Directiva IVA.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</w:rPr>
              <w:t>Verify y el cockpit lo asignan automáticamente. Todas sus facturas, incluidos rebates.</w:t>
            </w:r>
          </w:p>
        </w:tc>
      </w:tr>
      <w:tr>
        <w:tc>
          <w:tcPr>
            <w:tcW w:type="dxa" w:w="1134"/>
            <w:shd w:val="clear" w:fill="F2F2F2"/>
          </w:tcPr>
          <w:p>
            <w:pPr>
              <w:spacing w:after="0"/>
            </w:pPr>
            <w:r/>
            <w:r>
              <w:rPr>
                <w:b/>
              </w:rPr>
              <w:t>QN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</w:rPr>
              <w:t>0 % servicios: autoliquidación local (proveedor UE que instala en Bélgica).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</w:rPr>
              <w:t>Proveedor UE que monta/instala en Bélgica y no se registra en BE: art. 194 Directiva IVA o mención "reverse charge". Normalmente activos fijos de importe alto.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</w:rPr>
              <w:t>No confundir con Q5; el proveedor no siempre cita el artículo: revisar si hay instalación.</w:t>
            </w:r>
          </w:p>
        </w:tc>
      </w:tr>
      <w:tr>
        <w:tc>
          <w:tcPr>
            <w:tcW w:type="dxa" w:w="1134"/>
            <w:shd w:val="clear" w:fill="F2F2F2"/>
          </w:tcPr>
          <w:p>
            <w:pPr>
              <w:spacing w:after="0"/>
            </w:pPr>
            <w:r/>
            <w:r>
              <w:rPr>
                <w:b/>
              </w:rPr>
              <w:t>QB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</w:rPr>
              <w:t>20 % IVA extranjero Austria.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</w:rPr>
              <w:t>Factura con IVA austriaco.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</w:rPr>
              <w:t>Sin detalle en el manual.</w:t>
            </w:r>
          </w:p>
        </w:tc>
      </w:tr>
      <w:tr>
        <w:tc>
          <w:tcPr>
            <w:tcW w:type="dxa" w:w="1134"/>
            <w:shd w:val="clear" w:fill="F2F2F2"/>
          </w:tcPr>
          <w:p>
            <w:pPr>
              <w:spacing w:after="0"/>
            </w:pPr>
            <w:r/>
            <w:r>
              <w:rPr>
                <w:b/>
              </w:rPr>
              <w:t>QC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</w:rPr>
              <w:t>21 % IVA extranjero Países Bajos.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</w:rPr>
              <w:t>Factura con IVA neerlandés.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</w:rPr>
              <w:t>Sin detalle en el manual.</w:t>
            </w:r>
          </w:p>
        </w:tc>
      </w:tr>
      <w:tr>
        <w:tc>
          <w:tcPr>
            <w:tcW w:type="dxa" w:w="1134"/>
            <w:shd w:val="clear" w:fill="F2F2F2"/>
          </w:tcPr>
          <w:p>
            <w:pPr>
              <w:spacing w:after="0"/>
            </w:pPr>
            <w:r/>
            <w:r>
              <w:rPr>
                <w:b/>
              </w:rPr>
              <w:t>QD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</w:rPr>
              <w:t>22 % IVA extranjero Italia.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</w:rPr>
              <w:t>Factura con IVA italiano.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</w:rPr>
              <w:t>Sin detalle en el manual.</w:t>
            </w:r>
          </w:p>
        </w:tc>
      </w:tr>
      <w:tr>
        <w:tc>
          <w:tcPr>
            <w:tcW w:type="dxa" w:w="1134"/>
            <w:shd w:val="clear" w:fill="F2F2F2"/>
          </w:tcPr>
          <w:p>
            <w:pPr>
              <w:spacing w:after="0"/>
            </w:pPr>
            <w:r/>
            <w:r>
              <w:rPr>
                <w:b/>
              </w:rPr>
              <w:t>QE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</w:rPr>
              <w:t>19 % IVA extranjero Alemania.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</w:rPr>
              <w:t>Factura con IVA alemán.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</w:rPr>
              <w:t>Sin detalle en el manual.</w:t>
            </w:r>
          </w:p>
        </w:tc>
      </w:tr>
      <w:tr>
        <w:tc>
          <w:tcPr>
            <w:tcW w:type="dxa" w:w="1134"/>
            <w:shd w:val="clear" w:fill="F2F2F2"/>
          </w:tcPr>
          <w:p>
            <w:pPr>
              <w:spacing w:after="0"/>
            </w:pPr>
            <w:r/>
            <w:r>
              <w:rPr>
                <w:b/>
              </w:rPr>
              <w:t>QF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</w:rPr>
              <w:t>21 % IVA extranjero España.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</w:rPr>
              <w:t>Factura con IVA español.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</w:rPr>
              <w:t>Sin detalle en el manual.</w:t>
            </w:r>
          </w:p>
        </w:tc>
      </w:tr>
      <w:tr>
        <w:tc>
          <w:tcPr>
            <w:tcW w:type="dxa" w:w="1134"/>
            <w:shd w:val="clear" w:fill="F2F2F2"/>
          </w:tcPr>
          <w:p>
            <w:pPr>
              <w:spacing w:after="0"/>
            </w:pPr>
            <w:r/>
            <w:r>
              <w:rPr>
                <w:b/>
              </w:rPr>
              <w:t>QG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</w:rPr>
              <w:t>20 % IVA extranjero Francia.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</w:rPr>
              <w:t>Factura con IVA francés.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</w:rPr>
              <w:t>Sin detalle en el manual.</w:t>
            </w:r>
          </w:p>
        </w:tc>
      </w:tr>
      <w:tr>
        <w:tc>
          <w:tcPr>
            <w:tcW w:type="dxa" w:w="1134"/>
            <w:shd w:val="clear" w:fill="F2F2F2"/>
          </w:tcPr>
          <w:p>
            <w:pPr>
              <w:spacing w:after="0"/>
            </w:pPr>
            <w:r/>
            <w:r>
              <w:rPr>
                <w:b/>
              </w:rPr>
              <w:t>QT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</w:rPr>
              <w:t>Triangular, compra de bienes. NO USAR (de momento).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5364"/>
            <w:gridSpan w:val="4"/>
            <w:shd w:val="clear" w:fill="DCE6F1"/>
          </w:tcPr>
          <w:p>
            <w:pPr>
              <w:spacing w:after="0"/>
            </w:pPr>
            <w:r/>
            <w:r>
              <w:rPr>
                <w:b/>
                <w:color w:val="1F3A5F"/>
              </w:rPr>
              <w:t>3. FUERA DE LA UE: CH, GB (desde 01/01/2021), TR…</w:t>
            </w:r>
          </w:p>
        </w:tc>
      </w:tr>
      <w:tr>
        <w:tc>
          <w:tcPr>
            <w:tcW w:type="dxa" w:w="1134"/>
            <w:shd w:val="clear" w:fill="F2F2F2"/>
          </w:tcPr>
          <w:p>
            <w:pPr>
              <w:spacing w:after="0"/>
            </w:pPr>
            <w:r/>
            <w:r>
              <w:rPr>
                <w:b/>
              </w:rPr>
              <w:t>Q6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</w:rPr>
              <w:t>0 % servicios fuera de UE: autoliquidación (importación de servicios).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</w:rPr>
              <w:t>Proveedor de país no UE (CH, GB, TR…), normalmente sin IVA o con 0 %. Todo recharge de DS Smith UK (GB fuera de la UE desde 01/01/2021).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</w:rPr>
              <w:t>Usar Q6, no Q5. Revisar el NIF-IVA y qué se entrega.</w:t>
            </w:r>
          </w:p>
        </w:tc>
      </w:tr>
      <w:tr>
        <w:tc>
          <w:tcPr>
            <w:tcW w:type="dxa" w:w="1134"/>
            <w:shd w:val="clear" w:fill="F2F2F2"/>
          </w:tcPr>
          <w:p>
            <w:pPr>
              <w:spacing w:after="0"/>
            </w:pPr>
            <w:r/>
            <w:r>
              <w:rPr>
                <w:b/>
              </w:rPr>
              <w:t>Q0 (importación de bienes)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</w:rPr>
              <w:t>0 % importación de bienes de fuera de la UE (con documentos de aduana). Entra en la declaración de IVA.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</w:rPr>
              <w:t>Factura de bienes de fuera de la UE con declaración de aduana (p. ej. Simpson/Dawes, Ossett GB 1000030093). El SSC hace la autoliquidación manual con los documentos del broker (Mainfreight).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</w:rPr>
              <w:t>Se contabiliza con Q0, no con Q2.</w:t>
            </w:r>
          </w:p>
        </w:tc>
      </w:tr>
      <w:tr>
        <w:tc>
          <w:tcPr>
            <w:tcW w:type="dxa" w:w="1134"/>
            <w:shd w:val="clear" w:fill="F2F2F2"/>
          </w:tcPr>
          <w:p>
            <w:pPr>
              <w:spacing w:after="0"/>
            </w:pPr>
            <w:r/>
            <w:r>
              <w:rPr>
                <w:b/>
              </w:rPr>
              <w:t>Q2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</w:rPr>
              <w:t>Importación de bienes: IVA de importación a pagar.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</w:rPr>
              <w:t>Compra de bienes fuera de la UE declarada vía aduana (el valor lo fija aduana).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</w:rPr>
              <w:t>NO se puede usar en ninguna factura. Estas facturas van con Q0.</w:t>
            </w:r>
          </w:p>
        </w:tc>
      </w:tr>
      <w:tr>
        <w:tc>
          <w:tcPr>
            <w:tcW w:type="dxa" w:w="1134"/>
            <w:shd w:val="clear" w:fill="F2F2F2"/>
          </w:tcPr>
          <w:p>
            <w:pPr>
              <w:spacing w:after="0"/>
            </w:pPr>
            <w:r/>
            <w:r>
              <w:rPr>
                <w:b/>
              </w:rPr>
              <w:t>QH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b w:val="0"/>
              </w:rPr>
              <w:t>20 % IVA extranjero Reino Unido.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</w:rPr>
              <w:t>Factura con IVA británico.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</w:rPr>
              <w:t>Sin detalle en el manual.</w:t>
            </w:r>
          </w:p>
        </w:tc>
      </w:tr>
    </w:tbl>
    <w:p/>
    <w:p>
      <w:r>
        <w:rPr>
          <w:b/>
        </w:rPr>
        <w:t xml:space="preserve">Puntos a confirmar con el SSC: </w:t>
      </w:r>
      <w:r>
        <w:t>(1) El manual indica que el 12% no es deducible y lo lista en Q7/QL "no usar", pero al mismo tiempo asigna restaurante/no deducible a Q0; esta guía lo deja en Q0 y marca Q7/QL como no usar. (2) El manual no detalla QA–QH ni QT. (3) La sección "Foreign refundable VAT" del manual está vacía en el documento recibido.</w:t>
      </w:r>
    </w:p>
    <w:sectPr w:rsidR="00FC693F" w:rsidRPr="0006063C" w:rsidSect="00034616">
      <w:pgSz w:w="16838" w:h="11906" w:orient="landscape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