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Guía rápida: tax codes IVA en facturas recibidas (Bélgica)</w:t>
      </w:r>
    </w:p>
    <w:p>
      <w:r>
        <w:t>DS Smith Packaging Belgium NV (DSSPB) y DS Smith Packaging Marketing NV (DSSPM). Resumen del manual AP1311. Orden de consulta: 1) origen del proveedor, 2) bienes o servicios, 3) % de IVA. Los artículos de ley son los citados en el manual.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tblHeader w:val="true"/>
        </w:trPr>
        <w:tc>
          <w:tcPr>
            <w:tcW w:type="dxa" w:w="1134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351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Descripción</w:t>
            </w:r>
          </w:p>
        </w:tc>
        <w:tc>
          <w:tcPr>
            <w:tcW w:type="dxa" w:w="5783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Cuándo aplica</w:t>
            </w:r>
          </w:p>
        </w:tc>
        <w:tc>
          <w:tcPr>
            <w:tcW w:type="dxa" w:w="4535"/>
            <w:shd w:val="clear" w:fill="1F3A5F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Excepciones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Q0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/ IVA no deducible (proveedor BE). Entra en la declaración de IVA.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belga sin IVA o con IVA no deducible: vales de comida (Edenred), alquiler de edificios, seguros (incl. coches), extractos de tarjeta no BE (Barclays, Airplus), transporte 0 %, embalaje extra, leasing de bicicletas (O2O 1000029004), flores/regalos (Van Cauwenberge 1000016602, VDC Komerz 1000031901), restaurante (RSCA 1000016823).</w:t>
            </w:r>
          </w:p>
          <w:p>
            <w:pPr>
              <w:spacing w:after="0"/>
            </w:pPr>
            <w:r>
              <w:rPr>
                <w:b w:val="0"/>
              </w:rPr>
              <w:t>Importación de bienes de fuera de la UE con documentos de aduana (p. ej. Simpson/Dawes, Ossett GB 1000030093): el SSC hace la autoliquidación manual con los documentos del broker (Mainfreight).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Aunque la factura muestre 21 % o 6 %, estos proveedores van a Q0 (manda la SAP Tax Table; en Verify el campo IVA no está activo).</w:t>
            </w:r>
          </w:p>
          <w:p>
            <w:pPr>
              <w:spacing w:after="0"/>
            </w:pPr>
            <w:r>
              <w:rPr>
                <w:b w:val="0"/>
              </w:rPr>
              <w:t>No confundir con Q3: Q0 sí entra en la declaración.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bienes (commodities).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BE con 21 % que vende commodities. PO 100… (YSOS) o contrato marco 55…: casi siempre Q1.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Solo DSSPB. DSSPM nunca usa Q1.</w:t>
            </w:r>
          </w:p>
          <w:p>
            <w:pPr>
              <w:spacing w:after="0"/>
            </w:pPr>
            <w:r>
              <w:rPr>
                <w:b w:val="0"/>
              </w:rPr>
              <w:t>PO SAP 45…: manda la SAP Tax Table; confirmar en el texto si es bien o servicio.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Q2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Importación de bienes: IVA de importación a pagar.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Compra de bienes fuera de la UE declarada vía aduana (el valor lo fija aduana).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NO se puede usar en ninguna factura. Estas facturas van con Q0.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Fuera del ámbito del IVA (sin %, sin efecto en la declaración).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Cargos sociales (SD Worx) e impuestos. En facturas de SD Worx: parte administrativa con IVA BE y cargos sociales con Q3.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Se usa sobre todo en asientos manuales y accruals.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Q4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bienes UE: autoliquidación (adquisición intracomunitaria).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con NIF-IVA de otro estado UE (no BE); transporte a otro estado miembro por proveedor o cliente. Directive 2006/112/EC (entrega intracomunitaria exenta). Textos: "Intracommunautaire levering", "Intra-community delivery", "Livraison intracommunautaire exonérée de TVA", códigos de mercancía, peso, Incoterms.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Vale para todos los bienes (no se separa commodity/diverso).</w:t>
            </w:r>
          </w:p>
          <w:p>
            <w:pPr>
              <w:spacing w:after="0"/>
            </w:pPr>
            <w:r>
              <w:rPr>
                <w:b w:val="0"/>
              </w:rPr>
              <w:t>Un mismo proveedor puede vender bienes y servicios (Q4 y Q5).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 UE: autoliquidación.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Servicio de proveedor UE sin IVA. Art. 44 Directiva IVA: el servicio tributa en Bélgica. Típicos: transporte, mantenimiento/consultoría IT, recharges intercompany, alquileres, comisiones, mantenimiento.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Con IVA local extranjero (no autoliquidar): formación en otro país UE y restaurantes locales.</w:t>
            </w:r>
          </w:p>
          <w:p>
            <w:pPr>
              <w:spacing w:after="0"/>
            </w:pPr>
            <w:r>
              <w:rPr>
                <w:b w:val="0"/>
              </w:rPr>
              <w:t>DSSPM: consultoría con IVA extranjero es incorrecto; pedir nueva factura con autoliquidación.</w:t>
            </w:r>
          </w:p>
          <w:p>
            <w:pPr>
              <w:spacing w:after="0"/>
            </w:pPr>
            <w:r>
              <w:rPr>
                <w:b w:val="0"/>
              </w:rPr>
              <w:t>Obras en inmuebles/instalaciones: ver QN.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Q6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 fuera de UE: autoliquidación (importación de servicios).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de país no UE (CH, GB, TR…), normalmente sin IVA o con 0 %. Todo recharge de DS Smith UK (GB fuera de la UE desde 01/01/2021).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Usar Q6, no Q5. Revisar el NIF-IVA y qué se entrega.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12 % bienes. NO USAR.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12 % nunca es deducible (típico restaurante/catering con clientes).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Ver Q0 para gastos no deducibles. (Pendiente confirmar con SSC.)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Q8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6 % bienes (commodities). NO USAR.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No se usa en las sociedades belgas.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bienes: autoliquidación local (proveedor no establecido en BE).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Solo DS Smith Packaging Netherlands BV (1000002308), compra de papel (DS Smith Paper Sourcing). Tiene NIF-IVA belga pero está establecido en NL; no factura IVA BE. Art. 194 Directiva IVA.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Verify y el cockpit lo asignan automáticamente. Todas sus facturas, incluidos rebates.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QA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Sin %: regalos / uso privado (sin deducción).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QB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20 % IVA extranjero Austria.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austriaco.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QC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IVA extranjero Países Bajos.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neerlandés.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QD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22 % IVA extranjero Italia.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italiano.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QE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19 % IVA extranjero Alemania.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alemán.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QF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IVA extranjero España.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español.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QG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20 % IVA extranjero Francia.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francés.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QH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20 % IVA extranjero Reino Unido.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Factura con IVA británico.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Sin detalle en el manual.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QI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servicios, 65 % no deducible (35 % deducible).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Leasing y gastos de coches de empresa (mantenimiento, combustible): KBC Autolease 1000003080, Alphabet 1000016478, AXUS/ALD 1000002716, Arval 1000027841.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Aplica a todo coste ligado al coche de empresa.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QJ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servicios, 25 % no deducible (75 % deducible).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Móviles: Proximus, cuenta GL 633010.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Las facturas llegan con QJ: cambiar a QK si no es móvil (líneas fijas, internet).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QK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21 % servicios y bienes diversos.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Proveedor BE con 21 % de servicios o bienes diversos. PO Coupa 3000…: siempre QK.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Único código de 21 % en DSSPM.</w:t>
            </w:r>
          </w:p>
          <w:p>
            <w:pPr>
              <w:spacing w:after="0"/>
            </w:pPr>
            <w:r>
              <w:rPr>
                <w:b w:val="0"/>
              </w:rPr>
              <w:t>Si la PO es 45… manda la SAP Tax Table.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QL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12 % servicios. NO USAR.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Ver Q7.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QM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6 % servicios y bienes diversos.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Agua de red (De Watergroep 1000016615, TMVW 1000016594), taxi, agua potable/refrescos/fruta, medicamentos, periódicos y libros.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QN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0 % servicios: autoliquidación local (obras en inmuebles/instalaciones).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Contratista BE: no cobra IVA por art. 20 K.B. nº 1; suele indicar "BTW verlegd" / "reverse charge" (obligatorio mencionarlo). Limpieza de edificios, pintura, reparaciones y mantenimiento de máquinas.</w:t>
            </w:r>
          </w:p>
          <w:p>
            <w:pPr>
              <w:spacing w:after="0"/>
            </w:pPr>
            <w:r>
              <w:rPr>
                <w:b w:val="0"/>
              </w:rPr>
              <w:t>Proveedor UE que instala en Bélgica: art. 194 Directiva IVA (normalmente activos fijos de importe alto).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Solo UE, no existe fuera de la UE.</w:t>
            </w:r>
          </w:p>
          <w:p>
            <w:pPr>
              <w:spacing w:after="0"/>
            </w:pPr>
            <w:r>
              <w:rPr>
                <w:b w:val="0"/>
              </w:rPr>
              <w:t>No confundir con Q5; el proveedor no siempre cita el artículo: revisar si hay instalación.</w:t>
            </w:r>
          </w:p>
        </w:tc>
      </w:tr>
      <w:tr>
        <w:tc>
          <w:tcPr>
            <w:tcW w:type="dxa" w:w="1134"/>
            <w:shd w:val="clear" w:fill="F2F2F2"/>
          </w:tcPr>
          <w:p>
            <w:pPr>
              <w:spacing w:after="0"/>
            </w:pPr>
            <w:r/>
            <w:r>
              <w:rPr>
                <w:b/>
              </w:rPr>
              <w:t>QT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</w:rPr>
              <w:t>Triangular, compra de bienes. NO USAR (de momento).</w:t>
            </w:r>
          </w:p>
        </w:tc>
        <w:tc>
          <w:tcPr>
            <w:tcW w:type="dxa" w:w="5783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 xml:space="preserve">Puntos a confirmar con el SSC: </w:t>
      </w:r>
      <w:r>
        <w:t>(1) El manual indica que el 12% no es deducible y lo lista en Q7/QL "no usar", pero al mismo tiempo asigna restaurante/no deducible a Q0; esta guía lo deja en Q0 y marca Q7/QL como no usar. (2) El manual no detalla QA–QH ni QT. (3) La sección "Foreign refundable VAT" del manual está vacía en el documento recibido.</w:t>
      </w:r>
    </w:p>
    <w:sectPr w:rsidR="00FC693F" w:rsidRPr="0006063C" w:rsidSect="00034616"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