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GB"/>
        </w:rPr>
        <w:id w:val="20592465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761B78E" w14:textId="675D0E29" w:rsidR="0041719B" w:rsidRPr="0041719B" w:rsidRDefault="0041719B">
          <w:pPr>
            <w:pStyle w:val="TOCHeading"/>
            <w:rPr>
              <w:lang w:val="en-GB"/>
            </w:rPr>
          </w:pPr>
          <w:r>
            <w:rPr>
              <w:lang w:val="en-GB"/>
            </w:rPr>
            <w:t>Table of Contents</w:t>
          </w:r>
        </w:p>
        <w:p w14:paraId="1ACB8340" w14:textId="2F0B80E8" w:rsidR="0041719B" w:rsidRPr="0041719B" w:rsidRDefault="0041719B">
          <w:pPr>
            <w:rPr>
              <w:lang w:val="en-GB"/>
            </w:rPr>
          </w:pPr>
          <w:r>
            <w:fldChar w:fldCharType="begin"/>
          </w:r>
          <w:r w:rsidRPr="0041719B">
            <w:rPr>
              <w:lang w:val="en-GB"/>
            </w:rPr>
            <w:instrText xml:space="preserve"> TOC \o "1-3" \h \z \u </w:instrText>
          </w:r>
          <w:r>
            <w:fldChar w:fldCharType="separate"/>
          </w:r>
          <w:r>
            <w:rPr>
              <w:b/>
              <w:bCs/>
              <w:noProof/>
              <w:lang w:val="en-GB"/>
            </w:rPr>
            <w:t>No table of contents entries found.</w:t>
          </w:r>
          <w:r>
            <w:rPr>
              <w:b/>
              <w:bCs/>
              <w:lang w:val="en-GB"/>
            </w:rPr>
            <w:fldChar w:fldCharType="end"/>
          </w:r>
        </w:p>
      </w:sdtContent>
    </w:sdt>
    <w:p w14:paraId="332CAD00" w14:textId="77777777" w:rsidR="00B57CC2" w:rsidRPr="0041719B" w:rsidRDefault="00B57CC2">
      <w:pPr>
        <w:rPr>
          <w:lang w:val="en-GB"/>
        </w:rPr>
      </w:pPr>
    </w:p>
    <w:p>
      <w:pPr>
        <w:pStyle w:val="Heading1"/>
        <w:jc w:val="center"/>
      </w:pPr>
      <w:r>
        <w:rPr>
          <w:b/>
        </w:rPr>
        <w:t>Rapport Global des Données de Surveillance</w:t>
      </w:r>
    </w:p>
    <w:p>
      <w:r>
        <w:br w:type="page"/>
      </w:r>
    </w:p>
    <w:p>
      <w:pPr>
        <w:pStyle w:val="Heading1"/>
        <w:jc w:val="center"/>
      </w:pPr>
      <w:r>
        <w:rPr>
          <w:b/>
        </w:rPr>
        <w:t>Surveillance Data Analysis Report</w:t>
      </w:r>
    </w:p>
    <w:p>
      <w:pPr>
        <w:pStyle w:val="Heading1"/>
        <w:jc w:val="left"/>
      </w:pPr>
      <w:r>
        <w:rPr>
          <w:b/>
        </w:rPr>
        <w:t>I. 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1.Objectif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2. 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II. Description des donnees</w:t>
      </w:r>
    </w:p>
    <w:p>
      <w:pPr>
        <w:pStyle w:val="Heading3"/>
        <w:jc w:val="left"/>
      </w:pPr>
      <w:r>
        <w:rPr>
          <w:b/>
        </w:rPr>
        <w:t>1. 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2. 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3. 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III. Nettoyage et Preparation des donnee</w:t>
      </w:r>
    </w:p>
    <w:p>
      <w:pPr>
        <w:pStyle w:val="Heading3"/>
        <w:jc w:val="both"/>
      </w:pPr>
      <w:r>
        <w:rPr>
          <w:b/>
        </w:rPr>
        <w:t>1. 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2. 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IV. Statistiques Descriptives</w:t>
      </w:r>
    </w:p>
    <w:p>
      <w:pPr>
        <w:pStyle w:val="Heading2"/>
        <w:jc w:val="left"/>
      </w:pPr>
      <w:r>
        <w:rPr>
          <w:b/>
        </w:rPr>
        <w:t>1. Résumé Général des Données</w:t>
      </w:r>
    </w:p>
    <w:p>
      <w:pPr>
        <w:jc w:val="both"/>
      </w:pPr>
      <w:r>
        <w:rPr>
          <w:sz w:val="28"/>
        </w:rPr>
        <w:t>Pour mieux appréhender les données extraites de la vidéosurveillance à Symphonia, une analyse statistique clé est essentielle. Cette section présente les principales mesures de tendance centrale et de dispersion pour les variables pertinentes, telles que le nombre d'objets détectés par caméra.</w:t>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pPr>
        <w:pStyle w:val="Heading3"/>
        <w:jc w:val="left"/>
      </w:pPr>
      <w:r>
        <w:rPr>
          <w:b/>
        </w:rPr>
        <w:t>2.Distribution des données</w:t>
      </w:r>
    </w:p>
    <w:p>
      <w:r>
        <w:drawing>
          <wp:inline xmlns:a="http://schemas.openxmlformats.org/drawingml/2006/main" xmlns:pic="http://schemas.openxmlformats.org/drawingml/2006/picture">
            <wp:extent cx="5769864" cy="3831336"/>
            <wp:docPr id="1" name="Picture 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769864" cy="3831336"/>
                    </a:xfrm>
                    <a:prstGeom prst="rect"/>
                  </pic:spPr>
                </pic:pic>
              </a:graphicData>
            </a:graphic>
          </wp:inline>
        </w:drawing>
      </w:r>
    </w:p>
    <w:p>
      <w:r>
        <w:br w:type="page"/>
      </w:r>
    </w:p>
    <w:p>
      <w:pPr>
        <w:pStyle w:val="Heading3"/>
        <w:jc w:val="left"/>
      </w:pPr>
      <w:r>
        <w:rPr>
          <w:b/>
        </w:rPr>
        <w:t>3.Tendances et Model Temporelles</w:t>
      </w:r>
    </w:p>
    <w:p>
      <w:r>
        <w:drawing>
          <wp:inline xmlns:a="http://schemas.openxmlformats.org/drawingml/2006/main" xmlns:pic="http://schemas.openxmlformats.org/drawingml/2006/picture">
            <wp:extent cx="6967728"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6967728" cy="4114800"/>
                    </a:xfrm>
                    <a:prstGeom prst="rect"/>
                  </pic:spPr>
                </pic:pic>
              </a:graphicData>
            </a:graphic>
          </wp:inline>
        </w:drawing>
      </w:r>
    </w:p>
    <w:p>
      <w:pPr>
        <w:pStyle w:val="Heading3"/>
        <w:jc w:val="left"/>
      </w:pPr>
      <w:r>
        <w:rPr>
          <w:b/>
        </w:rPr>
        <w:t>a. Variabilité entre les Caméras</w:t>
      </w:r>
    </w:p>
    <w:p>
      <w:pPr>
        <w:pStyle w:val="Heading2"/>
        <w:jc w:val="left"/>
      </w:pPr>
      <w:r>
        <w:rPr>
          <w:b/>
        </w:rPr>
        <w:t>4. Variabilité et Dispersions</w:t>
      </w:r>
    </w:p>
    <w:p>
      <w:r>
        <w:drawing>
          <wp:inline xmlns:a="http://schemas.openxmlformats.org/drawingml/2006/main" xmlns:pic="http://schemas.openxmlformats.org/drawingml/2006/picture">
            <wp:extent cx="6967728" cy="41148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pPr>
        <w:pStyle w:val="Heading3"/>
        <w:jc w:val="left"/>
      </w:pPr>
      <w:r>
        <w:rPr>
          <w:b/>
        </w:rPr>
        <w:t>b. Écart-type intercaméras</w:t>
      </w:r>
    </w:p>
    <w:p>
      <w:r>
        <w:drawing>
          <wp:inline xmlns:a="http://schemas.openxmlformats.org/drawingml/2006/main" xmlns:pic="http://schemas.openxmlformats.org/drawingml/2006/picture">
            <wp:extent cx="6967728" cy="41148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784848" cy="41148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78484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967728" cy="4114800"/>
                    </a:xfrm>
                    <a:prstGeom prst="rect"/>
                  </pic:spPr>
                </pic:pic>
              </a:graphicData>
            </a:graphic>
          </wp:inline>
        </w:drawing>
      </w:r>
    </w:p>
    <w:p>
      <w:r>
        <w:br w:type="page"/>
      </w:r>
    </w:p>
    <w:p>
      <w:pPr>
        <w:pStyle w:val="Heading2"/>
        <w:jc w:val="left"/>
      </w:pPr>
      <w:r>
        <w:rPr>
          <w:b/>
        </w:rPr>
        <w:t>7.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Conclusion Générale</w:t>
      </w:r>
    </w:p>
    <w:p/>
    <w:p>
      <w:pPr>
        <w:pStyle w:val="Heading3"/>
        <w:jc w:val="left"/>
      </w:pPr>
      <w:r>
        <w:rPr>
          <w:b/>
        </w:rPr>
        <w:t>Résumé</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B57CC2" w:rsidRPr="0041719B" w:rsidSect="00B57CC2">
      <w:headerReference w:type="default" r:id="rId7"/>
      <w:footerReference w:type="default" r:id="rId8"/>
      <w:pgSz w:w="11906" w:h="16838"/>
      <w:pgMar w:top="0" w:right="720" w:bottom="720" w:left="720" w:header="90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CB4F9" w14:textId="77777777" w:rsidR="007F441D" w:rsidRDefault="007F441D" w:rsidP="00B57CC2">
      <w:pPr>
        <w:spacing w:after="0" w:line="240" w:lineRule="auto"/>
      </w:pPr>
      <w:r>
        <w:separator/>
      </w:r>
    </w:p>
  </w:endnote>
  <w:endnote w:type="continuationSeparator" w:id="0">
    <w:p w14:paraId="779C7213" w14:textId="77777777" w:rsidR="007F441D" w:rsidRDefault="007F441D"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F7AA9" w14:textId="77777777" w:rsidR="007F441D" w:rsidRDefault="007F441D" w:rsidP="00B57CC2">
      <w:pPr>
        <w:spacing w:after="0" w:line="240" w:lineRule="auto"/>
      </w:pPr>
      <w:r>
        <w:separator/>
      </w:r>
    </w:p>
  </w:footnote>
  <w:footnote w:type="continuationSeparator" w:id="0">
    <w:p w14:paraId="5B38DFD8" w14:textId="77777777" w:rsidR="007F441D" w:rsidRDefault="007F441D"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B0655"/>
    <w:rsid w:val="002C36C9"/>
    <w:rsid w:val="002E7DBD"/>
    <w:rsid w:val="00386088"/>
    <w:rsid w:val="00393D49"/>
    <w:rsid w:val="0041719B"/>
    <w:rsid w:val="0054468A"/>
    <w:rsid w:val="0057465D"/>
    <w:rsid w:val="005D5D7A"/>
    <w:rsid w:val="007F441D"/>
    <w:rsid w:val="00867F0F"/>
    <w:rsid w:val="008D3FC9"/>
    <w:rsid w:val="009A4E47"/>
    <w:rsid w:val="00B57CC2"/>
    <w:rsid w:val="00D72C1E"/>
    <w:rsid w:val="00DE1E99"/>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paragraph" w:styleId="TOCHeading">
    <w:name w:val="TOC Heading"/>
    <w:basedOn w:val="Heading1"/>
    <w:next w:val="Normal"/>
    <w:uiPriority w:val="39"/>
    <w:unhideWhenUsed/>
    <w:qFormat/>
    <w:rsid w:val="0041719B"/>
    <w:pPr>
      <w:spacing w:before="240" w:after="0" w:line="259" w:lineRule="auto"/>
      <w:outlineLvl w:val="9"/>
    </w:pPr>
    <w:rPr>
      <w:kern w:val="0"/>
      <w:sz w:val="32"/>
      <w:szCs w:val="32"/>
      <w:lang w:eastAsia="fr-FR"/>
      <w14:ligatures w14:val="none"/>
    </w:rPr>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A02E-24D8-45E3-B889-A33781C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Words>
  <Characters>71</Characters>
  <Application>Microsoft Office Word</Application>
  <DocSecurity>0</DocSecurity>
  <Lines>1</Lines>
  <Paragraphs>1</Paragraphs>
  <ScaleCrop>false</ScaleCrop>
  <Company/>
  <LinksUpToDate>false</LinksUpToDate>
  <CharactersWithSpaces>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Blaise ANOBLE</dc:creator>
  <cp:keywords/>
  <dc:description/>
  <cp:lastModifiedBy>jean-blaise anoblé</cp:lastModifiedBy>
  <cp:revision>5</cp:revision>
  <dcterms:created xsi:type="dcterms:W3CDTF">2024-07-14T09:57:00Z</dcterms:created>
  <dcterms:modified xsi:type="dcterms:W3CDTF">2024-07-22T11:18:00Z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