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22B8CF" w:sz="48"/>
        </w:pBdr>
        <w:shd w:fill="04252C" w:val="clear"/>
        <w:spacing w:after="0" w:before="0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  <w:r>
        <w:drawing>
          <wp:inline distT="0" distB="0" distL="0" distR="0">
            <wp:extent cx="1847850" cy="133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04252C" w:val="clear"/>
        <w:spacing w:after="600"/>
        <w:ind w:left="1000" w:right="700"/>
      </w:pPr>
      <w:r>
        <w:rPr>
          <w:rFonts w:ascii="Inter" w:cs="Inter" w:eastAsia="Inter" w:hAnsi="Inter"/>
          <w:color w:val="A8CDD4"/>
          <w:sz w:val="16"/>
          <w:szCs w:val="16"/>
        </w:rPr>
        <w:t xml:space="preserve">      B Y   A M E T E C S</w:t>
      </w: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  <w:r>
        <w:rPr>
          <w:rFonts w:ascii="Inter" w:cs="Inter" w:eastAsia="Inter" w:hAnsi="Inter"/>
          <w:b/>
          <w:bCs/>
          <w:color w:val="22B8CF"/>
          <w:sz w:val="20"/>
          <w:szCs w:val="20"/>
        </w:rPr>
        <w:t xml:space="preserve">DOC BF-01</w:t>
      </w:r>
    </w:p>
    <w:p>
      <w:pPr>
        <w:shd w:fill="04252C" w:val="clear"/>
        <w:spacing w:after="200"/>
        <w:ind w:left="1000" w:right="700"/>
      </w:pPr>
      <w:r>
        <w:rPr>
          <w:rFonts w:ascii="Inter" w:cs="Inter" w:eastAsia="Inter" w:hAnsi="Inter"/>
          <w:b/>
          <w:bCs/>
          <w:color w:val="FFFFFF"/>
          <w:sz w:val="60"/>
          <w:szCs w:val="60"/>
        </w:rPr>
        <w:t xml:space="preserve">SmartEPT — Complete Business Flow</w:t>
      </w:r>
    </w:p>
    <w:p>
      <w:pPr>
        <w:shd w:fill="04252C" w:val="clear"/>
        <w:spacing w:after="500"/>
        <w:ind w:left="1000" w:right="700"/>
      </w:pPr>
      <w:r>
        <w:rPr>
          <w:rFonts w:ascii="Inter" w:cs="Inter" w:eastAsia="Inter" w:hAnsi="Inter"/>
          <w:color w:val="C9E2E7"/>
          <w:sz w:val="26"/>
          <w:szCs w:val="26"/>
        </w:rPr>
        <w:t xml:space="preserve">From first visit to running installation: Marketing → Trial → Purchase → Provisioning → Operations → Lifetime lifecycle</w:t>
      </w:r>
    </w:p>
    <w:p>
      <w:pPr>
        <w:shd w:fill="04252C" w:val="clear"/>
        <w:ind w:left="1000" w:right="700"/>
      </w:pPr>
      <w:r>
        <w:rPr>
          <w:rFonts w:ascii="Inter" w:cs="Inter" w:eastAsia="Inter" w:hAnsi="Inter"/>
          <w:color w:val="22B8CF"/>
          <w:sz w:val="22"/>
          <w:szCs w:val="22"/>
        </w:rPr>
        <w:t xml:space="preserve">━━━━━━━━</w:t>
      </w:r>
    </w:p>
    <w:p>
      <w:pPr>
        <w:shd w:fill="04252C" w:val="clear"/>
        <w:ind w:left="1000" w:right="700"/>
      </w:pPr>
      <w:r>
        <w:rPr>
          <w:rFonts w:ascii="Inter" w:cs="Inter" w:eastAsia="Inter" w:hAnsi="Inter"/>
          <w:color w:val="C9E2E7"/>
          <w:sz w:val="21"/>
          <w:szCs w:val="21"/>
        </w:rPr>
        <w:t xml:space="preserve">Version 1.0</w:t>
      </w:r>
    </w:p>
    <w:p>
      <w:pPr>
        <w:shd w:fill="04252C" w:val="clear"/>
        <w:ind w:left="1000" w:right="700"/>
      </w:pPr>
      <w:r>
        <w:rPr>
          <w:rFonts w:ascii="Inter" w:cs="Inter" w:eastAsia="Inter" w:hAnsi="Inter"/>
          <w:color w:val="C9E2E7"/>
          <w:sz w:val="21"/>
          <w:szCs w:val="21"/>
        </w:rPr>
        <w:t xml:space="preserve">12 August 2026</w:t>
      </w:r>
    </w:p>
    <w:p>
      <w:pPr>
        <w:shd w:fill="04252C" w:val="clear"/>
        <w:spacing w:after="2200"/>
        <w:ind w:left="1000" w:right="700"/>
      </w:pPr>
      <w:r>
        <w:rPr>
          <w:rFonts w:ascii="Inter" w:cs="Inter" w:eastAsia="Inter" w:hAnsi="Inter"/>
          <w:color w:val="C9E2E7"/>
          <w:sz w:val="21"/>
          <w:szCs w:val="21"/>
        </w:rPr>
        <w:t xml:space="preserve">Prepared for: Ejaz Hussain, MD</w:t>
      </w: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  <w:r>
        <w:rPr>
          <w:rFonts w:ascii="Inter" w:cs="Inter" w:eastAsia="Inter" w:hAnsi="Inter"/>
          <w:color w:val="A8CDD4"/>
          <w:sz w:val="16"/>
          <w:szCs w:val="16"/>
        </w:rPr>
        <w:t xml:space="preserve">AMETECS INDIA PRIVATE LIMITED · HYDERABAD</w:t>
      </w:r>
    </w:p>
    <w:p>
      <w:pPr>
        <w:shd w:fill="04252C" w:val="clear"/>
        <w:ind w:left="1000" w:right="700"/>
      </w:pP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Bdr>
          <w:bottom w:val="single" w:color="0E7C8F" w:sz="12"/>
        </w:pBdr>
        <w:spacing w:after="240"/>
      </w:pPr>
      <w:r>
        <w:rPr>
          <w:rFonts w:ascii="Inter" w:cs="Inter" w:eastAsia="Inter" w:hAnsi="Inter"/>
          <w:b/>
          <w:bCs/>
          <w:color w:val="0E7C8F"/>
          <w:sz w:val="34"/>
          <w:szCs w:val="34"/>
        </w:rPr>
        <w:t xml:space="preserve">Contents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01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The Journey at a Glance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02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Stage 0 — Promotion &amp; the First Visit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03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Stage 1 — Road A: the Free Trial (Cloud)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04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Stage 2 — Road B: the Direct /buy Pay-First Cart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05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Stage 3 — Road C: Quotations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06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Stage 4 — Road D: Sales-Assisted Orders &amp; Credit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07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Stage 5A — Cloud Onboarding (deployment = cloud)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08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Stage 5B — On-Premises Onboarding (Perpetual)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09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Stage 6 — Life as a Customer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10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Touchpoint Matrix (who gets what, when)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11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Flow Guarantees (the rules that never bend)</w:t>
      </w:r>
    </w:p>
    <w:p>
      <w:r>
        <w:br w:type="page"/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1. The Journey at a Glance</w:t>
      </w:r>
    </w:p>
    <w:p>
      <w:pPr>
        <w:spacing w:after="14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SmartEPT sells one all-features product two ways. Every customer walks one of two roads after deciding to pay, and both start at the same front door: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PROMOTE → VISIT smartept.com → EXPLORE (pricing slider, FAQs) → one of: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(A) Free Trial road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trial sign-up (email OTP) → 7-day SmartEPT Cloud trial → convert to paid from the portal.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(B) Direct Buy road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/buy pay-first cart → pay → instant activation.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(C) Quotation road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quote raised (self-serve, from the portal, or by sales for a prospect) → management pays the quote's pay link → same activation.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(D) Sales-assisted / Credit road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admin creates the order; provisioning happens on the first rupee received (Paid / Partial / even ₹0-due credit by commercial judgement); balance is followed up manually.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Then, by deployment: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CLOUD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→ tenant console auto-provisioned at admin.smartept.com/(slug) → one-click SSO from the client portal → agents installed on employee PCs → live monitoring.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ON-PREMISES (Perpetual)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→ installer + licence downloads from the portal → installed on the client's own server → 7-day evaluation auto-starts → machine fingerprint sent to Ametecs → node-locked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.lic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issued from Central → imported → ACTIVE forever, fully offline.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And for life: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renewals (cloud) / AMC (on-prem) → automated dunning → upgrades → storage top-ups → support → and, at the very end of a lapsed relationship, grace → suspension → purge.</w:t>
      </w:r>
    </w:p>
    <w:p>
      <w:pPr>
        <w:spacing w:after="14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The single non-negotiable money rule underneath everything: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all payment state is computed from the payments ledger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order_payments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) through one door —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BillingService::recordPayment()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and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provisioning fires on the first verified money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, never on a promise.</w:t>
      </w:r>
    </w:p>
    <w:p>
      <w:pPr>
        <w:spacing w:after="140"/>
      </w:pPr>
      <w:r>
        <w:drawing>
          <wp:inline distT="0" distB="0" distL="0" distR="0">
            <wp:extent cx="5524500" cy="1036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036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2. Stage 0 — Promotion &amp; the First Visit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Actors: prospect, marketing, sales.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Promotion (ads, LinkedIn, referrals, WhatsApp) points to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smartept.com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the branded landing page (Landing CMS-managed; hero price is single-sourced from the entry pricing band, so marketing price and checkout price can never disagree).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The visitor explores: feature sections, the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interactive pricing slider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(On-premises tab: one-time perpetual price, progressive milestone interpolation — 61 users shows ₹44,400, not a band jump; Cloud Hosting tab: per-user/month by volume band with Quarterly 0% / Half-Yearly −10% / Annual −25% advance pricing), FAQs, and legal pages (Terms, Privacy, Refunds — Razorpay-compliant).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Exit ramps from the landing page: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Buy a licence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→ /buy with the slider's user count carried across (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/buy?kind=perpetual&amp;users=61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Start a 7-day free trial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→ the client sign-up page.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WhatsApp lead form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→ opens WhatsApp chat AND silently records the lead in Central → Leads with an instant email to sales (fire-and-forget; never blocks the visitor).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Custom quote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(above the last priced milestone, e.g. 200+ users) → WhatsApp contact; sales takes the Quotation road.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Sales follows up leads from Central → Leads (status pipeline, notes).</w:t>
      </w:r>
    </w:p>
    <w:p>
      <w:pPr>
        <w:spacing w:after="140"/>
      </w:pPr>
      <w:r>
        <w:drawing>
          <wp:inline distT="0" distB="0" distL="0" distR="0">
            <wp:extent cx="5524500" cy="5105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3. Stage 1 — Road A: the Free Trial (Cloud)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Actors: prospect ("owner" user), system.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Sign-up form: company name, contact name, work email, phone, chosen password. An invisible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honeypot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field silently swallows bots (fake success, no OTP, no email).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Email OTP gate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: a 6-digit code is emailed (10-minute validity).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Nothing is created before the code verifies.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Wrong/expired code → clear error, no account.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On verify (single DB transaction): Tenant (status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trial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, deployment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cloud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), 7-day trial provision, and the portal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owner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login — email pre-verified, GST state captured (decides CGST+SGST vs IGST later), terms acceptance timestamped. The user lands signed-in in the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client portal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Trial experience: portal shows licences, downloads, storage, invoices, tickets, buy/upgrade. The trial is a lead in the sales pipeline from day one.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Automated trial dunning: reminder emails at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3 / 1 / 0 days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before expiry. Expired trials are eventually purged by the lifecycle ladder. Conversion is one click: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Buy from the portal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(Road B mechanics, same pricing engine).</w:t>
      </w:r>
    </w:p>
    <w:p>
      <w:pPr>
        <w:spacing w:after="140"/>
      </w:pPr>
      <w:r>
        <w:drawing>
          <wp:inline distT="0" distB="0" distL="0" distR="0">
            <wp:extent cx="5524500" cy="653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53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4. Stage 2 — Road B: the Direct /buy Pay-First Cart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Actors: buyer, system, payment gateway.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/buy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one screen, everything live: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How you buy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(Rent·Cloud vs Own·Perpetual),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Currency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(₹ INR · GST invoice / $ USD · export invoice),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Monitored users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(price recalculates instantly — perpetual uses the same progressive interpolation as the backend; cloud shows per-user/month × cycle),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Advance payment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cycle (cloud only), optional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Remote Assisted Setup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(₹5,000 covers 30 devices, +₹100/extra device),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Coupon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(the box only appears when a live coupon exists; exclusive personal offers auto-apply on email entry), and the GST-correct total (CGST+SGST for Telangana, IGST for other states, 0% for USD export).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Buyer fills company + contact + email +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their own password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+ state (+ optional GSTIN, validated against the state code) and accepts Terms/Refunds.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Submit → tenant is created in status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pending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with a portal login, and an order +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pay link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is generated. The browser goes straight to payment: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Razorpay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(INR — UPI/cards/netbanking; smartept.com is a Razorpay-verified website) or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Stripe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(USD international cards).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Payment captured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(gateway webhook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payment.captured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or return-flow verification) →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recordPayment()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→ the golden chain fires automatically, same minute: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licence issued (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SEPT-XXXX-…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key; kind subscription or perpetual),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tenant flips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active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,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GST tax invoice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cut with an FY-consecutive number + receipt, emailed,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coupon redemption counted,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cloud console provisioning kicked off (cloud) — and the buyer is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auto-signed-in to their portal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Abandoned buys are rescued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: an order left unpaid ~3 hours gets an automatic reminder email with the pay link; the buyer can also sign in any time and find the order waiting (their password already works — pay-later recovery for free).</w:t>
      </w:r>
    </w:p>
    <w:p>
      <w:pPr>
        <w:spacing w:after="140"/>
      </w:pPr>
      <w:r>
        <w:drawing>
          <wp:inline distT="0" distB="0" distL="0" distR="0">
            <wp:extent cx="552450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5. Stage 3 — Road C: Quotations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Three doors, one engine (identical pricing, quote numbers </w:t>
      </w:r>
      <w:r>
        <w:rPr>
          <w:rFonts w:ascii="Consolas" w:cs="Consolas" w:eastAsia="Consolas" w:hAnsi="Consolas"/>
          <w:b/>
          <w:bCs/>
          <w:color w:val="0B6373"/>
          <w:sz w:val="17"/>
          <w:szCs w:val="17"/>
          <w:shd w:fill="E3F4F7" w:val="clear"/>
        </w:rPr>
        <w:t xml:space="preserve">EPT-Q-FY-…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Portal self-quote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a manager configures users/kind in the portal and raises a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quotation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instead of paying (requested_by recorded). They get a printable branded quote + a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pay link for management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. The moment management pays it, the same golden chain activates everything. A locked-in coupon on a quote is honoured even if the code expires meanwhile.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Admin prospect quote (one screen)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sales creates prospect tenant (status pending) + quote together for a brand-new company; email optional-send; the tenant self-activates when paid; portal owner auto-created on provisioning.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Public/custom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above the last priced milestone the system refuses to price and routes to sales (WhatsApp) for a custom quotation.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Unpaid quotes are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chased automatically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(quote-chaser dunning) and appear in the MD's daily money digest.</w:t>
      </w:r>
    </w:p>
    <w:p>
      <w:pPr>
        <w:spacing w:after="140"/>
      </w:pPr>
      <w:r>
        <w:drawing>
          <wp:inline distT="0" distB="0" distL="0" distR="0">
            <wp:extent cx="5524500" cy="4867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6. Stage 4 — Road D: Sales-Assisted Orders &amp; Credit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Admin (super/sales) raises an order for an existing client from Orders &amp; Payments; records money via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Mark Paid / Partial / Due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(manual gateway with method noted).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Credit is a commercial judgement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: provisioning fires on the FIRST money recorded — even ₹0-due if management says so. The client goes live; the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balance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rides on the order.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Credit Clients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screen tracks every provisioned-on-credit balance with payable-by dates; overdue turns red as a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manual follow-up reminder only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nothing auto-locks a credit client. The original pay link stays alive and collects exactly the balance;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Record balance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logs instalments (each on the ledger).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Refunds/corrections go out as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credit notes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(printable), never by deleting money documents.</w:t>
      </w:r>
    </w:p>
    <w:p>
      <w:pPr>
        <w:spacing w:after="140"/>
      </w:pPr>
      <w:r>
        <w:drawing>
          <wp:inline distT="0" distB="0" distL="0" distR="0">
            <wp:extent cx="5524500" cy="4981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7. Stage 5A — Cloud Onboarding (deployment = cloud)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On first money, Central calls the product server's provisioning API (secret-signed; Product URL + secrets configured in Central Settings) → a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tenant workspace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is created on admin.smartept.com with the client's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slug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(branded, tenant-locked login page at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admin.smartept.com/slug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The portal shows the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hosted console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card;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one-click SSO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signs the owner into their console (HMAC-signed ticket — no password typed).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Company setup in the console: organisation structure (branches/departments/teams/designations/shifts), users &amp; roles (9 system roles + custom), policies (12 types with DEVICE&gt;EMPLOYEE&gt;TEAM&gt;DEPARTMENT&gt;BRANCH&gt;COMPANY precedence), holidays, biometric devices if used.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Agent rollout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: download the Windows agent from the portal/console → install on employee PCs → each employee signs in → device registers (encrypted device token) →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consent screen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(hash-bound to the policy version) → tracking starts per policy. Optional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Gate-to-PC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: no work session until the biometric door IN punch.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Seats are enforced server-side against the licence; storage = 500 MB pooled per user included, additional at the slab rates (₹3/2.5/2 per GB/month, 50 GB minimum) — usage visible in the portal, quota auto-trims oldest evidence at the cap.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Suspension control stays with Central: suspend/enable pushes to the cloud console instantly (suspended tenant = login hard cut-off).</w:t>
      </w:r>
    </w:p>
    <w:p>
      <w:pPr>
        <w:spacing w:after="140"/>
      </w:pPr>
      <w:r>
        <w:drawing>
          <wp:inline distT="0" distB="0" distL="0" distR="0">
            <wp:extent cx="5524500" cy="5343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8. Stage 5B — On-Premises Onboarding (Perpetual)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After payment the portal's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Downloads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area serves the product installer package (download-logged, quota-guarded) — the price already included the first 12 months of updates &amp; support.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Client (or Ametecs, if Remote Assisted Setup was bought) installs the console on the client's own server — Windows/Laragon/IIS or Linux/Nginx — and the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7-day evaluation starts automatically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(full features, no licence file yet).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Licensing (fully offline, node-locked): the console's Licence screen shows the server's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machine fingerprint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(one-click copy) → client sends it to Ametecs → Central issues the </w:t>
      </w:r>
      <w:r>
        <w:rPr>
          <w:rFonts w:ascii="Consolas" w:cs="Consolas" w:eastAsia="Consolas" w:hAnsi="Consolas"/>
          <w:b/>
          <w:bCs/>
          <w:color w:val="0B6373"/>
          <w:sz w:val="17"/>
          <w:szCs w:val="17"/>
          <w:shd w:fill="E3F4F7" w:val="clear"/>
        </w:rPr>
        <w:t xml:space="preserve">.lic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 file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(RSA-2048-signed payload: key, company, device limit, kind perpetual, no expiry, fingerprint) → client imports it → status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ACTIVE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, forever, with no internet required. The product only carries the public key (SourceGuardian-protected) — it can verify but never forge.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Wrong/replaced hardware later → Central's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release-binding / shift-machine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actions re-issue for the new fingerprint (history kept; server-mismatch attempts trip a fraud alert).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Agent rollout and company setup proceed exactly as in Cloud (the console is the same product).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AMC (optional, from Year 2)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: 18% per year of the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prevailing progressive price for the client's user count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quoted and invoiced from Central; keeps updates &amp; support flowing.</w:t>
      </w:r>
    </w:p>
    <w:p>
      <w:pPr>
        <w:spacing w:after="140"/>
      </w:pPr>
      <w:r>
        <w:drawing>
          <wp:inline distT="0" distB="0" distL="0" distR="0">
            <wp:extent cx="5524500" cy="713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713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9. Stage 6 — Life as a Customer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Renewals (cloud):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subscriptions run Quarterly / Half-Yearly / Annual in advance.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Dunning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emails at 30/15/7/3/1/0 days before expiry (all deduplicated), then a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grace ladder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after expiry; persistent non-payment → suspension → eventually the purge window closes the account (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purged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). One pay-link click at any point renews and re-activates.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Upgrades: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cloud capacity rises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mid-period pro-rata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the client pays only the remaining-days difference and the seat limit rises immediately. Perpetual capacity upgrades are priced from the same progressive engine at prevailing rates.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Money &amp; compliance throughout: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every rupee lands on the ledger; GST invoices FY-consecutive (reset 1 April, row-locked); amount-in-words; USD exports at 0% GST with the live twice-daily FX rate; accountant reports and the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MD daily money digest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summarise it all.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Self-service throughout (portal):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buy/renew/upgrade/quote, invoices &amp; receipts, downloads, storage meter, billing profile, support tickets,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forgot-password by email OTP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with every email leaving via the client company's own SMTP when configured, else the Ametecs default relay.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Support &amp; accountability: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in-console Help &amp; Troubleshooting (System Health), audit trail of every admin action, screenshot/evidence viewers access-logged, Danger-Zone data clearing OTP-protected with auto-backup.</w:t>
      </w:r>
    </w:p>
    <w:p>
      <w:pPr>
        <w:spacing w:after="140"/>
      </w:pPr>
      <w:r>
        <w:drawing>
          <wp:inline distT="0" distB="0" distL="0" distR="0">
            <wp:extent cx="5524500" cy="4752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10. Touchpoint Matrix (who gets what, when)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Moment</w:t>
            </w:r>
          </w:p>
        </w:tc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Email</w:t>
            </w:r>
          </w:p>
        </w:tc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WhatsApp*</w:t>
            </w:r>
          </w:p>
        </w:tc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In-app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Lead form submitted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Sales alert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Chat opens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Central → Leads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Trial OTP / trial reminders 3-1-0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✓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Sign-up page / portal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Order created / abandoned ~3h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Pay-link rescue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✓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Portal order card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Payment captured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Invoice + receipt + welcome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✓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Auto-login, licence live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Quote raised / chased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Quote PDF + pay link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✓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Portal quotes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Renewal dunning 30-15-7-3-1-0 + grace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✓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✓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Portal banner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Credit balance overdue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Manual follow-up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Manual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Credit Clients (red)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Password reset (portal &amp; console)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OTP via company SMTP chain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Login cards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MD daily digest (after 07:00)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✓ to MD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*WhatsApp touchpoints require the Interakt integration to be active in Settings.</w:t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11. Flow Guarantees (the rules that never bend)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No money, no provisioning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activation only through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recordPayment()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on the ledger (credit's ₹0-first-money is an explicit management act, still through the same door).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No verified email, no trial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OTP before any trial account exists.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No ₹0 lifetime licence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Custom-Quote counts cannot price, cannot order, cannot activate.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Backend prices, browser displays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every displayed price is recomputed server-side on submit.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Money documents are never deleted once money exists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corrections by credit note; only ₹0-ledger test garbage is deletable (super admin, audited).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Only licence metadata crosses Central↔Product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client monitoring data never leaves the client's deployment.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Consent before tracking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the agent tracks only after the employee accepts the policy-bound consent, and transparency screens stay available to the employee.</w:t>
      </w:r>
    </w:p>
    <w:sectPr>
      <w:headerReference w:type="default" r:id="rId11"/>
      <w:footerReference w:type="default" r:id="rId12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7E9EF" w:sz="4"/>
      </w:pBdr>
      <w:tabs>
        <w:tab w:val="right" w:pos="9360"/>
      </w:tabs>
    </w:pPr>
    <w:r>
      <w:rPr>
        <w:rFonts w:ascii="Inter" w:cs="Inter" w:eastAsia="Inter" w:hAnsi="Inter"/>
        <w:color w:val="878C99"/>
        <w:sz w:val="15"/>
        <w:szCs w:val="15"/>
      </w:rPr>
      <w:t xml:space="preserve">Ametecs India Private Limited</w:t>
    </w:r>
    <w:r>
      <w:rPr>
        <w:rFonts w:ascii="Inter" w:cs="Inter" w:eastAsia="Inter" w:hAnsi="Inter"/>
        <w:sz w:val="15"/>
        <w:szCs w:val="15"/>
      </w:rPr>
      <w:t xml:space="preserve">	</w:t>
    </w:r>
    <w:r>
      <w:rPr>
        <w:rFonts w:ascii="Inter" w:cs="Inter" w:eastAsia="Inter" w:hAnsi="Inter"/>
        <w:color w:val="878C99"/>
        <w:sz w:val="15"/>
        <w:szCs w:val="15"/>
      </w:rPr>
      <w:t xml:space="preserve">Page </w:t>
    </w:r>
    <w:r>
      <w:rPr>
        <w:rFonts w:ascii="Inter" w:cs="Inter" w:eastAsia="Inter" w:hAnsi="Inter"/>
        <w:color w:val="878C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7E9EF" w:sz="4"/>
      </w:pBdr>
      <w:tabs>
        <w:tab w:val="right" w:pos="9360"/>
      </w:tabs>
    </w:pPr>
    <w:r>
      <w:rPr>
        <w:rFonts w:ascii="Inter" w:cs="Inter" w:eastAsia="Inter" w:hAnsi="Inter"/>
        <w:b/>
        <w:bCs/>
        <w:color w:val="0E7C8F"/>
        <w:sz w:val="15"/>
        <w:szCs w:val="15"/>
      </w:rPr>
      <w:t xml:space="preserve">SmartEPT</w:t>
    </w:r>
    <w:r>
      <w:rPr>
        <w:rFonts w:ascii="Inter" w:cs="Inter" w:eastAsia="Inter" w:hAnsi="Inter"/>
        <w:color w:val="878C99"/>
        <w:sz w:val="15"/>
        <w:szCs w:val="15"/>
      </w:rPr>
      <w:t xml:space="preserve"> · BY AMETECS</w:t>
    </w:r>
    <w:r>
      <w:rPr>
        <w:rFonts w:ascii="Inter" w:cs="Inter" w:eastAsia="Inter" w:hAnsi="Inter"/>
        <w:color w:val="878C99"/>
        <w:sz w:val="15"/>
        <w:szCs w:val="15"/>
      </w:rPr>
      <w:t xml:space="preserve">	SmartEPT — Complete Business 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  <w:lvl w:ilvl="2" w15:tentative="1">
      <w:start w:val="1"/>
      <w:numFmt w:val="bullet"/>
      <w:lvlText w:val="▪"/>
      <w:lvlJc w:val="left"/>
      <w:pPr>
        <w:ind w:left="108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  <w:lvl w:ilvl="1" w15:tentative="1">
      <w:start w:val="1"/>
      <w:numFmt w:val="decimal"/>
      <w:lvlText w:val="%2."/>
      <w:lvlJc w:val="left"/>
      <w:pPr>
        <w:ind w:left="720" w:hanging="260"/>
      </w:pPr>
    </w:lvl>
    <w:lvl w:ilvl="2" w15:tentative="1">
      <w:start w:val="1"/>
      <w:numFmt w:val="decimal"/>
      <w:lvlText w:val="%3."/>
      <w:lvlJc w:val="left"/>
      <w:pPr>
        <w:ind w:left="10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5171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e1075a798044511ecba81d8f453f4dbc3651c9b4.png"/><Relationship Id="rId14" Type="http://schemas.openxmlformats.org/officeDocument/2006/relationships/image" Target="media/4b6cc976b1227894c8e577bd1f5d79c0267c5e31.png"/><Relationship Id="rId15" Type="http://schemas.openxmlformats.org/officeDocument/2006/relationships/image" Target="media/7c06f0c722413ad76408ef66e74f759294f850d6.png"/><Relationship Id="rId16" Type="http://schemas.openxmlformats.org/officeDocument/2006/relationships/image" Target="media/5024144a8f63a4111ad3a2a39ede79aad14f2d92.png"/><Relationship Id="rId17" Type="http://schemas.openxmlformats.org/officeDocument/2006/relationships/image" Target="media/56dc986bff90b81fb539126a651771fe7a0b48fd.png"/><Relationship Id="rId18" Type="http://schemas.openxmlformats.org/officeDocument/2006/relationships/image" Target="media/b11b5911a202df7ec340a85584a0c46efec9d245.png"/><Relationship Id="rId19" Type="http://schemas.openxmlformats.org/officeDocument/2006/relationships/image" Target="media/f758cc32fe06c95b054985a00c66a6e0bee45920.png"/><Relationship Id="rId20" Type="http://schemas.openxmlformats.org/officeDocument/2006/relationships/image" Target="media/b7236e8e79a5bfd96053e2c6e7e384e75b338933.png"/><Relationship Id="rId21" Type="http://schemas.openxmlformats.org/officeDocument/2006/relationships/image" Target="media/7002a73c36202eeb00c143276a580524aca4780d.png"/><Relationship Id="rId22" Type="http://schemas.openxmlformats.org/officeDocument/2006/relationships/image" Target="media/93bb5826cb3a940167edd5a0533059c2bc262bc6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2026-08-11T20:11:59.544Z</dcterms:created>
  <dcterms:modified xsi:type="dcterms:W3CDTF">2026-08-11T20:11:59.546Z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