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Data Availability Statement</w:t>
      </w:r>
    </w:p>
    <w:p>
      <w:r>
        <w:rPr>
          <w:i/>
          <w:sz w:val="18"/>
        </w:rPr>
        <w:t>Manuscript DD-COM-05-2026-000309 — Notation matters: cross-representation inconsistency in chemistry language models and its mechanistic origins</w:t>
      </w:r>
    </w:p>
    <w:p>
      <w:r>
        <w:rPr>
          <w:sz w:val="21"/>
        </w:rPr>
        <w:t>All code, derived results and analysis scripts supporting this article are publicly available without embargo at https://github.com/amethystani/notation-matters. The repository is archived on Zenodo; the DOI for the archived version corresponding to this article will be supplied at acceptance, in line with the journal's data-sharing policy.</w:t>
      </w:r>
    </w:p>
    <w:p>
      <w:r>
        <w:rPr>
          <w:sz w:val="21"/>
        </w:rPr>
        <w:t>The repository contains the behavioural benchmark (07_full_esol_phase1.py), the representational analysis (08_full_esol_phase2.py), the corrected structural classification and its re-analysis (09_reclassify_phase1.py), the additional-model benchmark (10_second_model_benchmark.py), the cross-notation representational analysis (11_crossnotation_embedding_bridge.py), the model validity screen (12_model_validity_probe.py), the notation cache builder (13_build_notation_cache.py), the multi-dataset benchmark (14_multidataset_benchmark.py), the intervention controls, and the batch pipeline (run_full_benchmark.sh). Per-molecule predictions, layerwise cosine similarities and all control outputs are deposited as JSON alongside the code, so that every table and figure can be regenerated without re-running model inference.</w:t>
      </w:r>
    </w:p>
    <w:p>
      <w:r>
        <w:rPr>
          <w:sz w:val="21"/>
        </w:rPr>
        <w:t>Ground-truth logS values are from the ESOL dataset as distributed by MoleculeNet; hydration free energies are from FreeSolv. Both are retrieved directly from their public MoleculeNet distributions. IUPAC names were retrieved via the PubChem REST API; InChI and SELFIES strings are generated locally using RDKit and the selfies library respectively, and a cached copy of all notation strings is included in the repository so that the behavioural analyses can be reproduced without further API access.</w:t>
      </w:r>
    </w:p>
    <w:p>
      <w:r>
        <w:rPr>
          <w:sz w:val="21"/>
        </w:rPr>
        <w:t>The models used are publicly available: Qwen3.6:35b-a3b served via Ollama, and ChemBERTa-2 (seyonec/ChemBERTa-zinc-base-v1) from the Hugging Face Hub. Exact model tags, quantisation, decoding parameters and prompt templates are given in Section 2.1.2 and reproduced in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