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of Contents Entry text — DD-COM-05-2026-000309</w:t>
      </w:r>
    </w:p>
    <w:p>
      <w:r>
        <w:rPr>
          <w:sz w:val="22"/>
        </w:rPr>
        <w:t>Predictions from a chemistry language model shift by 1.69 logS on average when the same molecule is rewritten in another notation, affecting 88% of ESOL. Descriptor models are unaffected, locating the failure in string-based models.</w:t>
      </w:r>
    </w:p>
    <w:p>
      <w:r>
        <w:rPr>
          <w:sz w:val="16"/>
        </w:rPr>
        <w:t>[232 characters including spaces; limit 250]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