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olor w:val="0F2537"/>
          <w:sz w:val="52"/>
        </w:rPr>
        <w:t>PRAKALP-DRISHTI</w:t>
      </w:r>
    </w:p>
    <w:p>
      <w:pPr>
        <w:spacing w:before="0" w:after="80"/>
      </w:pPr>
      <w:r>
        <w:rPr>
          <w:b/>
          <w:color w:val="0284C7"/>
          <w:sz w:val="30"/>
        </w:rPr>
        <w:t>AMEY'S MASTER DEFENSE GUIDE: Satellite Remote Sensing (Zero-Trust) &amp; System Architecture Defense</w:t>
      </w:r>
    </w:p>
    <w:p>
      <w:pPr>
        <w:spacing w:before="0" w:after="240"/>
      </w:pPr>
      <w:r>
        <w:rPr>
          <w:color w:val="4B5563"/>
          <w:sz w:val="19"/>
        </w:rPr>
        <w:t>Team Member: Amey | Assigned Modules: Satellite Verification (EO Engine) · Core System Architecture &amp; Technical Q&amp;A</w:t>
        <w:br/>
        <w:t>Ministry of Statistics &amp; Programme Implementation (MoSPI) | Smart India Hackathon 2026 (SIH26103)</w:t>
        <w:br/>
        <w:t>Target: Complete Module Mastery, Mathematics, Data Provenance &amp; Winning Jury Defense</w:t>
      </w:r>
    </w:p>
    <w:p>
      <w:pPr>
        <w:spacing w:after="240"/>
        <w:pBdr>
          <w:bottom w:val="single" w:sz="12" w:space="1" w:color="0284C7"/>
        </w:pBdr>
      </w:pPr>
    </w:p>
    <w:p>
      <w:pPr>
        <w:pStyle w:val="Heading1"/>
      </w:pPr>
      <w:r>
        <w:t>1. Executive Mission &amp; What Your Modules Accomplish</w:t>
      </w:r>
    </w:p>
    <w:p>
      <w:r>
        <w:t>Amey, you are the technical architect and captain of PRAKALP-DRISHTI: 1. SATELLITE REMOTE SENSING (ZERO-TRUST): The physical earth-observation audit layer that verifies self-reported contractor claims against dual-epoch optical satellite tiles, backed by our industry-defining 'Refusal Architecture'.</w:t>
        <w:br/>
        <w:t>2. TECHNICAL SYSTEM ARCHITECTURE: The end-to-end full-stack defense (FastAPI, React Vite, HiGHS LP solver, 68MB offline sovereign geocoding, and Supabase PostgreSQL write-path with Merkle audit trails).</w:t>
        <w:br/>
        <w:br/>
        <w:t>Your presentation narrative is the showstopper: 'Every competing team will show a satellite photo and claim an AI completion percentage. Prakalp Drishti is built to REFUSE. When Polavaram has only a national centroid match, we tell the Cabinet Secretary: any satellite photo framed here would show unrelated ground, so we refuse to serve it and draw an 8,00,000m uncertainty circle instead. That radical honesty is why the Government of India can actually deploy this platform.'</w:t>
      </w:r>
    </w:p>
    <w:tbl>
      <w:tblPr>
        <w:tblW w:type="auto" w:w="0"/>
        <w:jc w:val="center"/>
        <w:tblLook w:firstColumn="1" w:firstRow="1" w:lastColumn="0" w:lastRow="0" w:noHBand="0" w:noVBand="1" w:val="04A0"/>
      </w:tblPr>
      <w:tblGrid>
        <w:gridCol w:w="9360"/>
      </w:tblGrid>
      <w:tr>
        <w:tc>
          <w:tcPr>
            <w:tcW w:type="dxa" w:w="9360"/>
            <w:shd w:fill="F0F9FF"/>
            <w:tcMar>
              <w:top w:w="140" w:type="dxa"/>
              <w:bottom w:w="140" w:type="dxa"/>
              <w:left w:w="180" w:type="dxa"/>
              <w:right w:w="180" w:type="dxa"/>
            </w:tcMar>
            <w:tcBorders>
              <w:top w:val="none"/>
              <w:left w:val="single" w:sz="24" w:space="0" w:color="0284C7"/>
              <w:bottom w:val="none"/>
              <w:right w:val="none"/>
            </w:tcBorders>
          </w:tcPr>
          <w:p>
            <w:pPr>
              <w:spacing w:before="0" w:after="60"/>
            </w:pPr>
            <w:r>
              <w:rPr>
                <w:b/>
                <w:color w:val="184C78"/>
                <w:sz w:val="21"/>
              </w:rPr>
              <w:t>📌 AMEY'S 30-SECOND ELEVATOR PITCH</w:t>
              <w:br/>
            </w:r>
            <w:r>
              <w:rPr>
                <w:color w:val="1F2937"/>
                <w:sz w:val="20"/>
              </w:rPr>
              <w:t>CORE DEFENSE HOOK: 'We monitor 2,207 Central Sector mega-projects worth ₹47.44 Lakh Crore. Our system operates on Zero Trust: 4,414 dual-epoch satellite tiles verify physical progress on the ground. We operate 100% offline with sovereign Indian gazetteers, and every analytical finding is anchored by RFC 6962 Merkle tree proofs!'</w:t>
            </w:r>
          </w:p>
        </w:tc>
      </w:tr>
    </w:tbl>
    <w:p>
      <w:pPr>
        <w:spacing w:before="0" w:after="80"/>
      </w:pPr>
    </w:p>
    <w:p>
      <w:pPr>
        <w:pStyle w:val="Heading1"/>
      </w:pPr>
      <w:r>
        <w:t>2. Deep-Dive: Satellite Remote Sensing &amp; The Refusal Architecture</w:t>
      </w:r>
    </w:p>
    <w:p>
      <w:r>
        <w:t>Contractors self-report progress percentages on web forms to trigger payment milestones. Prakalp Drishti introduces an independent Earth Observation (EO) verification pipeline.</w:t>
      </w:r>
    </w:p>
    <w:p>
      <w:pPr>
        <w:pStyle w:val="Heading2"/>
      </w:pPr>
      <w:r>
        <w:t>2.1 Exact Imagery Ingested &amp; Optical Sensor Specifications</w:t>
      </w:r>
    </w:p>
    <w:p>
      <w:r>
        <w:t>• Source: Esri ArcGIS World Imagery / Wayback Dual-Epoch Tiles.</w:t>
        <w:br/>
        <w:t>• Volume: 4,414 dual-epoch tiles (2,207 projects × 2 epochs: 2018-02 baseline vs 2023-01 progress).</w:t>
        <w:br/>
        <w:t>• Ground Sample Distance (GSD): 2.08 to 2.35 meters per pixel (8-bit RGB JPEG).</w:t>
        <w:br/>
        <w:t>• WHAT IS DEFENSIBLE (3 Visible Bands):</w:t>
        <w:br/>
        <w:t xml:space="preserve">  - Excess Green Index (ExG = 2G - R - B, Woebbecke 1995): Detects vegetation clearing along highway corridors.</w:t>
        <w:br/>
        <w:t xml:space="preserve">  - Visible Atmospherically Resistant Index (VARI = (G - R)/(G + R - B), Gitelson 2002): Distinguishes earthworks from canopy.</w:t>
        <w:br/>
        <w:t xml:space="preserve">  - Spectral Angle Mapper (SAM): Measures angle shifts between baseline and current epochs.</w:t>
      </w:r>
    </w:p>
    <w:p>
      <w:pPr>
        <w:pStyle w:val="Heading2"/>
      </w:pPr>
      <w:r>
        <w:t>2.2 The Three Critical Refusals (What We Refuse to Claim)</w:t>
      </w:r>
    </w:p>
    <w:tbl>
      <w:tblPr>
        <w:tblW w:type="auto" w:w="0"/>
        <w:jc w:val="center"/>
        <w:tblLook w:firstColumn="1" w:firstRow="1" w:lastColumn="0" w:lastRow="0" w:noHBand="0" w:noVBand="1" w:val="04A0"/>
      </w:tblPr>
      <w:tblGrid>
        <w:gridCol w:w="3120"/>
        <w:gridCol w:w="3120"/>
        <w:gridCol w:w="3120"/>
      </w:tblGrid>
      <w:tr>
        <w:tc>
          <w:tcPr>
            <w:tcW w:type="dxa" w:w="3120"/>
            <w:shd w:fill="0F2537"/>
            <w:tcMar>
              <w:top w:w="100" w:type="dxa"/>
              <w:bottom w:w="100" w:type="dxa"/>
              <w:left w:w="120" w:type="dxa"/>
              <w:right w:w="120" w:type="dxa"/>
            </w:tcMar>
          </w:tcPr>
          <w:p>
            <w:r>
              <w:rPr>
                <w:b/>
                <w:color w:val="FFFFFF"/>
                <w:sz w:val="20"/>
              </w:rPr>
              <w:t>Refused Claim</w:t>
            </w:r>
          </w:p>
        </w:tc>
        <w:tc>
          <w:tcPr>
            <w:tcW w:type="dxa" w:w="3120"/>
            <w:shd w:fill="0F2537"/>
            <w:tcMar>
              <w:top w:w="100" w:type="dxa"/>
              <w:bottom w:w="100" w:type="dxa"/>
              <w:left w:w="120" w:type="dxa"/>
              <w:right w:w="120" w:type="dxa"/>
            </w:tcMar>
          </w:tcPr>
          <w:p>
            <w:r>
              <w:rPr>
                <w:b/>
                <w:color w:val="FFFFFF"/>
                <w:sz w:val="20"/>
              </w:rPr>
              <w:t>Physical / Mathematical Reason</w:t>
            </w:r>
          </w:p>
        </w:tc>
        <w:tc>
          <w:tcPr>
            <w:tcW w:type="dxa" w:w="3120"/>
            <w:shd w:fill="0F2537"/>
            <w:tcMar>
              <w:top w:w="100" w:type="dxa"/>
              <w:bottom w:w="100" w:type="dxa"/>
              <w:left w:w="120" w:type="dxa"/>
              <w:right w:w="120" w:type="dxa"/>
            </w:tcMar>
          </w:tcPr>
          <w:p>
            <w:r>
              <w:rPr>
                <w:b/>
                <w:color w:val="FFFFFF"/>
                <w:sz w:val="20"/>
              </w:rPr>
              <w:t>What Prakalp Drishti Does Instead</w:t>
            </w:r>
          </w:p>
        </w:tc>
      </w:tr>
      <w:tr>
        <w:tc>
          <w:tcPr>
            <w:tcW w:type="dxa" w:w="3120"/>
            <w:shd w:fill="F9FAFB"/>
            <w:tcMar>
              <w:top w:w="80" w:type="dxa"/>
              <w:bottom w:w="80" w:type="dxa"/>
              <w:left w:w="100" w:type="dxa"/>
              <w:right w:w="100" w:type="dxa"/>
            </w:tcMar>
          </w:tcPr>
          <w:p>
            <w:r>
              <w:rPr>
                <w:b/>
                <w:sz w:val="19"/>
              </w:rPr>
              <w:t>Sub-Metre Change Detection</w:t>
            </w:r>
          </w:p>
        </w:tc>
        <w:tc>
          <w:tcPr>
            <w:tcW w:type="dxa" w:w="3120"/>
            <w:shd w:fill="F9FAFB"/>
            <w:tcMar>
              <w:top w:w="80" w:type="dxa"/>
              <w:bottom w:w="80" w:type="dxa"/>
              <w:left w:w="100" w:type="dxa"/>
              <w:right w:w="100" w:type="dxa"/>
            </w:tcMar>
          </w:tcPr>
          <w:p>
            <w:r>
              <w:rPr>
                <w:sz w:val="19"/>
              </w:rPr>
              <w:t>Measured sensor GSD is 2.08–2.35 m/px; claiming sub-metre accuracy is a fabrication.</w:t>
            </w:r>
          </w:p>
        </w:tc>
        <w:tc>
          <w:tcPr>
            <w:tcW w:type="dxa" w:w="3120"/>
            <w:shd w:fill="F9FAFB"/>
            <w:tcMar>
              <w:top w:w="80" w:type="dxa"/>
              <w:bottom w:w="80" w:type="dxa"/>
              <w:left w:w="100" w:type="dxa"/>
              <w:right w:w="100" w:type="dxa"/>
            </w:tcMar>
          </w:tcPr>
          <w:p>
            <w:r>
              <w:rPr>
                <w:sz w:val="19"/>
              </w:rPr>
              <w:t>Enforces a cluster minimum: only connected pixel groups are evaluated.</w:t>
            </w:r>
          </w:p>
        </w:tc>
      </w:tr>
      <w:tr>
        <w:tc>
          <w:tcPr>
            <w:tcW w:type="dxa" w:w="3120"/>
            <w:shd w:fill="FFFFFF"/>
            <w:tcMar>
              <w:top w:w="80" w:type="dxa"/>
              <w:bottom w:w="80" w:type="dxa"/>
              <w:left w:w="100" w:type="dxa"/>
              <w:right w:w="100" w:type="dxa"/>
            </w:tcMar>
          </w:tcPr>
          <w:p>
            <w:r>
              <w:rPr>
                <w:b/>
                <w:sz w:val="19"/>
              </w:rPr>
              <w:t>NDVI / NDBI / NDWI Indices</w:t>
            </w:r>
          </w:p>
        </w:tc>
        <w:tc>
          <w:tcPr>
            <w:tcW w:type="dxa" w:w="3120"/>
            <w:shd w:fill="FFFFFF"/>
            <w:tcMar>
              <w:top w:w="80" w:type="dxa"/>
              <w:bottom w:w="80" w:type="dxa"/>
              <w:left w:w="100" w:type="dxa"/>
              <w:right w:w="100" w:type="dxa"/>
            </w:tcMar>
          </w:tcPr>
          <w:p>
            <w:r>
              <w:rPr>
                <w:sz w:val="19"/>
              </w:rPr>
              <w:t>ESRI World Imagery provides RGB only; NDVI requires Near-Infrared (NIR/SWIR) bands.</w:t>
            </w:r>
          </w:p>
        </w:tc>
        <w:tc>
          <w:tcPr>
            <w:tcW w:type="dxa" w:w="3120"/>
            <w:shd w:fill="FFFFFF"/>
            <w:tcMar>
              <w:top w:w="80" w:type="dxa"/>
              <w:bottom w:w="80" w:type="dxa"/>
              <w:left w:w="100" w:type="dxa"/>
              <w:right w:w="100" w:type="dxa"/>
            </w:tcMar>
          </w:tcPr>
          <w:p>
            <w:r>
              <w:rPr>
                <w:sz w:val="19"/>
              </w:rPr>
              <w:t>Refuses NDVI outright; uses defensible RGB indices: ExG and VARI.</w:t>
            </w:r>
          </w:p>
        </w:tc>
      </w:tr>
      <w:tr>
        <w:tc>
          <w:tcPr>
            <w:tcW w:type="dxa" w:w="3120"/>
            <w:shd w:fill="F9FAFB"/>
            <w:tcMar>
              <w:top w:w="80" w:type="dxa"/>
              <w:bottom w:w="80" w:type="dxa"/>
              <w:left w:w="100" w:type="dxa"/>
              <w:right w:w="100" w:type="dxa"/>
            </w:tcMar>
          </w:tcPr>
          <w:p>
            <w:r>
              <w:rPr>
                <w:b/>
                <w:sz w:val="19"/>
              </w:rPr>
              <w:t>Synthetic SAR Switching</w:t>
            </w:r>
          </w:p>
        </w:tc>
        <w:tc>
          <w:tcPr>
            <w:tcW w:type="dxa" w:w="3120"/>
            <w:shd w:fill="F9FAFB"/>
            <w:tcMar>
              <w:top w:w="80" w:type="dxa"/>
              <w:bottom w:w="80" w:type="dxa"/>
              <w:left w:w="100" w:type="dxa"/>
              <w:right w:w="100" w:type="dxa"/>
            </w:tcMar>
          </w:tcPr>
          <w:p>
            <w:r>
              <w:rPr>
                <w:sz w:val="19"/>
              </w:rPr>
              <w:t>No Sentinel-1 SAR scenes are ingested in this offline deployment.</w:t>
            </w:r>
          </w:p>
        </w:tc>
        <w:tc>
          <w:tcPr>
            <w:tcW w:type="dxa" w:w="3120"/>
            <w:shd w:fill="F9FAFB"/>
            <w:tcMar>
              <w:top w:w="80" w:type="dxa"/>
              <w:bottom w:w="80" w:type="dxa"/>
              <w:left w:w="100" w:type="dxa"/>
              <w:right w:w="100" w:type="dxa"/>
            </w:tcMar>
          </w:tcPr>
          <w:p>
            <w:r>
              <w:rPr>
                <w:sz w:val="19"/>
              </w:rPr>
              <w:t>sar_available returns FALSE with reason stated; never fakes SAR radar values!</w:t>
            </w:r>
          </w:p>
        </w:tc>
      </w:tr>
      <w:tr>
        <w:tc>
          <w:tcPr>
            <w:tcW w:type="dxa" w:w="3120"/>
            <w:shd w:fill="FFFFFF"/>
            <w:tcMar>
              <w:top w:w="80" w:type="dxa"/>
              <w:bottom w:w="80" w:type="dxa"/>
              <w:left w:w="100" w:type="dxa"/>
              <w:right w:w="100" w:type="dxa"/>
            </w:tcMar>
          </w:tcPr>
          <w:p>
            <w:r>
              <w:rPr>
                <w:b/>
                <w:sz w:val="19"/>
              </w:rPr>
              <w:t>National Centroid Sites</w:t>
            </w:r>
          </w:p>
        </w:tc>
        <w:tc>
          <w:tcPr>
            <w:tcW w:type="dxa" w:w="3120"/>
            <w:shd w:fill="FFFFFF"/>
            <w:tcMar>
              <w:top w:w="80" w:type="dxa"/>
              <w:bottom w:w="80" w:type="dxa"/>
              <w:left w:w="100" w:type="dxa"/>
              <w:right w:w="100" w:type="dxa"/>
            </w:tcMar>
          </w:tcPr>
          <w:p>
            <w:r>
              <w:rPr>
                <w:sz w:val="19"/>
              </w:rPr>
              <w:t>Projects without surveyed GPS (like Polavaram) map to India's centroid.</w:t>
            </w:r>
          </w:p>
        </w:tc>
        <w:tc>
          <w:tcPr>
            <w:tcW w:type="dxa" w:w="3120"/>
            <w:shd w:fill="FFFFFF"/>
            <w:tcMar>
              <w:top w:w="80" w:type="dxa"/>
              <w:bottom w:w="80" w:type="dxa"/>
              <w:left w:w="100" w:type="dxa"/>
              <w:right w:w="100" w:type="dxa"/>
            </w:tcMar>
          </w:tcPr>
          <w:p>
            <w:r>
              <w:rPr>
                <w:sz w:val="19"/>
              </w:rPr>
              <w:t>Refuses satellite framing; renders 8,00,000m uncertainty circle and recommends physical audit.</w:t>
            </w:r>
          </w:p>
        </w:tc>
      </w:tr>
    </w:tbl>
    <w:p>
      <w:pPr>
        <w:spacing w:before="80"/>
      </w:pPr>
    </w:p>
    <w:p>
      <w:pPr>
        <w:pStyle w:val="Heading1"/>
      </w:pPr>
      <w:r>
        <w:t>3. Technical Architecture &amp; Sovereign Air-Gapped Deployment</w:t>
      </w:r>
    </w:p>
    <w:p>
      <w:r>
        <w:t>1. 1,981 vs 2,207 Projects Mathematical Explanation:</w:t>
        <w:br/>
        <w:t xml:space="preserve">   • 1,981 is the single-month snapshot of projects in 'Ongoing' status in April 2026.</w:t>
        <w:br/>
        <w:t xml:space="preserve">   • 2,207 is our master longitudinal catalog across Jan–June 2026: Active in-flight (1,823) + Pre-construction (220) + Completed benchmarks (164).</w:t>
        <w:br/>
        <w:t xml:space="preserve">   • Having 164 completed projects is mathematically essential to train supervised ML models without right-censoring bias!</w:t>
        <w:br/>
        <w:br/>
        <w:t>2. Sovereign Air-Gapped Geocoding (geonames_IN.txt — 68MB Engine):</w:t>
        <w:br/>
        <w:t xml:space="preserve">   • Sensitive defense, nuclear, and border road corridors cannot query public commercial APIs (like Google Maps) without leaking coordinates to foreign servers.</w:t>
        <w:br/>
        <w:t xml:space="preserve">   • We deployed a 68MB offline gazetteer of 400,000+ Indian revenue villages and corridors, geocoding 71.8% of projects completely offline!</w:t>
        <w:br/>
        <w:br/>
        <w:t>3. High-Performance Full Stack Architecture:</w:t>
        <w:br/>
        <w:t xml:space="preserve">   • Backend: Python FastAPI with in-memory pandas cache delivering sub-10ms query responses.</w:t>
        <w:br/>
        <w:t xml:space="preserve">   • Solver: Open-source HiGHS Simplex LP solver (&lt;2s full portfolio solve across 300 scenarios).</w:t>
        <w:br/>
        <w:t xml:space="preserve">   • Persistence: Dual-path architecture—writes go to Supabase PostgreSQL (ap-south-1, Mumbai) with append-only Merkle hash chains; reads served from RAM.</w:t>
        <w:br/>
        <w:t xml:space="preserve">   • Frontend: React + Vite + TailwindCSS with route-level code splitting (initial bundle reduced to 65 kB).</w:t>
      </w:r>
    </w:p>
    <w:p>
      <w:pPr>
        <w:pStyle w:val="Heading1"/>
      </w:pPr>
      <w:r>
        <w:t>Winning Jury &amp; Evaluator Combat Guide (Q&amp;A)</w:t>
      </w:r>
    </w:p>
    <w:p>
      <w:pPr>
        <w:spacing w:before="120" w:after="40"/>
      </w:pPr>
      <w:r>
        <w:rPr>
          <w:b/>
          <w:color w:val="0F2537"/>
          <w:sz w:val="22"/>
        </w:rPr>
        <w:t>❓ Why 2,207 projects when the problem statement mentions 1,981?</w:t>
      </w:r>
    </w:p>
    <w:p>
      <w:pPr>
        <w:spacing w:before="0" w:after="120"/>
      </w:pPr>
      <w:r>
        <w:rPr>
          <w:color w:val="1F2937"/>
          <w:sz w:val="20"/>
        </w:rPr>
        <w:t>💬 1,981 is the single-month snapshot of projects strictly in 'Ongoing' status in April 2026. However, infrastructure monitoring is longitudinal. Over multi-month cycles (Jan–June 2026), projects enter and exit. Our master database of 2,207 includes 1,823 active projects, 220 pre-construction pipeline projects, and 164 historically completed projects. Those 164 completed benchmarks are mathematically necessary to train supervised AI models without right-censoring bias.</w:t>
      </w:r>
    </w:p>
    <w:p>
      <w:pPr>
        <w:spacing w:before="120" w:after="40"/>
      </w:pPr>
      <w:r>
        <w:rPr>
          <w:b/>
          <w:color w:val="0F2537"/>
          <w:sz w:val="22"/>
        </w:rPr>
        <w:t>❓ What satellite resolution do you use, and do you compute NDVI?</w:t>
      </w:r>
    </w:p>
    <w:p>
      <w:pPr>
        <w:spacing w:before="0" w:after="120"/>
      </w:pPr>
      <w:r>
        <w:rPr>
          <w:color w:val="1F2937"/>
          <w:sz w:val="20"/>
        </w:rPr>
        <w:t>💬 We ingest 4,414 dual-epoch tiles from Esri ArcGIS World Imagery at a measured ground sample distance of 2.08 to 2.35 meters per pixel. We refuse to claim sub-metre precision, and we refuse to claim NDVI/NDBI. ESRI basemap tiles carry visible RGB bands only—computing NDVI requires Near-Infrared bands that this sensor does not have. On visible bands, we use defensible indices: Excess Green (ExG) and VARI.</w:t>
      </w:r>
    </w:p>
    <w:p>
      <w:pPr>
        <w:spacing w:before="120" w:after="40"/>
      </w:pPr>
      <w:r>
        <w:rPr>
          <w:b/>
          <w:color w:val="0F2537"/>
          <w:sz w:val="22"/>
        </w:rPr>
        <w:t>❓ What happens if a project has cloud cover or invalid GPS coordinates?</w:t>
      </w:r>
    </w:p>
    <w:p>
      <w:pPr>
        <w:spacing w:before="0" w:after="120"/>
      </w:pPr>
      <w:r>
        <w:rPr>
          <w:color w:val="1F2937"/>
          <w:sz w:val="20"/>
        </w:rPr>
        <w:t>💬 We enforce an absolute 'Verdict Withheld' protocol. For projects with coarse coordinates like Polavaram (which maps to a national centroid), we decline to show satellite imagery, state that any framing would show unrelated ground, draw an 8,00,000m uncertainty circle, and recommend a physical ground inspection. We refuse to bluff the Cabinet.</w:t>
      </w:r>
    </w:p>
    <w:p>
      <w:pPr>
        <w:spacing w:before="120" w:after="40"/>
      </w:pPr>
      <w:r>
        <w:rPr>
          <w:b/>
          <w:color w:val="0F2537"/>
          <w:sz w:val="22"/>
        </w:rPr>
        <w:t>❓ Does your system work in an air-gapped sovereign environment without internet?</w:t>
      </w:r>
    </w:p>
    <w:p>
      <w:pPr>
        <w:spacing w:before="0" w:after="120"/>
      </w:pPr>
      <w:r>
        <w:rPr>
          <w:color w:val="1F2937"/>
          <w:sz w:val="20"/>
        </w:rPr>
        <w:t>💬 Yes. We built a 68MB offline geospatial engine using the GeoNames India gazetteer of 400,000 locations, geocoding 71.8% of projects locally without querying Google Maps or leaking sensitive strategic corridor coordinates outside India.</w:t>
      </w:r>
    </w:p>
    <w:p>
      <w:pPr>
        <w:spacing w:before="120" w:after="40"/>
      </w:pPr>
      <w:r>
        <w:rPr>
          <w:b/>
          <w:color w:val="0F2537"/>
          <w:sz w:val="22"/>
        </w:rPr>
        <w:t>❓ How do you ensure zero LLM hallucinations in government decision support?</w:t>
      </w:r>
    </w:p>
    <w:p>
      <w:pPr>
        <w:spacing w:before="0" w:after="120"/>
      </w:pPr>
      <w:r>
        <w:rPr>
          <w:color w:val="1F2937"/>
          <w:sz w:val="20"/>
        </w:rPr>
        <w:t>💬 All quantitative metrics (P10–P95 dates, capital reallocation, locked capex, and reliability scores) are computed deterministically using mathematical libraries (HiGHS, Scipy, Lifelines). The LLM is strictly used as a text summarization layer, and every output is anchored to an RFC 6962 SHA-256 Merkle tree proof.</w:t>
      </w:r>
    </w:p>
    <w:p>
      <w:pPr>
        <w:spacing w:before="120" w:after="40"/>
      </w:pPr>
      <w:r>
        <w:rPr>
          <w:b/>
          <w:color w:val="0F2537"/>
          <w:sz w:val="22"/>
        </w:rPr>
        <w:t>❓ What is your underlying database and caching architecture?</w:t>
      </w:r>
    </w:p>
    <w:p>
      <w:pPr>
        <w:spacing w:before="0" w:after="120"/>
      </w:pPr>
      <w:r>
        <w:rPr>
          <w:color w:val="1F2937"/>
          <w:sz w:val="20"/>
        </w:rPr>
        <w:t>💬 We use a high-performance split-path architecture: writes go to Supabase PostgreSQL (hosted in AWS Mumbai) with append-only Merkle hash chains and row-level security. Reads are served from an in-memory dataframe at server startup, delivering sub-10ms query latencies across all 2,207 projects.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253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