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2537"/>
          <w:sz w:val="52"/>
        </w:rPr>
        <w:t>PRAKALP-DRISHTI</w:t>
      </w:r>
    </w:p>
    <w:p>
      <w:pPr>
        <w:spacing w:before="0" w:after="80"/>
      </w:pPr>
      <w:r>
        <w:rPr>
          <w:b/>
          <w:color w:val="0284C7"/>
          <w:sz w:val="30"/>
        </w:rPr>
        <w:t>SOHAM'S MASTER DEFENSE GUIDE: Pragati-Saarthi (Executive Briefing) &amp; Empirical Model Validation</w:t>
      </w:r>
    </w:p>
    <w:p>
      <w:pPr>
        <w:spacing w:before="0" w:after="240"/>
      </w:pPr>
      <w:r>
        <w:rPr>
          <w:color w:val="4B5563"/>
          <w:sz w:val="19"/>
        </w:rPr>
        <w:t>Team Member: Soham | Assigned Modules: Pragati-Saarthi (PMO Cabinet Dossiers) · Empirical Model Validation (Benchmark Engine)</w:t>
        <w:br/>
        <w:t>Ministry of Statistics &amp; Programme Implementation (MoSPI) | Smart India Hackathon 2026 (SIH26103)</w:t>
        <w:br/>
        <w:t>Target: Complete Module Mastery, Mathematics, Data Provenance &amp; Winning Jury Defense</w:t>
      </w:r>
    </w:p>
    <w:p>
      <w:pPr>
        <w:spacing w:after="240"/>
        <w:pBdr>
          <w:bottom w:val="single" w:sz="12" w:space="1" w:color="0284C7"/>
        </w:pBdr>
      </w:pPr>
    </w:p>
    <w:p>
      <w:pPr>
        <w:pStyle w:val="Heading1"/>
      </w:pPr>
      <w:r>
        <w:t>1. Executive Mission &amp; What Your Modules Accomplish</w:t>
      </w:r>
    </w:p>
    <w:p>
      <w:r>
        <w:t>Soham, you are the intellectual anchor of PRAKALP-DRISHTI's credibility: 1. PRAGATI-SAARTHI: The bilingual PMO briefing engine that turns massive data streams into a 1-page executive decision dossier backed by cryptographic Merkle tree proofs with ZERO LLM numerical hallucinations.</w:t>
        <w:br/>
        <w:t>2. EMPIRICAL MODEL VALIDATION: The scientific benchmark suite that rigorously proves to judges that our Machine Learning model outperforms conventional baselines, while honestly reporting every statistical metric ($R^2$, MAE, SHAP values).</w:t>
        <w:br/>
        <w:br/>
        <w:t>Your presentation narrative is formidable: 'We do not ask the Prime Minister or Cabinet Secretary to trust an AI black box. In Pragati-Saarthi, every number is deterministic and sealed with RFC 6962 SHA-256 Merkle proofs. And in our validation benchmark, we prove a 12.2% MAE lift over what an experienced officer could calculate by hand, with full statistical honesty.'</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60"/>
            </w:pPr>
            <w:r>
              <w:rPr>
                <w:b/>
                <w:color w:val="184C78"/>
                <w:sz w:val="21"/>
              </w:rPr>
              <w:t>📌 SOHAM'S 30-SECOND ELEVATOR PITCH</w:t>
              <w:br/>
            </w:r>
            <w:r>
              <w:rPr>
                <w:color w:val="1F2937"/>
                <w:sz w:val="20"/>
              </w:rPr>
              <w:t>CORE DEFENSE HOOK: 'LLMs are probabilistic language models that hallucinate numbers—they have no place generating public financial figures. In Prakalp Drishti, all metrics, quantiles, and directive triggers are calculated deterministically in Python. The LLM is only used as a constrained synthesis layer, and every output is anchored to an RFC 6962 Merkle tree proof!'</w:t>
            </w:r>
          </w:p>
        </w:tc>
      </w:tr>
    </w:tbl>
    <w:p>
      <w:pPr>
        <w:spacing w:before="0" w:after="80"/>
      </w:pPr>
    </w:p>
    <w:p>
      <w:pPr>
        <w:pStyle w:val="Heading1"/>
      </w:pPr>
      <w:r>
        <w:t>2. Deep-Dive: PRAGATI-SAARTHI (Cabinet Dossier Engine)</w:t>
      </w:r>
    </w:p>
    <w:p>
      <w:r>
        <w:t>Pragati-Saarthi is named after the Prime Minister's PRAGATI (Pro-Active Governance And Timely Implementation) review meetings. When an asset is scheduled for high-level inter-ministerial review, Pragati-Saarthi generates a bilingual briefing memo.</w:t>
      </w:r>
    </w:p>
    <w:p>
      <w:pPr>
        <w:pStyle w:val="Heading2"/>
      </w:pPr>
      <w:r>
        <w:t>2.1 Cryptographic Grounding &amp; Zero-Hallucination Architecture</w:t>
      </w:r>
    </w:p>
    <w:p>
      <w:r>
        <w:t>1. Deterministic Fact Extraction: Before any text is synthesized, the system runs mathematical algorithms extracting exact values: Sanctioned Cost, Revised Cost, P50 Median Date, P95 Tail Disaster Date, Float Breaches, and Counterparty Ministries.</w:t>
        <w:br/>
        <w:t>2. RFC 8785 JSON Canonicalization: Facts are normalized into standard canonical JSON format with deterministic key ordering.</w:t>
        <w:br/>
        <w:t>3. RFC 6962 Merkle Tree Audit Trail: Each fact becomes a leaf node in an RFC 6962 cryptographic Merkle tree:</w:t>
        <w:br/>
        <w:t xml:space="preserve">   • Leaves: SHA-256(0x00 || Canonical_Fact_Data)</w:t>
        <w:br/>
        <w:t xml:space="preserve">   • Internal Nodes: SHA-256(0x01 || Left_Child || Right_Child), split at the largest power of two.</w:t>
        <w:br/>
        <w:t xml:space="preserve">   • The root hash is sealed in an immutable write-once archive. If even a single comma or digit is altered, the Merkle proof fails closed!</w:t>
        <w:br/>
        <w:t>4. Bilingual Output: Generated simultaneously in English and official Commission for Scientific and Technical Terminology (CSTT) Hindi.</w:t>
      </w:r>
    </w:p>
    <w:p>
      <w:pPr>
        <w:pStyle w:val="Heading2"/>
      </w:pPr>
      <w:r>
        <w:t>2.2 Action Directives with Named Counterparties</w:t>
      </w:r>
    </w:p>
    <w:p>
      <w:r>
        <w:t>Most dashboards stop at showing a number. Pragati-Saarthi generates prescriptive directives naming exact authorities:</w:t>
        <w:br/>
        <w:t>• 'Convene joint coordination meeting with Chief Secretary (Govt. of Andhra Pradesh) to expedite critical path forest clearance.'</w:t>
        <w:br/>
        <w:t>• 'Issue formal notice to RVNL under CPWD Clause 25 to remediate ballast procurement bottleneck.'</w:t>
        <w:br/>
        <w:t>• 'Direct Department of Expenditure to release ₹450 Cr milestone tranche under escrow condition.'</w:t>
      </w:r>
    </w:p>
    <w:p>
      <w:pPr>
        <w:pStyle w:val="Heading1"/>
      </w:pPr>
      <w:r>
        <w:t>3. Deep-Dive: EMPIRICAL MODEL VALIDATION (Benchmark Engine)</w:t>
      </w:r>
    </w:p>
    <w:p>
      <w:r>
        <w:t>This engine directly answers SIH Problem Statement Dimensions (b) &amp; (c) by comparing Machine Learning against conventional statistical baselines.</w:t>
      </w:r>
    </w:p>
    <w:p>
      <w:pPr>
        <w:pStyle w:val="Heading2"/>
      </w:pPr>
      <w:r>
        <w:t>3.1 The Three Baselines &amp; Exact Measured Numbers</w:t>
      </w:r>
    </w:p>
    <w:tbl>
      <w:tblPr>
        <w:tblW w:type="auto" w:w="0"/>
        <w:jc w:val="center"/>
        <w:tblLook w:firstColumn="1" w:firstRow="1" w:lastColumn="0" w:lastRow="0" w:noHBand="0" w:noVBand="1" w:val="04A0"/>
      </w:tblPr>
      <w:tblGrid>
        <w:gridCol w:w="2340"/>
        <w:gridCol w:w="2340"/>
        <w:gridCol w:w="2340"/>
        <w:gridCol w:w="2340"/>
      </w:tblGrid>
      <w:tr>
        <w:tc>
          <w:tcPr>
            <w:tcW w:type="dxa" w:w="2340"/>
            <w:shd w:fill="0F2537"/>
            <w:tcMar>
              <w:top w:w="100" w:type="dxa"/>
              <w:bottom w:w="100" w:type="dxa"/>
              <w:left w:w="120" w:type="dxa"/>
              <w:right w:w="120" w:type="dxa"/>
            </w:tcMar>
          </w:tcPr>
          <w:p>
            <w:r>
              <w:rPr>
                <w:b/>
                <w:color w:val="FFFFFF"/>
                <w:sz w:val="20"/>
              </w:rPr>
              <w:t>Model / Baseline</w:t>
            </w:r>
          </w:p>
        </w:tc>
        <w:tc>
          <w:tcPr>
            <w:tcW w:type="dxa" w:w="2340"/>
            <w:shd w:fill="0F2537"/>
            <w:tcMar>
              <w:top w:w="100" w:type="dxa"/>
              <w:bottom w:w="100" w:type="dxa"/>
              <w:left w:w="120" w:type="dxa"/>
              <w:right w:w="120" w:type="dxa"/>
            </w:tcMar>
          </w:tcPr>
          <w:p>
            <w:r>
              <w:rPr>
                <w:b/>
                <w:color w:val="FFFFFF"/>
                <w:sz w:val="20"/>
              </w:rPr>
              <w:t>Mean Absolute Error (MAE)</w:t>
            </w:r>
          </w:p>
        </w:tc>
        <w:tc>
          <w:tcPr>
            <w:tcW w:type="dxa" w:w="2340"/>
            <w:shd w:fill="0F2537"/>
            <w:tcMar>
              <w:top w:w="100" w:type="dxa"/>
              <w:bottom w:w="100" w:type="dxa"/>
              <w:left w:w="120" w:type="dxa"/>
              <w:right w:w="120" w:type="dxa"/>
            </w:tcMar>
          </w:tcPr>
          <w:p>
            <w:r>
              <w:rPr>
                <w:b/>
                <w:color w:val="FFFFFF"/>
                <w:sz w:val="20"/>
              </w:rPr>
              <w:t>Our Measured Lift</w:t>
            </w:r>
          </w:p>
        </w:tc>
        <w:tc>
          <w:tcPr>
            <w:tcW w:type="dxa" w:w="2340"/>
            <w:shd w:fill="0F2537"/>
            <w:tcMar>
              <w:top w:w="100" w:type="dxa"/>
              <w:bottom w:w="100" w:type="dxa"/>
              <w:left w:w="120" w:type="dxa"/>
              <w:right w:w="120" w:type="dxa"/>
            </w:tcMar>
          </w:tcPr>
          <w:p>
            <w:r>
              <w:rPr>
                <w:b/>
                <w:color w:val="FFFFFF"/>
                <w:sz w:val="20"/>
              </w:rPr>
              <w:t>Evaluation Standard</w:t>
            </w:r>
          </w:p>
        </w:tc>
      </w:tr>
      <w:tr>
        <w:tc>
          <w:tcPr>
            <w:tcW w:type="dxa" w:w="2340"/>
            <w:shd w:fill="F9FAFB"/>
            <w:tcMar>
              <w:top w:w="80" w:type="dxa"/>
              <w:bottom w:w="80" w:type="dxa"/>
              <w:left w:w="100" w:type="dxa"/>
              <w:right w:w="100" w:type="dxa"/>
            </w:tcMar>
          </w:tcPr>
          <w:p>
            <w:r>
              <w:rPr>
                <w:b/>
                <w:sz w:val="19"/>
              </w:rPr>
              <w:t>Naive Train-Mean</w:t>
            </w:r>
          </w:p>
        </w:tc>
        <w:tc>
          <w:tcPr>
            <w:tcW w:type="dxa" w:w="2340"/>
            <w:shd w:fill="F9FAFB"/>
            <w:tcMar>
              <w:top w:w="80" w:type="dxa"/>
              <w:bottom w:w="80" w:type="dxa"/>
              <w:left w:w="100" w:type="dxa"/>
              <w:right w:w="100" w:type="dxa"/>
            </w:tcMar>
          </w:tcPr>
          <w:p>
            <w:r>
              <w:rPr>
                <w:sz w:val="19"/>
              </w:rPr>
              <w:t>22.413 %</w:t>
            </w:r>
          </w:p>
        </w:tc>
        <w:tc>
          <w:tcPr>
            <w:tcW w:type="dxa" w:w="2340"/>
            <w:shd w:fill="F9FAFB"/>
            <w:tcMar>
              <w:top w:w="80" w:type="dxa"/>
              <w:bottom w:w="80" w:type="dxa"/>
              <w:left w:w="100" w:type="dxa"/>
              <w:right w:w="100" w:type="dxa"/>
            </w:tcMar>
          </w:tcPr>
          <w:p>
            <w:r>
              <w:rPr>
                <w:sz w:val="19"/>
              </w:rPr>
              <w:t>27.5% Lift</w:t>
            </w:r>
          </w:p>
        </w:tc>
        <w:tc>
          <w:tcPr>
            <w:tcW w:type="dxa" w:w="2340"/>
            <w:shd w:fill="F9FAFB"/>
            <w:tcMar>
              <w:top w:w="80" w:type="dxa"/>
              <w:bottom w:w="80" w:type="dxa"/>
              <w:left w:w="100" w:type="dxa"/>
              <w:right w:w="100" w:type="dxa"/>
            </w:tcMar>
          </w:tcPr>
          <w:p>
            <w:r>
              <w:rPr>
                <w:sz w:val="19"/>
              </w:rPr>
              <w:t>Historical average of all past projects.</w:t>
            </w:r>
          </w:p>
        </w:tc>
      </w:tr>
      <w:tr>
        <w:tc>
          <w:tcPr>
            <w:tcW w:type="dxa" w:w="2340"/>
            <w:shd w:fill="FFFFFF"/>
            <w:tcMar>
              <w:top w:w="80" w:type="dxa"/>
              <w:bottom w:w="80" w:type="dxa"/>
              <w:left w:w="100" w:type="dxa"/>
              <w:right w:w="100" w:type="dxa"/>
            </w:tcMar>
          </w:tcPr>
          <w:p>
            <w:r>
              <w:rPr>
                <w:b/>
                <w:sz w:val="19"/>
              </w:rPr>
              <w:t>Sector-Mean Baseline</w:t>
            </w:r>
          </w:p>
        </w:tc>
        <w:tc>
          <w:tcPr>
            <w:tcW w:type="dxa" w:w="2340"/>
            <w:shd w:fill="FFFFFF"/>
            <w:tcMar>
              <w:top w:w="80" w:type="dxa"/>
              <w:bottom w:w="80" w:type="dxa"/>
              <w:left w:w="100" w:type="dxa"/>
              <w:right w:w="100" w:type="dxa"/>
            </w:tcMar>
          </w:tcPr>
          <w:p>
            <w:r>
              <w:rPr>
                <w:sz w:val="19"/>
              </w:rPr>
              <w:t>18.495 %</w:t>
            </w:r>
          </w:p>
        </w:tc>
        <w:tc>
          <w:tcPr>
            <w:tcW w:type="dxa" w:w="2340"/>
            <w:shd w:fill="FFFFFF"/>
            <w:tcMar>
              <w:top w:w="80" w:type="dxa"/>
              <w:bottom w:w="80" w:type="dxa"/>
              <w:left w:w="100" w:type="dxa"/>
              <w:right w:w="100" w:type="dxa"/>
            </w:tcMar>
          </w:tcPr>
          <w:p>
            <w:r>
              <w:rPr>
                <w:sz w:val="19"/>
              </w:rPr>
              <w:t>12.2% Lift</w:t>
            </w:r>
          </w:p>
        </w:tc>
        <w:tc>
          <w:tcPr>
            <w:tcW w:type="dxa" w:w="2340"/>
            <w:shd w:fill="FFFFFF"/>
            <w:tcMar>
              <w:top w:w="80" w:type="dxa"/>
              <w:bottom w:w="80" w:type="dxa"/>
              <w:left w:w="100" w:type="dxa"/>
              <w:right w:w="100" w:type="dxa"/>
            </w:tcMar>
          </w:tcPr>
          <w:p>
            <w:r>
              <w:rPr>
                <w:sz w:val="19"/>
              </w:rPr>
              <w:t>What an experienced officer calculates by hand.</w:t>
            </w:r>
          </w:p>
        </w:tc>
      </w:tr>
      <w:tr>
        <w:tc>
          <w:tcPr>
            <w:tcW w:type="dxa" w:w="2340"/>
            <w:shd w:fill="F9FAFB"/>
            <w:tcMar>
              <w:top w:w="80" w:type="dxa"/>
              <w:bottom w:w="80" w:type="dxa"/>
              <w:left w:w="100" w:type="dxa"/>
              <w:right w:w="100" w:type="dxa"/>
            </w:tcMar>
          </w:tcPr>
          <w:p>
            <w:r>
              <w:rPr>
                <w:b/>
                <w:sz w:val="19"/>
              </w:rPr>
              <w:t>Conventional Linear Regression (OLS)</w:t>
            </w:r>
          </w:p>
        </w:tc>
        <w:tc>
          <w:tcPr>
            <w:tcW w:type="dxa" w:w="2340"/>
            <w:shd w:fill="F9FAFB"/>
            <w:tcMar>
              <w:top w:w="80" w:type="dxa"/>
              <w:bottom w:w="80" w:type="dxa"/>
              <w:left w:w="100" w:type="dxa"/>
              <w:right w:w="100" w:type="dxa"/>
            </w:tcMar>
          </w:tcPr>
          <w:p>
            <w:r>
              <w:rPr>
                <w:sz w:val="19"/>
              </w:rPr>
              <w:t>17.150 %</w:t>
            </w:r>
          </w:p>
        </w:tc>
        <w:tc>
          <w:tcPr>
            <w:tcW w:type="dxa" w:w="2340"/>
            <w:shd w:fill="F9FAFB"/>
            <w:tcMar>
              <w:top w:w="80" w:type="dxa"/>
              <w:bottom w:w="80" w:type="dxa"/>
              <w:left w:w="100" w:type="dxa"/>
              <w:right w:w="100" w:type="dxa"/>
            </w:tcMar>
          </w:tcPr>
          <w:p>
            <w:r>
              <w:rPr>
                <w:sz w:val="19"/>
              </w:rPr>
              <w:t>5.3% Lift</w:t>
            </w:r>
          </w:p>
        </w:tc>
        <w:tc>
          <w:tcPr>
            <w:tcW w:type="dxa" w:w="2340"/>
            <w:shd w:fill="F9FAFB"/>
            <w:tcMar>
              <w:top w:w="80" w:type="dxa"/>
              <w:bottom w:w="80" w:type="dxa"/>
              <w:left w:w="100" w:type="dxa"/>
              <w:right w:w="100" w:type="dxa"/>
            </w:tcMar>
          </w:tcPr>
          <w:p>
            <w:r>
              <w:rPr>
                <w:sz w:val="19"/>
              </w:rPr>
              <w:t>Standard multi-variable linear regression.</w:t>
            </w:r>
          </w:p>
        </w:tc>
      </w:tr>
      <w:tr>
        <w:tc>
          <w:tcPr>
            <w:tcW w:type="dxa" w:w="2340"/>
            <w:shd w:fill="FFFFFF"/>
            <w:tcMar>
              <w:top w:w="80" w:type="dxa"/>
              <w:bottom w:w="80" w:type="dxa"/>
              <w:left w:w="100" w:type="dxa"/>
              <w:right w:w="100" w:type="dxa"/>
            </w:tcMar>
          </w:tcPr>
          <w:p>
            <w:r>
              <w:rPr>
                <w:b/>
                <w:sz w:val="19"/>
              </w:rPr>
              <w:t>Gradient Boosted Trees (Deployed ML)</w:t>
            </w:r>
          </w:p>
        </w:tc>
        <w:tc>
          <w:tcPr>
            <w:tcW w:type="dxa" w:w="2340"/>
            <w:shd w:fill="FFFFFF"/>
            <w:tcMar>
              <w:top w:w="80" w:type="dxa"/>
              <w:bottom w:w="80" w:type="dxa"/>
              <w:left w:w="100" w:type="dxa"/>
              <w:right w:w="100" w:type="dxa"/>
            </w:tcMar>
          </w:tcPr>
          <w:p>
            <w:r>
              <w:rPr>
                <w:sz w:val="19"/>
              </w:rPr>
              <w:t>16.240 %</w:t>
            </w:r>
          </w:p>
        </w:tc>
        <w:tc>
          <w:tcPr>
            <w:tcW w:type="dxa" w:w="2340"/>
            <w:shd w:fill="FFFFFF"/>
            <w:tcMar>
              <w:top w:w="80" w:type="dxa"/>
              <w:bottom w:w="80" w:type="dxa"/>
              <w:left w:w="100" w:type="dxa"/>
              <w:right w:w="100" w:type="dxa"/>
            </w:tcMar>
          </w:tcPr>
          <w:p>
            <w:r>
              <w:rPr>
                <w:sz w:val="19"/>
              </w:rPr>
              <w:t>DEPLOYED</w:t>
            </w:r>
          </w:p>
        </w:tc>
        <w:tc>
          <w:tcPr>
            <w:tcW w:type="dxa" w:w="2340"/>
            <w:shd w:fill="FFFFFF"/>
            <w:tcMar>
              <w:top w:w="80" w:type="dxa"/>
              <w:bottom w:w="80" w:type="dxa"/>
              <w:left w:w="100" w:type="dxa"/>
              <w:right w:w="100" w:type="dxa"/>
            </w:tcMar>
          </w:tcPr>
          <w:p>
            <w:r>
              <w:rPr>
                <w:sz w:val="19"/>
              </w:rPr>
              <w:t>Chronological train/test split, 5-year maturity gate.</w:t>
            </w:r>
          </w:p>
        </w:tc>
      </w:tr>
    </w:tbl>
    <w:p>
      <w:pPr>
        <w:spacing w:before="80"/>
      </w:pPr>
    </w:p>
    <w:p>
      <w:pPr>
        <w:pStyle w:val="Heading2"/>
      </w:pPr>
      <w:r>
        <w:t>3.2 The Honest R² Defense &amp; External Feature Ablation</w:t>
      </w:r>
    </w:p>
    <w:p>
      <w:r>
        <w:rPr>
          <w:b/>
        </w:rPr>
        <w:t>1. Why is R² = -0.044, and why does that prove scientific integrity?</w:t>
        <w:br/>
      </w:r>
      <w:r>
        <w:t xml:space="preserve">    R² measures variance explained relative to the TEST mean—a figure that nobody possesses at prediction time. Under temporal distribution shift (the training cohort had mean overrun of +19.6%, while the test cohort had +5.9%), a negative R² alongside a 12.2% MAE lift means the model significantly outperforms what an officer could do unaided, while remaining scientifically honest about temporal shifts.</w:t>
        <w:br/>
        <w:br/>
      </w:r>
      <w:r>
        <w:rPr>
          <w:b/>
        </w:rPr>
        <w:t>2. The External Features Ablation Experiment:</w:t>
        <w:br/>
      </w:r>
      <w:r>
        <w:t xml:space="preserve">    We tested whether adding external macro variables (WPI commodities, IMD monsoon anomalies, PSU stock drawdowns) directly improved cost overrun prediction accuracy. The result: MAE worsened from 16.24 to 17.90 (-10.2%). We publish this finding openly: external variables provide vital evidence, context, and early warnings, but pure cost overruns are primarily driven by statutory delay duration, contract scope revisions, and agency execution records.</w:t>
      </w:r>
      <w:r>
        <w:rPr>
          <w:b/>
        </w:rPr>
        <w:t>3. Why Schedule Slippage (slip_months) is NOT Served by ML:</w:t>
        <w:br/>
      </w:r>
      <w:r>
        <w:t xml:space="preserve">    Chronologically, ML regressors on slip_months lost to simple baselines by 53% to 191%. Rather than shipping a flawed model, we refused it, and handle schedule risk strictly through Kaal-Chakra's conformal survival intervals.</w:t>
      </w:r>
    </w:p>
    <w:p>
      <w:pPr>
        <w:pStyle w:val="Heading1"/>
      </w:pPr>
      <w:r>
        <w:t>Winning Jury &amp; Evaluator Combat Guide (Q&amp;A)</w:t>
      </w:r>
    </w:p>
    <w:p>
      <w:pPr>
        <w:spacing w:before="120" w:after="40"/>
      </w:pPr>
      <w:r>
        <w:rPr>
          <w:b/>
          <w:color w:val="0F2537"/>
          <w:sz w:val="22"/>
        </w:rPr>
        <w:t>❓ Why not just use GPT-4 or Claude to generate executive dossiers?</w:t>
      </w:r>
    </w:p>
    <w:p>
      <w:pPr>
        <w:spacing w:before="0" w:after="120"/>
      </w:pPr>
      <w:r>
        <w:rPr>
          <w:color w:val="1F2937"/>
          <w:sz w:val="20"/>
        </w:rPr>
        <w:t>💬 Because Large Language Models are probabilistic text generators that suffer from numerical hallucinations. In government public finance, hallucinating a cost figure by even ₹500 Crore can mislead Cabinet decisions. In Pragati-Saarthi, every single calculation is performed deterministically in Python, and the LLM is restricted to narrative formatting anchored by RFC 6962 SHA-256 Merkle proofs.</w:t>
      </w:r>
    </w:p>
    <w:p>
      <w:pPr>
        <w:spacing w:before="120" w:after="40"/>
      </w:pPr>
      <w:r>
        <w:rPr>
          <w:b/>
          <w:color w:val="0F2537"/>
          <w:sz w:val="22"/>
        </w:rPr>
        <w:t>❓ What is your model's true accuracy, and what baseline did you beat?</w:t>
      </w:r>
    </w:p>
    <w:p>
      <w:pPr>
        <w:spacing w:before="0" w:after="120"/>
      </w:pPr>
      <w:r>
        <w:rPr>
          <w:color w:val="1F2937"/>
          <w:sz w:val="20"/>
        </w:rPr>
        <w:t>💬 On a held-out chronological test set of 265 projects with a 5-year maturity gate, our deployed Gradient Boosted Trees achieve an MAE of 16.24%. This is a 12.2% lift over the sector-mean baseline (18.49% MAE)—which is the calculation an experienced ministry officer could do by hand—and a 27.5% lift over naive mean guessing.</w:t>
      </w:r>
    </w:p>
    <w:p>
      <w:pPr>
        <w:spacing w:before="120" w:after="40"/>
      </w:pPr>
      <w:r>
        <w:rPr>
          <w:b/>
          <w:color w:val="0F2537"/>
          <w:sz w:val="22"/>
        </w:rPr>
        <w:t>❓ Why is your model's R² negative (-0.044)?</w:t>
      </w:r>
    </w:p>
    <w:p>
      <w:pPr>
        <w:spacing w:before="0" w:after="120"/>
      </w:pPr>
      <w:r>
        <w:rPr>
          <w:color w:val="1F2937"/>
          <w:sz w:val="20"/>
        </w:rPr>
        <w:t>💬 That reflects temporal distribution shift: projects in earlier years had higher cost overruns (+19.6%) than recent cohorts (+5.9%). R² is calculated against the unseen future test mean. A negative R² combined with a 12.2% positive MAE lift proves our model beats human heuristics under real-world time shifts. We publish this openly in our CLAIMS ledger rather than hiding it behind synthetic data.</w:t>
      </w:r>
    </w:p>
    <w:p>
      <w:pPr>
        <w:spacing w:before="120" w:after="40"/>
      </w:pPr>
      <w:r>
        <w:rPr>
          <w:b/>
          <w:color w:val="0F2537"/>
          <w:sz w:val="22"/>
        </w:rPr>
        <w:t>❓ What is an RFC 6962 Merkle tree?</w:t>
      </w:r>
    </w:p>
    <w:p>
      <w:pPr>
        <w:spacing w:before="0" w:after="120"/>
      </w:pPr>
      <w:r>
        <w:rPr>
          <w:color w:val="1F2937"/>
          <w:sz w:val="20"/>
        </w:rPr>
        <w:t>💬 RFC 6962 is the international IETF standard for cryptographic transparency logs, used globally in Certificate Transparency. It enforces domain separation between leaf nodes (prefixed with 0x00) and internal nodes (prefixed with 0x01), eliminating duplicate-node collision vulnerabilities and ensuring write-once immutability.</w:t>
      </w:r>
    </w:p>
    <w:p>
      <w:pPr>
        <w:spacing w:before="120" w:after="40"/>
      </w:pPr>
      <w:r>
        <w:rPr>
          <w:b/>
          <w:color w:val="0F2537"/>
          <w:sz w:val="22"/>
        </w:rPr>
        <w:t>❓ Did non-CUF variables (weather, WPI, PSU stocks) help the machine learning model?</w:t>
      </w:r>
    </w:p>
    <w:p>
      <w:pPr>
        <w:spacing w:before="0" w:after="120"/>
      </w:pPr>
      <w:r>
        <w:rPr>
          <w:color w:val="1F2937"/>
          <w:sz w:val="20"/>
        </w:rPr>
        <w:t>💬 We ran a formal ablation study and found they actually increased cost MAE by 10.2% due to overfitting on macro noise. We openly publish this result. Non-CUF variables are invaluable in our console as forensic evidence (Satya-Kavach) and early-warning indicators (Artha-Nivaran), but they are not used for pure cost regression.</w:t>
      </w:r>
    </w:p>
    <w:p>
      <w:pPr>
        <w:spacing w:before="120" w:after="40"/>
      </w:pPr>
      <w:r>
        <w:rPr>
          <w:b/>
          <w:color w:val="0F2537"/>
          <w:sz w:val="22"/>
        </w:rPr>
        <w:t>❓ How does Pragati-Saarthi support Hindi language requirements?</w:t>
      </w:r>
    </w:p>
    <w:p>
      <w:pPr>
        <w:spacing w:before="0" w:after="120"/>
      </w:pPr>
      <w:r>
        <w:rPr>
          <w:color w:val="1F2937"/>
          <w:sz w:val="20"/>
        </w:rPr>
        <w:t>💬 It generates bilingual briefs conforming to the Commission for Scientific and Technical Terminology (CSTT) standards under the Department of Higher Education, ensuring authentic institutional governance vocabulary.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5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