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2537"/>
          <w:sz w:val="52"/>
        </w:rPr>
        <w:t>PRAKALP-DRISHTI</w:t>
      </w:r>
    </w:p>
    <w:p>
      <w:pPr>
        <w:spacing w:before="0" w:after="80"/>
      </w:pPr>
      <w:r>
        <w:rPr>
          <w:b/>
          <w:color w:val="0284C7"/>
          <w:sz w:val="30"/>
        </w:rPr>
        <w:t>ADITYA'S MASTER DEFENSE GUIDE: Artha-Nivaran (Contractor 360) &amp; Nagrik Public Portal</w:t>
      </w:r>
    </w:p>
    <w:p>
      <w:pPr>
        <w:spacing w:before="0" w:after="240"/>
      </w:pPr>
      <w:r>
        <w:rPr>
          <w:color w:val="4B5563"/>
          <w:sz w:val="19"/>
        </w:rPr>
        <w:t>Team Member: Aditya | Assigned Modules: Artha-Nivaran (Pillar 3) · Nagrik Citizen Portal (/nagrik)</w:t>
        <w:br/>
        <w:t>Ministry of Statistics &amp; Programme Implementation (MoSPI) | Smart India Hackathon 2026 (SIH26103)</w:t>
        <w:br/>
        <w:t>Target: Complete Module Mastery, Mathematics, Data Provenance &amp; Winning Jury Defense</w:t>
      </w:r>
    </w:p>
    <w:p>
      <w:pPr>
        <w:spacing w:after="240"/>
        <w:pBdr>
          <w:bottom w:val="single" w:sz="12" w:space="1" w:color="0284C7"/>
        </w:pBdr>
      </w:pPr>
    </w:p>
    <w:p>
      <w:pPr>
        <w:pStyle w:val="Heading1"/>
      </w:pPr>
      <w:r>
        <w:t>1. Executive Mission &amp; What Your Modules Accomplish</w:t>
      </w:r>
    </w:p>
    <w:p>
      <w:r>
        <w:t>Aditya, you own the two critical bridges of PRAKALP-DRISHTI: 1. ARTHA-NIVARAN: The financial and legal forensic radar that investigates the contractor's private health before public money is sunk into stalling projects.</w:t>
        <w:br/>
        <w:t>2. NAGRIK PORTAL: The sovereign public transparency portal that takes 2,207 complex mega-projects and makes them legible, searchable, and accessible to Indian citizens under RTI Section 4(1)(b).</w:t>
        <w:br/>
        <w:br/>
        <w:t>Your presentation narrative is powerful: 'MoSPI monitors project timelines, but misses contractor liquidity. Artha-Nivaran predicts contractor distress 6 to 9 months before physical work stops. Meanwhile, our Nagrik Portal brings radical public transparency so every citizen can track where ₹47.44 Lakh Crore of national wealth is being invested.'</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top w:val="none"/>
              <w:left w:val="single" w:sz="24" w:space="0" w:color="0284C7"/>
              <w:bottom w:val="none"/>
              <w:right w:val="none"/>
            </w:tcBorders>
          </w:tcPr>
          <w:p>
            <w:pPr>
              <w:spacing w:before="0" w:after="60"/>
            </w:pPr>
            <w:r>
              <w:rPr>
                <w:b/>
                <w:color w:val="184C78"/>
                <w:sz w:val="21"/>
              </w:rPr>
              <w:t>📌 ADITYA'S 30-SECOND ELEVATOR PITCH</w:t>
              <w:br/>
            </w:r>
            <w:r>
              <w:rPr>
                <w:color w:val="1F2937"/>
                <w:sz w:val="20"/>
              </w:rPr>
              <w:t>CORE DEFENSE HOOK: 'CUF forms record project data, but completely ignore contractor balance sheets. If an executing PSU has a Debt-to-Equity ratio above 200%, they run out of working capital, stop paying subcontractors, and physical progress grinds to a halt. We proved empirically that high-debt PSUs suffer 80%–145% cost overruns vs 25% for low-debt PSUs!'</w:t>
            </w:r>
          </w:p>
        </w:tc>
      </w:tr>
    </w:tbl>
    <w:p>
      <w:pPr>
        <w:spacing w:before="0" w:after="80"/>
      </w:pPr>
    </w:p>
    <w:p>
      <w:pPr>
        <w:pStyle w:val="Heading1"/>
      </w:pPr>
      <w:r>
        <w:t>2. Deep-Dive: ARTHA-NIVARAN (Contractor 360 &amp; Solvency Radar)</w:t>
      </w:r>
    </w:p>
    <w:p>
      <w:r>
        <w:t>ARTHA-NIVARAN directly answers SIH Problem Statement Dimension (c): 'Can non-CUF macroeconomic and financial variables enhance prediction?'</w:t>
        <w:br/>
        <w:t>The engine operates on two sub-panels:</w:t>
        <w:br/>
        <w:t>• Sub-Tab 1: Solvency Matrix (PSU Financial Leverage &amp; Stock Drawdowns)</w:t>
        <w:br/>
        <w:t>• Sub-Tab 2: NIVARAN Legal Radar (CPWD GCC Dispute NLP &amp; Arbitration Stay Orders)</w:t>
      </w:r>
    </w:p>
    <w:p>
      <w:pPr>
        <w:pStyle w:val="Heading2"/>
      </w:pPr>
      <w:r>
        <w:t>2.1 Data Sources &amp; Provenance</w:t>
      </w:r>
    </w:p>
    <w:tbl>
      <w:tblPr>
        <w:tblW w:type="auto" w:w="0"/>
        <w:jc w:val="center"/>
        <w:tblLook w:firstColumn="1" w:firstRow="1" w:lastColumn="0" w:lastRow="0" w:noHBand="0" w:noVBand="1" w:val="04A0"/>
      </w:tblPr>
      <w:tblGrid>
        <w:gridCol w:w="3120"/>
        <w:gridCol w:w="3120"/>
        <w:gridCol w:w="3120"/>
      </w:tblGrid>
      <w:tr>
        <w:tc>
          <w:tcPr>
            <w:tcW w:type="dxa" w:w="3120"/>
            <w:shd w:fill="0F2537"/>
            <w:tcMar>
              <w:top w:w="100" w:type="dxa"/>
              <w:bottom w:w="100" w:type="dxa"/>
              <w:left w:w="120" w:type="dxa"/>
              <w:right w:w="120" w:type="dxa"/>
            </w:tcMar>
          </w:tcPr>
          <w:p>
            <w:r>
              <w:rPr>
                <w:b/>
                <w:color w:val="FFFFFF"/>
                <w:sz w:val="20"/>
              </w:rPr>
              <w:t>Data Layer</w:t>
            </w:r>
          </w:p>
        </w:tc>
        <w:tc>
          <w:tcPr>
            <w:tcW w:type="dxa" w:w="3120"/>
            <w:shd w:fill="0F2537"/>
            <w:tcMar>
              <w:top w:w="100" w:type="dxa"/>
              <w:bottom w:w="100" w:type="dxa"/>
              <w:left w:w="120" w:type="dxa"/>
              <w:right w:w="120" w:type="dxa"/>
            </w:tcMar>
          </w:tcPr>
          <w:p>
            <w:r>
              <w:rPr>
                <w:b/>
                <w:color w:val="FFFFFF"/>
                <w:sz w:val="20"/>
              </w:rPr>
              <w:t>Online Provenance</w:t>
            </w:r>
          </w:p>
        </w:tc>
        <w:tc>
          <w:tcPr>
            <w:tcW w:type="dxa" w:w="3120"/>
            <w:shd w:fill="0F2537"/>
            <w:tcMar>
              <w:top w:w="100" w:type="dxa"/>
              <w:bottom w:w="100" w:type="dxa"/>
              <w:left w:w="120" w:type="dxa"/>
              <w:right w:w="120" w:type="dxa"/>
            </w:tcMar>
          </w:tcPr>
          <w:p>
            <w:r>
              <w:rPr>
                <w:b/>
                <w:color w:val="FFFFFF"/>
                <w:sz w:val="20"/>
              </w:rPr>
              <w:t>Specific Metrics Ingested</w:t>
            </w:r>
          </w:p>
        </w:tc>
      </w:tr>
      <w:tr>
        <w:tc>
          <w:tcPr>
            <w:tcW w:type="dxa" w:w="3120"/>
            <w:shd w:fill="F9FAFB"/>
            <w:tcMar>
              <w:top w:w="80" w:type="dxa"/>
              <w:bottom w:w="80" w:type="dxa"/>
              <w:left w:w="100" w:type="dxa"/>
              <w:right w:w="100" w:type="dxa"/>
            </w:tcMar>
          </w:tcPr>
          <w:p>
            <w:r>
              <w:rPr>
                <w:b/>
                <w:sz w:val="19"/>
              </w:rPr>
              <w:t>NSE / BSE Corporate Filings</w:t>
            </w:r>
          </w:p>
        </w:tc>
        <w:tc>
          <w:tcPr>
            <w:tcW w:type="dxa" w:w="3120"/>
            <w:shd w:fill="F9FAFB"/>
            <w:tcMar>
              <w:top w:w="80" w:type="dxa"/>
              <w:bottom w:w="80" w:type="dxa"/>
              <w:left w:w="100" w:type="dxa"/>
              <w:right w:w="100" w:type="dxa"/>
            </w:tcMar>
          </w:tcPr>
          <w:p>
            <w:r>
              <w:rPr>
                <w:sz w:val="19"/>
              </w:rPr>
              <w:t>Quarterly Audited Financials for listed executing PSUs</w:t>
            </w:r>
          </w:p>
        </w:tc>
        <w:tc>
          <w:tcPr>
            <w:tcW w:type="dxa" w:w="3120"/>
            <w:shd w:fill="F9FAFB"/>
            <w:tcMar>
              <w:top w:w="80" w:type="dxa"/>
              <w:bottom w:w="80" w:type="dxa"/>
              <w:left w:w="100" w:type="dxa"/>
              <w:right w:w="100" w:type="dxa"/>
            </w:tcMar>
          </w:tcPr>
          <w:p>
            <w:r>
              <w:rPr>
                <w:sz w:val="19"/>
              </w:rPr>
              <w:t>Debt-to-Equity (D/E), Altman Z-Score, Working Capital trends, Interest Coverage.</w:t>
            </w:r>
          </w:p>
        </w:tc>
      </w:tr>
      <w:tr>
        <w:tc>
          <w:tcPr>
            <w:tcW w:type="dxa" w:w="3120"/>
            <w:shd w:fill="FFFFFF"/>
            <w:tcMar>
              <w:top w:w="80" w:type="dxa"/>
              <w:bottom w:w="80" w:type="dxa"/>
              <w:left w:w="100" w:type="dxa"/>
              <w:right w:w="100" w:type="dxa"/>
            </w:tcMar>
          </w:tcPr>
          <w:p>
            <w:r>
              <w:rPr>
                <w:b/>
                <w:sz w:val="19"/>
              </w:rPr>
              <w:t>Equity Market Series</w:t>
            </w:r>
          </w:p>
        </w:tc>
        <w:tc>
          <w:tcPr>
            <w:tcW w:type="dxa" w:w="3120"/>
            <w:shd w:fill="FFFFFF"/>
            <w:tcMar>
              <w:top w:w="80" w:type="dxa"/>
              <w:bottom w:w="80" w:type="dxa"/>
              <w:left w:w="100" w:type="dxa"/>
              <w:right w:w="100" w:type="dxa"/>
            </w:tcMar>
          </w:tcPr>
          <w:p>
            <w:r>
              <w:rPr>
                <w:sz w:val="19"/>
              </w:rPr>
              <w:t>National Stock Exchange (NSE) Historical Drawdowns</w:t>
            </w:r>
          </w:p>
        </w:tc>
        <w:tc>
          <w:tcPr>
            <w:tcW w:type="dxa" w:w="3120"/>
            <w:shd w:fill="FFFFFF"/>
            <w:tcMar>
              <w:top w:w="80" w:type="dxa"/>
              <w:bottom w:w="80" w:type="dxa"/>
              <w:left w:w="100" w:type="dxa"/>
              <w:right w:w="100" w:type="dxa"/>
            </w:tcMar>
          </w:tcPr>
          <w:p>
            <w:r>
              <w:rPr>
                <w:sz w:val="19"/>
              </w:rPr>
              <w:t>3-month and 6-month equity drawdowns acting as leading distress indicators.</w:t>
            </w:r>
          </w:p>
        </w:tc>
      </w:tr>
      <w:tr>
        <w:tc>
          <w:tcPr>
            <w:tcW w:type="dxa" w:w="3120"/>
            <w:shd w:fill="F9FAFB"/>
            <w:tcMar>
              <w:top w:w="80" w:type="dxa"/>
              <w:bottom w:w="80" w:type="dxa"/>
              <w:left w:w="100" w:type="dxa"/>
              <w:right w:w="100" w:type="dxa"/>
            </w:tcMar>
          </w:tcPr>
          <w:p>
            <w:r>
              <w:rPr>
                <w:b/>
                <w:sz w:val="19"/>
              </w:rPr>
              <w:t>PAIMANA 2,207 Database</w:t>
            </w:r>
          </w:p>
        </w:tc>
        <w:tc>
          <w:tcPr>
            <w:tcW w:type="dxa" w:w="3120"/>
            <w:shd w:fill="F9FAFB"/>
            <w:tcMar>
              <w:top w:w="80" w:type="dxa"/>
              <w:bottom w:w="80" w:type="dxa"/>
              <w:left w:w="100" w:type="dxa"/>
              <w:right w:w="100" w:type="dxa"/>
            </w:tcMar>
          </w:tcPr>
          <w:p>
            <w:r>
              <w:rPr>
                <w:sz w:val="19"/>
              </w:rPr>
              <w:t>MoSPI Official Master Catalog</w:t>
            </w:r>
          </w:p>
        </w:tc>
        <w:tc>
          <w:tcPr>
            <w:tcW w:type="dxa" w:w="3120"/>
            <w:shd w:fill="F9FAFB"/>
            <w:tcMar>
              <w:top w:w="80" w:type="dxa"/>
              <w:bottom w:w="80" w:type="dxa"/>
              <w:left w:w="100" w:type="dxa"/>
              <w:right w:w="100" w:type="dxa"/>
            </w:tcMar>
          </w:tcPr>
          <w:p>
            <w:r>
              <w:rPr>
                <w:sz w:val="19"/>
              </w:rPr>
              <w:t>Projects cross-referenced against canonical PSU entities (RVNL, IRCON, NTPC, NHPC, SJVN, Coal India).</w:t>
            </w:r>
          </w:p>
        </w:tc>
      </w:tr>
      <w:tr>
        <w:tc>
          <w:tcPr>
            <w:tcW w:type="dxa" w:w="3120"/>
            <w:shd w:fill="FFFFFF"/>
            <w:tcMar>
              <w:top w:w="80" w:type="dxa"/>
              <w:bottom w:w="80" w:type="dxa"/>
              <w:left w:w="100" w:type="dxa"/>
              <w:right w:w="100" w:type="dxa"/>
            </w:tcMar>
          </w:tcPr>
          <w:p>
            <w:r>
              <w:rPr>
                <w:b/>
                <w:sz w:val="19"/>
              </w:rPr>
              <w:t>CPWD GCC &amp; Legal Orders</w:t>
            </w:r>
          </w:p>
        </w:tc>
        <w:tc>
          <w:tcPr>
            <w:tcW w:type="dxa" w:w="3120"/>
            <w:shd w:fill="FFFFFF"/>
            <w:tcMar>
              <w:top w:w="80" w:type="dxa"/>
              <w:bottom w:w="80" w:type="dxa"/>
              <w:left w:w="100" w:type="dxa"/>
              <w:right w:w="100" w:type="dxa"/>
            </w:tcMar>
          </w:tcPr>
          <w:p>
            <w:r>
              <w:rPr>
                <w:sz w:val="19"/>
              </w:rPr>
              <w:t>MoHUA CPWD Manual &amp; Tribunal Disclosures</w:t>
            </w:r>
          </w:p>
        </w:tc>
        <w:tc>
          <w:tcPr>
            <w:tcW w:type="dxa" w:w="3120"/>
            <w:shd w:fill="FFFFFF"/>
            <w:tcMar>
              <w:top w:w="80" w:type="dxa"/>
              <w:bottom w:w="80" w:type="dxa"/>
              <w:left w:w="100" w:type="dxa"/>
              <w:right w:w="100" w:type="dxa"/>
            </w:tcMar>
          </w:tcPr>
          <w:p>
            <w:r>
              <w:rPr>
                <w:sz w:val="19"/>
              </w:rPr>
              <w:t>Clause 25 Arbitration dispute frequency, interim stay orders, and liquidated damages claims.</w:t>
            </w:r>
          </w:p>
        </w:tc>
      </w:tr>
    </w:tbl>
    <w:p>
      <w:pPr>
        <w:spacing w:before="80"/>
      </w:pPr>
    </w:p>
    <w:p>
      <w:pPr>
        <w:pStyle w:val="Heading2"/>
      </w:pPr>
      <w:r>
        <w:t>2.2 Mathematics &amp; Empirical Proofs</w:t>
      </w:r>
    </w:p>
    <w:p>
      <w:r>
        <w:rPr>
          <w:b/>
        </w:rPr>
        <w:t>1. Debt-to-Equity Leverage Ratio (D/E):</w:t>
        <w:br/>
      </w:r>
      <w:r>
        <w:t xml:space="preserve">    D/E = Total Debt / Shareholder Equity</w:t>
        <w:br/>
      </w:r>
      <w:r>
        <w:t xml:space="preserve">    Empirical Finding: PSUs with D/E &gt; 200% (e.g., SJVN at 227%, NHPC at 113%) suffer massive 80%–145% cost overruns. In contrast, cash-rich, low-debt PSUs (Coal India at D/E 12%) suffer only ~25% overruns.</w:t>
        <w:br/>
        <w:br/>
      </w:r>
      <w:r>
        <w:rPr>
          <w:b/>
        </w:rPr>
        <w:t>2. Altman Z-Score for Emerging Markets &amp; Infrastructure:</w:t>
        <w:br/>
      </w:r>
      <w:r>
        <w:t xml:space="preserve">    Z = 1.2(X₁) + 1.4(X₂) + 3.3(X₃) + 0.6(X₄) + 0.999(X₅)</w:t>
        <w:br/>
        <w:t xml:space="preserve">    Where X₁ = Working Capital/Total Assets, X₂ = Retained Earnings/Total Assets, X₃ = EBIT/Total Assets, X₄ = Market Equity/Total Liabilities, X₅ = Sales/Total Assets.</w:t>
        <w:br/>
        <w:t xml:space="preserve">    Thresholds: Z &lt; 1.8 = Distress Zone (Immediate risk of site abandonment); 1.8–2.99 = Grey Zone; Z ≥ 3.0 = Safe Zone.</w:t>
        <w:br/>
        <w:br/>
      </w:r>
      <w:r>
        <w:rPr>
          <w:b/>
        </w:rPr>
        <w:t>3. The 6-to-9 Month Leading Indicator:</w:t>
        <w:br/>
      </w:r>
      <w:r>
        <w:t xml:space="preserve">    When an agency experiences a working capital crunch or stock collapse, subcontractors leave the site months before the contractor officially files a 'Revised Date' on MoSPI PAIMANA. Artha-Nivaran gives the Cabinet a 6-to-9 month early warning.</w:t>
      </w:r>
    </w:p>
    <w:p>
      <w:pPr>
        <w:pStyle w:val="Heading2"/>
      </w:pPr>
      <w:r>
        <w:t>2.3 NIVARAN Legal &amp; Dispute Radar</w:t>
      </w:r>
    </w:p>
    <w:p>
      <w:r>
        <w:t>NIVARAN scans dispute escalation clauses in Central Public Works Department (CPWD) General Conditions of Contract (GCC):</w:t>
        <w:br/>
        <w:t>• Clause 25 (Settlement of Disputes &amp; Arbitration): Detects claims filed before Dispute Resolution Boards (DRB).</w:t>
        <w:br/>
        <w:t>• High Court &amp; NGT Stay Orders: NLP text extraction of environmental or land-title litigation that paralyzes ground machinery.</w:t>
        <w:br/>
        <w:t>• Liquidated Damages (LD) Exposure: Calculates whether delays exceed statutory caps (typically 10% of contract value), triggering contractor bankruptcy.</w:t>
      </w:r>
    </w:p>
    <w:p>
      <w:pPr>
        <w:pStyle w:val="Heading1"/>
      </w:pPr>
      <w:r>
        <w:t>3. Deep-Dive: NAGRIK PORTAL (/nagrik — Public Transparency)</w:t>
      </w:r>
    </w:p>
    <w:p>
      <w:r>
        <w:t>The Nagrik Portal is built to satisfy Section 4(1)(b) of India's Right to Information (RTI) Act, 2005. It provides proactive public disclosure so citizens and journalists don't need to file individual RTIs to inspect mega-projects.</w:t>
      </w:r>
    </w:p>
    <w:p>
      <w:pPr>
        <w:pStyle w:val="Heading2"/>
      </w:pPr>
      <w:r>
        <w:t>3.1 Key Features &amp; Architecture</w:t>
      </w:r>
    </w:p>
    <w:p>
      <w:r>
        <w:t>1. Geospatial Pan-India Heatmap &amp; Interactive Map:</w:t>
        <w:br/>
        <w:t xml:space="preserve">   • Built using Leaflet with scrollWheelZoom={false} to avoid scroll-hijacking.</w:t>
        <w:br/>
        <w:t xml:space="preserve">   • Shape-differentiated markers: ● On track · ▲ Needs monitoring · ■ Delayed (accessible to colorblind citizens).</w:t>
        <w:br/>
        <w:t xml:space="preserve">   • 8,00,000m uncertainty circles for approximate national centroids (never fakes precise GPS coordinates!).</w:t>
        <w:br/>
        <w:br/>
        <w:t>2. Fixed Status Taxonomy (Eliminated 133 False Critical Alarms):</w:t>
        <w:br/>
        <w:t xml:space="preserve">   • Previously, 67.4% of all projects sat in one vague 'UNDER MONITORING' bucket, and projects at 100% completion were called 'CRITICAL DELAY'.</w:t>
        <w:br/>
        <w:t xml:space="preserve">   • New Taxonomy cleanly separates completion from schedule:</w:t>
        <w:br/>
        <w:t xml:space="preserve">     - COMPLETED (ON TIME)</w:t>
        <w:br/>
        <w:t xml:space="preserve">     - COMPLETED — n MONTHS LATE</w:t>
        <w:br/>
        <w:t xml:space="preserve">     - ON TRACK (Active &amp; on schedule)</w:t>
        <w:br/>
        <w:t xml:space="preserve">     - AT RISK (Slippage &lt; 12 months)</w:t>
        <w:br/>
        <w:t xml:space="preserve">     - CRITICAL — ACTIVE (Active civil work facing &gt;24 months delay)</w:t>
        <w:br/>
        <w:br/>
        <w:t>3. High-Performance Master Register Table:</w:t>
        <w:br/>
        <w:t xml:space="preserve">   • Live search across 2,207 projects by Project Name, ID, State, Sector, or Ministry.</w:t>
        <w:br/>
        <w:t xml:space="preserve">   • Sticky table header with instant sorting by Cost, Delay, and Progress.</w:t>
        <w:br/>
        <w:t xml:space="preserve">   • Page size controls (25, 50, 100, 250, All) and instantaneous CSV export filtered to current view.</w:t>
        <w:br/>
        <w:br/>
        <w:t>4. GIGW 3.0 &amp; Accessibility Standards:</w:t>
        <w:br/>
        <w:t xml:space="preserve">   • Top Accessibility Bar supporting font enlargement (+100%, +150%, +200%) and High-Contrast mode.</w:t>
        <w:br/>
        <w:t xml:space="preserve">   • Zero horizontal page overflow at 375px mobile and 1366px desktop.</w:t>
        <w:br/>
        <w:t xml:space="preserve">   • Live data attribution: 'Data sourced from official MoSPI Central Sector Flash Reports with Merkle-signed provenance.'</w:t>
      </w:r>
    </w:p>
    <w:p>
      <w:pPr>
        <w:pStyle w:val="Heading1"/>
      </w:pPr>
      <w:r>
        <w:t>Winning Jury &amp; Evaluator Combat Guide (Q&amp;A)</w:t>
      </w:r>
    </w:p>
    <w:p>
      <w:pPr>
        <w:spacing w:before="120" w:after="40"/>
      </w:pPr>
      <w:r>
        <w:rPr>
          <w:b/>
          <w:color w:val="0F2537"/>
          <w:sz w:val="22"/>
        </w:rPr>
        <w:t>❓ Why did you include PSU corporate stock and balance sheet data in a government project portal?</w:t>
      </w:r>
    </w:p>
    <w:p>
      <w:pPr>
        <w:spacing w:before="0" w:after="120"/>
      </w:pPr>
      <w:r>
        <w:rPr>
          <w:color w:val="1F2937"/>
          <w:sz w:val="20"/>
        </w:rPr>
        <w:t>💬 Sir/Ma'am, this directly answers Sub-point (c) of SIH Problem Statement 26103. Traditional government monitoring portals only record self-reported project milestones. But if an executing agency like SJVN has a 227% Debt-to-Equity ratio, they suffer severe liquidity crunches and cannot pay local suppliers. Market equity drawdowns precede formal Cabinet delay notifications by 6 to 9 months, giving the PMO an invaluable early warning radar.</w:t>
      </w:r>
    </w:p>
    <w:p>
      <w:pPr>
        <w:spacing w:before="120" w:after="40"/>
      </w:pPr>
      <w:r>
        <w:rPr>
          <w:b/>
          <w:color w:val="0F2537"/>
          <w:sz w:val="22"/>
        </w:rPr>
        <w:t>❓ In your Nagrik Portal, why was a 100% complete project previously marked as 'Critical Delay'?</w:t>
      </w:r>
    </w:p>
    <w:p>
      <w:pPr>
        <w:spacing w:before="0" w:after="120"/>
      </w:pPr>
      <w:r>
        <w:rPr>
          <w:color w:val="1F2937"/>
          <w:sz w:val="20"/>
        </w:rPr>
        <w:t>💬 That was a classic flaw in naive reporting portals that conflated historical delivery duration with current project health. A project that finished 30 months late is successfully completed today—it is not in active crisis. In our enhanced taxonomy, we strictly separate completion from schedule: it is labelled 'COMPLETED — 30 MONTHS LATE', reserving red 'CRITICAL — ACTIVE' alerts solely for live projects requiring immediate ministerial intervention.</w:t>
      </w:r>
    </w:p>
    <w:p>
      <w:pPr>
        <w:spacing w:before="120" w:after="40"/>
      </w:pPr>
      <w:r>
        <w:rPr>
          <w:b/>
          <w:color w:val="0F2537"/>
          <w:sz w:val="22"/>
        </w:rPr>
        <w:t>❓ What legal clauses does NIVARAN monitor in government contracts?</w:t>
      </w:r>
    </w:p>
    <w:p>
      <w:pPr>
        <w:spacing w:before="0" w:after="120"/>
      </w:pPr>
      <w:r>
        <w:rPr>
          <w:color w:val="1F2937"/>
          <w:sz w:val="20"/>
        </w:rPr>
        <w:t>💬 We monitor dispute provisions under the CPWD General Conditions of Contract, specifically Clause 25 (Arbitration) and Clause 10CC (Material Price Escalations). By matching live arbitration filings and High Court injunctions against project IDs, we warn policymakers before contractors abandon construction sites.</w:t>
      </w:r>
    </w:p>
    <w:p>
      <w:pPr>
        <w:spacing w:before="120" w:after="40"/>
      </w:pPr>
      <w:r>
        <w:rPr>
          <w:b/>
          <w:color w:val="0F2537"/>
          <w:sz w:val="22"/>
        </w:rPr>
        <w:t>❓ Is the Nagrik portal compliant with Government of India Web Guidelines (GIGW)?</w:t>
      </w:r>
    </w:p>
    <w:p>
      <w:pPr>
        <w:spacing w:before="0" w:after="120"/>
      </w:pPr>
      <w:r>
        <w:rPr>
          <w:color w:val="1F2937"/>
          <w:sz w:val="20"/>
        </w:rPr>
        <w:t>💬 Yes, we designed the portal against GIGW 3.0 and WCAG 2.1 AA benchmarks: (1) we provide text scaling up to 200% via rem tokens, (2) high-contrast theme toggling, (3) shape-differentiated map pins for colorblind accessibility, and (4) zero horizontal overflow on both standard 1366x768 government laptops and 375px citizen mobile screens.</w:t>
      </w:r>
    </w:p>
    <w:p>
      <w:pPr>
        <w:spacing w:before="120" w:after="40"/>
      </w:pPr>
      <w:r>
        <w:rPr>
          <w:b/>
          <w:color w:val="0F2537"/>
          <w:sz w:val="22"/>
        </w:rPr>
        <w:t>❓ Where does the data on the citizen portal come from?</w:t>
      </w:r>
    </w:p>
    <w:p>
      <w:pPr>
        <w:spacing w:before="0" w:after="120"/>
      </w:pPr>
      <w:r>
        <w:rPr>
          <w:color w:val="1F2937"/>
          <w:sz w:val="20"/>
        </w:rPr>
        <w:t>💬 Every record is extracted directly from official MoSPI PAIMANA Monthly Flash Reports covering Central Sector projects worth ₹150 Crore or more. We publish this under RTI Section 4(1)(b) to empower citizens with transparent public infrastructure data.</w:t>
      </w:r>
    </w:p>
    <w:p>
      <w:pPr>
        <w:spacing w:before="120" w:after="40"/>
      </w:pPr>
      <w:r>
        <w:rPr>
          <w:b/>
          <w:color w:val="0F2537"/>
          <w:sz w:val="22"/>
        </w:rPr>
        <w:t>❓ Can citizens export the raw data?</w:t>
      </w:r>
    </w:p>
    <w:p>
      <w:pPr>
        <w:spacing w:before="0" w:after="120"/>
      </w:pPr>
      <w:r>
        <w:rPr>
          <w:color w:val="1F2937"/>
          <w:sz w:val="20"/>
        </w:rPr>
        <w:t>💬 Yes. The Nagrik portal provides one-click filtered CSV exports with live counts, formatted in standard Indian grouping (lakhs/crores), ensuring complete democratic transparency.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5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