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2537"/>
          <w:sz w:val="52"/>
        </w:rPr>
        <w:t>PRAKALP-DRISHTI</w:t>
      </w:r>
    </w:p>
    <w:p>
      <w:pPr>
        <w:spacing w:before="0" w:after="80"/>
      </w:pPr>
      <w:r>
        <w:rPr>
          <w:b/>
          <w:color w:val="0284C7"/>
          <w:sz w:val="30"/>
        </w:rPr>
        <w:t>TANMAY'S MASTER DEFENSE GUIDE: Satya-Kavach (Statutory Audit &amp; 20% CCEA Anti-Gaming) &amp; ANUMATI Clearances</w:t>
      </w:r>
    </w:p>
    <w:p>
      <w:pPr>
        <w:spacing w:before="0" w:after="240"/>
      </w:pPr>
      <w:r>
        <w:rPr>
          <w:color w:val="4B5563"/>
          <w:sz w:val="19"/>
        </w:rPr>
        <w:t>Team Member: Tanmay | Assigned Modules: Satya-Kavach (Pillar 2) · ANUMATI Regulatory Clearances</w:t>
        <w:br/>
        <w:t>Ministry of Statistics &amp; Programme Implementation (MoSPI) | Smart India Hackathon 2026 (SIH26103)</w:t>
        <w:br/>
        <w:t>Target: Complete Module Mastery, Mathematics, Data Provenance &amp; Winning Jury Defense</w:t>
      </w:r>
    </w:p>
    <w:p>
      <w:pPr>
        <w:spacing w:after="240"/>
        <w:pBdr>
          <w:bottom w:val="single" w:sz="12" w:space="1" w:color="0284C7"/>
        </w:pBdr>
      </w:pPr>
    </w:p>
    <w:p>
      <w:pPr>
        <w:pStyle w:val="Heading1"/>
      </w:pPr>
      <w:r>
        <w:t>1. Executive Mission &amp; What Your Modules Accomplish</w:t>
      </w:r>
    </w:p>
    <w:p>
      <w:r>
        <w:t>Tanmay, you are the chief auditor and statutory integrity guardian of PRAKALP-DRISHTI: 1. SATYA-KAVACH (Financial Integrity): Detects artificial gaming of Cabinet Committee on Economic Affairs (CCEA) statutory thresholds, and runs automated CPWD Clause 10CC audits against Wholesale Price Index (WPI) inflation to prevent contractor price gouging.</w:t>
        <w:br/>
        <w:t>2. ANUMATI (Regulatory Integrity): Tracks the 5-stage PARIVESH environmental, forest, and wildlife clearance pipeline, computing the Regulatory Stagnation Index (RSI) to unblock bureaucratic gridlocks.</w:t>
        <w:br/>
        <w:br/>
        <w:t>Your presentation narrative will mesmerize judges: 'Under Central Government rules, cost overruns of 20% or more mandate strict CCEA scrutiny. We investigated the data and found contractors bunch cost revisions right at 19.4% to 19.9% to avoid Cabinet review. And when contractors demand 25% cost escalations citing inflation, Satya-Kavach uses official RBI/WPI material indices to prove whether it is genuine inflation or unearned profit gouging!'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b/>
                <w:color w:val="184C78"/>
                <w:sz w:val="21"/>
              </w:rPr>
              <w:t>📌 TANMAY'S 30-SECOND ELEVATOR PITCH</w:t>
              <w:br/>
            </w:r>
            <w:r>
              <w:rPr>
                <w:color w:val="1F2937"/>
                <w:sz w:val="20"/>
              </w:rPr>
              <w:t>CORE DEFENSE HOOK: 'Satya-Kavach is the system's anti-corruption and statutory firewall. It combines McCrary Density Discontinuity screening at the 20% CCEA threshold, automated CPWD Clause 10CC contract auditing, and 5-stage PARIVESH clearance tracking with zero tolerance for self-reported contractor bluffing!'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2. Deep-Dive: The 20% CCEA Cabinet Rule &amp; Boundary Forensics</w:t>
      </w:r>
    </w:p>
    <w:p>
      <w:r>
        <w:t>Under Government of India allocation of business rules, any Central Sector mega-project experiencing a cost overrun of ≥ 20% must undergo mandatory re-appraisal by the Revised Cost Committee and approval by the Cabinet Committee on Economic Affairs (CCEA) chaired by the Prime Minister.</w:t>
      </w:r>
    </w:p>
    <w:p>
      <w:pPr>
        <w:pStyle w:val="Heading2"/>
      </w:pPr>
      <w:r>
        <w:t>2.1 McCrary Density Discontinuity &amp; Live Numbers</w:t>
      </w:r>
    </w:p>
    <w:p>
      <w:r>
        <w:t>1. The Hypothesis: Contractors and executing ministries artificially suppress reported cost overruns to 19.5%–19.9% so that their project stays within delegated ministerial financial powers and escapes Cabinet scrutiny.</w:t>
        <w:br/>
        <w:br/>
        <w:t>2. Exact Measured Figures on the Live Corpus (1,183 revised projects):</w:t>
        <w:br/>
        <w:t xml:space="preserve">    • Revisions landing in [18%, 20%): 28 projects</w:t>
        <w:br/>
        <w:t xml:space="preserve">    • Revisions landing in [20%, 22%): 17 projects</w:t>
        <w:br/>
        <w:t xml:space="preserve">    • Discontinuity Ratio: 1.65× clustering below the threshold</w:t>
        <w:br/>
        <w:t xml:space="preserve">    • 95% Confidence Interval: [0.90, 3.01]</w:t>
        <w:br/>
        <w:br/>
        <w:t>3. CRITICAL JURY DEFENSE (Honest Phrasing):</w:t>
        <w:br/>
        <w:t xml:space="preserve">    Because the 95% confidence interval [0.90, 3.01] spans 1.0, the 1.65× ratio is NOT statistically significant at the 5% level.     We explicitly state: 'This is a screening indicator and an audit-triage trigger, NOT legal proof of intentional fraud.'     Any claim of p &lt; 0.001 is withdrawn—stating the truth proves our team's intellectual honesty!</w:t>
      </w:r>
    </w:p>
    <w:p>
      <w:pPr>
        <w:pStyle w:val="Heading2"/>
      </w:pPr>
      <w:r>
        <w:t>2.2 CPWD Clause 10CC Commodity Escalation Auditor</w:t>
      </w:r>
    </w:p>
    <w:p>
      <w:r>
        <w:t>Contractors frequently demand 20% to 30% cost increases claiming 'unprecedented inflation in steel and cement'. Satya-Kavach implements the official CPWD GCC Clause 10CC formula:</w:t>
        <w:br/>
        <w:t xml:space="preserve">    V_m = W × (P_m / 100) × [ (M - M_0) / M_0 ]</w:t>
        <w:br/>
        <w:t>Where W = Gross work done, P_m = Percentage of material component (e.g. 60%), M = Wholesale Price Index (WPI) during the period, and M_0 = Base WPI on the date of tender submission.</w:t>
        <w:br/>
        <w:br/>
        <w:t>By querying official monthly DPIIT WPI series (Structural Steel, Rebar, Cement, Bitumen, High-Speed Diesel), the auditor recalculates the exact permissible contractual escalation. If a contractor claims a ₹180 Cr revision, but official WPI formulas only justify ₹112 Cr, Satya-Kavach flags the remaining ₹68 Cr as unearned contractor margin gouging!</w:t>
      </w:r>
    </w:p>
    <w:p>
      <w:pPr>
        <w:pStyle w:val="Heading1"/>
      </w:pPr>
      <w:r>
        <w:t>3. Deep-Dive: ANUMATI (5-Stage PARIVESH Clearances Pipeline)</w:t>
      </w:r>
    </w:p>
    <w:p>
      <w:r>
        <w:t>Over 35% of mega-project delays in India are caused by land acquisition and statutory environmental approvals. The ANUMATI panel integrates data definitions from the MoEFCC PARIVESH portal.</w:t>
      </w:r>
    </w:p>
    <w:p>
      <w:pPr>
        <w:pStyle w:val="Heading2"/>
      </w:pPr>
      <w:r>
        <w:t>3.1 The 5 Clearance Stages &amp; Regulatory Stagnation Index (RSI)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5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Stage Code</w:t>
            </w:r>
          </w:p>
        </w:tc>
        <w:tc>
          <w:tcPr>
            <w:tcW w:type="dxa" w:w="2340"/>
            <w:shd w:fill="0F25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Clearance Category</w:t>
            </w:r>
          </w:p>
        </w:tc>
        <w:tc>
          <w:tcPr>
            <w:tcW w:type="dxa" w:w="2340"/>
            <w:shd w:fill="0F25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Typical Statutory Timeline</w:t>
            </w:r>
          </w:p>
        </w:tc>
        <w:tc>
          <w:tcPr>
            <w:tcW w:type="dxa" w:w="2340"/>
            <w:shd w:fill="0F253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Bottleneck Risk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STAGE-1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In-Principle Forest Clearance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120 Days statutory window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State forest advisory committee review; Gram Sabha consents.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STAGE-2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Final Forest Handover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30 Days post-compliance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Compensatory afforestation land transfer and CA fund deposit.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WILDLIFE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National Board for Wildlife (NBWL)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180 Days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Projects inside eco-sensitive zones; requires Supreme Court panel.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EIA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Environmental Clearance (MoEFCC)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105 Days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consultation hearings and Environment Impact Assessment appraisal.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CRZ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Coastal Regulation Zone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90 Days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Coastal road, port, and transmission line coastal ecology scrutiny.</w:t>
            </w:r>
          </w:p>
        </w:tc>
      </w:tr>
    </w:tbl>
    <w:p>
      <w:pPr>
        <w:spacing w:before="80"/>
      </w:pPr>
    </w:p>
    <w:p>
      <w:r>
        <w:rPr>
          <w:b/>
        </w:rPr>
        <w:t>The Regulatory Stagnation Index (RSI):</w:t>
        <w:br/>
      </w:r>
      <w:r>
        <w:t xml:space="preserve">    RSI = (Total Days Elapsed in Clearance Pipeline) / (Standard Statutory Maximum Days)</w:t>
        <w:br/>
        <w:t xml:space="preserve">    • RSI &gt; 2.0: Flagged as Administrative Loopback (bureaucratic paperwork bouncing between Central and State departments).</w:t>
        <w:br/>
        <w:t xml:space="preserve">    • Action: Triggers an automated Pragati-Saarthi directive convening a joint taskforce with the State Chief Secretary.</w:t>
      </w:r>
    </w:p>
    <w:p>
      <w:pPr>
        <w:pStyle w:val="Heading1"/>
      </w:pPr>
      <w:r>
        <w:t>Winning Jury &amp; Evaluator Combat Guide (Q&amp;A)</w:t>
      </w:r>
    </w:p>
    <w:p>
      <w:pPr>
        <w:spacing w:before="120" w:after="40"/>
      </w:pPr>
      <w:r>
        <w:rPr>
          <w:b/>
          <w:color w:val="0F2537"/>
          <w:sz w:val="22"/>
        </w:rPr>
        <w:t>❓ What is the 20% CCEA threshold and why do contractors game it?</w:t>
      </w:r>
    </w:p>
    <w:p>
      <w:pPr>
        <w:spacing w:before="0" w:after="120"/>
      </w:pPr>
      <w:r>
        <w:rPr>
          <w:color w:val="1F2937"/>
          <w:sz w:val="20"/>
        </w:rPr>
        <w:t>💬 Under Cabinet rules, any project whose cost escalates by 20% or more requires re-appraisal by the CCEA chaired by the Prime Minister. Contractors intentionally compress reported revisions to 19.5%–19.9% so they remain within delegated ministerial sanction powers, avoiding the rigorous scrutiny of an inter-ministerial Cabinet appraisal.</w:t>
      </w:r>
    </w:p>
    <w:p>
      <w:pPr>
        <w:spacing w:before="120" w:after="40"/>
      </w:pPr>
      <w:r>
        <w:rPr>
          <w:b/>
          <w:color w:val="0F2537"/>
          <w:sz w:val="22"/>
        </w:rPr>
        <w:t>❓ Does your data prove contractors are cheating the 20% rule?</w:t>
      </w:r>
    </w:p>
    <w:p>
      <w:pPr>
        <w:spacing w:before="0" w:after="120"/>
      </w:pPr>
      <w:r>
        <w:rPr>
          <w:color w:val="1F2937"/>
          <w:sz w:val="20"/>
        </w:rPr>
        <w:t>💬 Our McCrary density screening measures 28 revisions in [18%, 20%) versus only 17 in [20%, 22%)—a 1.65× ratio. However, because the 95% confidence interval [0.90, 3.01] spans 1.0, this signal is not statistically significant at the 5% level. We present it honestly: as an audit-triage flag requiring scrutiny, not as definitive legal proof of fraud.</w:t>
      </w:r>
    </w:p>
    <w:p>
      <w:pPr>
        <w:spacing w:before="120" w:after="40"/>
      </w:pPr>
      <w:r>
        <w:rPr>
          <w:b/>
          <w:color w:val="0F2537"/>
          <w:sz w:val="22"/>
        </w:rPr>
        <w:t>❓ How does the CPWD Clause 10CC auditor protect public funds?</w:t>
      </w:r>
    </w:p>
    <w:p>
      <w:pPr>
        <w:spacing w:before="0" w:after="120"/>
      </w:pPr>
      <w:r>
        <w:rPr>
          <w:color w:val="1F2937"/>
          <w:sz w:val="20"/>
        </w:rPr>
        <w:t>💬 When contractors demand large price revisions claiming 'unprecedented inflation', Satya-Kavach recalculates their contractual entitlement using official DPIIT Wholesale Price Index (WPI) series for steel, cement, bitumen, and fuel. It separates genuine raw material escalation from unearned margin gouging.</w:t>
      </w:r>
    </w:p>
    <w:p>
      <w:pPr>
        <w:spacing w:before="120" w:after="40"/>
      </w:pPr>
      <w:r>
        <w:rPr>
          <w:b/>
          <w:color w:val="0F2537"/>
          <w:sz w:val="22"/>
        </w:rPr>
        <w:t>❓ What does the ANUMATI panel track?</w:t>
      </w:r>
    </w:p>
    <w:p>
      <w:pPr>
        <w:spacing w:before="0" w:after="120"/>
      </w:pPr>
      <w:r>
        <w:rPr>
          <w:color w:val="1F2937"/>
          <w:sz w:val="20"/>
        </w:rPr>
        <w:t>💬 ANUMATI tracks the 5 statutory clearance stages on the MoEFCC PARIVESH portal: Forest Stage-I, Forest Stage-II, Wildlife (NBWL), Environmental (EIA), and Coastal Regulation Zone (CRZ).</w:t>
      </w:r>
    </w:p>
    <w:p>
      <w:pPr>
        <w:spacing w:before="120" w:after="40"/>
      </w:pPr>
      <w:r>
        <w:rPr>
          <w:b/>
          <w:color w:val="0F2537"/>
          <w:sz w:val="22"/>
        </w:rPr>
        <w:t>❓ What is the Regulatory Stagnation Index (RSI)?</w:t>
      </w:r>
    </w:p>
    <w:p>
      <w:pPr>
        <w:spacing w:before="0" w:after="120"/>
      </w:pPr>
      <w:r>
        <w:rPr>
          <w:color w:val="1F2937"/>
          <w:sz w:val="20"/>
        </w:rPr>
        <w:t>💬 RSI is the ratio of days elapsed in the clearance pipeline to the statutory norm. An RSI &gt; 2.0 indicates bureaucratic loopback—meaning queries are cycling endlessly between Central line ministries and State nodal officers—triggering an escalation directive for the Chief Secretary.</w:t>
      </w:r>
    </w:p>
    <w:p>
      <w:pPr>
        <w:spacing w:before="120" w:after="40"/>
      </w:pPr>
      <w:r>
        <w:rPr>
          <w:b/>
          <w:color w:val="0F2537"/>
          <w:sz w:val="22"/>
        </w:rPr>
        <w:t>❓ How does Satya-Kavach integrate with the rest of Prakalp Drishti?</w:t>
      </w:r>
    </w:p>
    <w:p>
      <w:pPr>
        <w:spacing w:before="0" w:after="120"/>
      </w:pPr>
      <w:r>
        <w:rPr>
          <w:color w:val="1F2937"/>
          <w:sz w:val="20"/>
        </w:rPr>
        <w:t>💬 Satya-Kavach feeds directly into the Decision Hub and Pragati-Saarthi. If a project has an RSI &gt; 2.0 or an unverified Clause 10CC price claim, Vitta-Vyuha restricts capital disbursement until regulatory compliance is audited.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5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