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5309"/>
          <w:sz w:val="22"/>
        </w:rPr>
        <w:t>PRAKALP DRISHTI — PILLAR 3 EXECUTIVE BRIEF</w:t>
        <w:br/>
      </w:r>
      <w:r>
        <w:rPr>
          <w:b/>
          <w:color w:val="0F2240"/>
          <w:sz w:val="44"/>
        </w:rPr>
        <w:t>ARTHA-NIVARAN: CONTRACTOR 360°</w:t>
        <w:br/>
      </w:r>
      <w:r>
        <w:rPr>
          <w:i/>
          <w:color w:val="475569"/>
          <w:sz w:val="24"/>
        </w:rPr>
        <w:t>Counterparty Solvency Intelligence, Contractual Risk Audit &amp; Dispute Litigation Radar</w:t>
        <w:br/>
      </w:r>
    </w:p>
    <w:p>
      <w:pPr>
        <w:spacing w:after="80"/>
      </w:pPr>
    </w:p>
    <w:tbl>
      <w:tblPr>
        <w:tblW w:type="auto" w:w="0"/>
        <w:jc w:val="center"/>
        <w:tblLook w:firstColumn="1" w:firstRow="1" w:lastColumn="0" w:lastRow="0" w:noHBand="0" w:noVBand="1" w:val="04A0"/>
      </w:tblPr>
      <w:tblGrid>
        <w:gridCol w:w="9936"/>
      </w:tblGrid>
      <w:tr>
        <w:tc>
          <w:tcPr>
            <w:tcW w:type="dxa" w:w="9936"/>
            <w:shd w:fill="F1F5F9"/>
          </w:tcPr>
          <w:p>
            <w:pPr>
              <w:spacing w:before="160" w:after="160"/>
              <w:ind w:left="216" w:right="216"/>
            </w:pPr>
            <w:r>
              <w:rPr>
                <w:b/>
                <w:color w:val="B91C1C"/>
                <w:sz w:val="21"/>
              </w:rPr>
              <w:t>THE 15-SECOND PUNCHLINE FOR JUDGES:</w:t>
              <w:br/>
            </w:r>
            <w:r>
              <w:rPr>
                <w:i/>
                <w:color w:val="0F2240"/>
                <w:sz w:val="22"/>
              </w:rPr>
              <w:t>"Solvency and litigation are one assessment split across two datasets. An executing agency or contractor with a clean balance sheet and eleven active arbitrations is not a safe counterparty, and neither half tells you that on its own. Artha-Nivaran Contractor 360 fuses balance sheet leverage (Altman Z, Debt/Equity) with contract clause risk (NLP scrutiny) and operational friction (delayed invoices, variation orders) to predict contractor distress and project abandonment 6 to 9 months before civil work stalls on the ground."</w:t>
            </w:r>
          </w:p>
        </w:tc>
      </w:tr>
    </w:tbl>
    <w:p>
      <w:pPr>
        <w:spacing w:after="160"/>
      </w:pPr>
    </w:p>
    <w:p>
      <w:pPr>
        <w:pStyle w:val="Heading1"/>
      </w:pPr>
      <w:r>
        <w:rPr>
          <w:color w:val="0F2240"/>
          <w:sz w:val="30"/>
        </w:rPr>
        <w:t>1. The Core Problem: Why Traditional Monitoring Fails</w:t>
      </w:r>
    </w:p>
    <w:p>
      <w:r>
        <w:t>Traditional infrastructure monitoring portals (including MoSPI PAIMANA Flash Reports) treat infrastructure projects as isolated physical artifacts. They record delays and cost escalations after they happen, but remain completely blind to the health of the counterparty executing the work:</w:t>
      </w:r>
    </w:p>
    <w:p>
      <w:pPr>
        <w:pStyle w:val="ListBullet"/>
      </w:pPr>
      <w:r>
        <w:rPr>
          <w:b/>
          <w:color w:val="0F2240"/>
        </w:rPr>
        <w:t xml:space="preserve">The Liquidity Blindspot: </w:t>
      </w:r>
      <w:r>
        <w:t>A project schedule slippage is almost never caused by mere poor weather or logistics alone. When an executing agency or contractor is over-leveraged, routine working capital shocks force them to pull machinery and labor off-site to service corporate debt.</w:t>
      </w:r>
    </w:p>
    <w:p>
      <w:pPr>
        <w:pStyle w:val="ListBullet"/>
      </w:pPr>
      <w:r>
        <w:rPr>
          <w:b/>
          <w:color w:val="0F2240"/>
        </w:rPr>
        <w:t xml:space="preserve">The Contractual Timebomb: </w:t>
      </w:r>
      <w:r>
        <w:t>Clauses drafted during tender preparation (e.g., fixed-price caps during steel/cement inflation, or requiring work to begin before 80% unencumbered land is delivered) make disputes legally inevitable.</w:t>
      </w:r>
    </w:p>
    <w:p>
      <w:pPr>
        <w:pStyle w:val="ListBullet"/>
      </w:pPr>
      <w:r>
        <w:rPr>
          <w:b/>
          <w:color w:val="0F2240"/>
        </w:rPr>
        <w:t xml:space="preserve">The Operational Feedback Loop: </w:t>
      </w:r>
      <w:r>
        <w:t>When government departments delay milestone invoice payments (&gt;180 days) or sit on variation orders (&gt;90 days), contractor cash flow is strangled, triggering formal arbitration and High Court stay orders.</w:t>
      </w:r>
    </w:p>
    <w:p>
      <w:pPr>
        <w:pStyle w:val="Heading1"/>
      </w:pPr>
      <w:r>
        <w:rPr>
          <w:color w:val="0F2240"/>
          <w:sz w:val="30"/>
        </w:rPr>
        <w:t>2. Architecture: The Two Halves of Contractor 360</w:t>
      </w:r>
    </w:p>
    <w:p>
      <w:r>
        <w:t>Contractor 360 is divided into two deeply complementary sub-engines that operate on 2,207 central sector infrastructure projects:</w:t>
      </w:r>
    </w:p>
    <w:tbl>
      <w:tblPr>
        <w:tblW w:type="auto" w:w="0"/>
        <w:jc w:val="center"/>
        <w:tblLook w:firstColumn="1" w:firstRow="1" w:lastColumn="0" w:lastRow="0" w:noHBand="0" w:noVBand="1" w:val="04A0"/>
      </w:tblPr>
      <w:tblGrid>
        <w:gridCol w:w="3312"/>
        <w:gridCol w:w="3312"/>
        <w:gridCol w:w="3312"/>
      </w:tblGrid>
      <w:tr>
        <w:tc>
          <w:tcPr>
            <w:tcW w:type="dxa" w:w="3312"/>
            <w:shd w:fill="0F2240"/>
          </w:tcPr>
          <w:p>
            <w:r>
              <w:rPr>
                <w:b/>
                <w:color w:val="FFFFFF"/>
                <w:sz w:val="20"/>
              </w:rPr>
              <w:t>Dimension</w:t>
            </w:r>
          </w:p>
        </w:tc>
        <w:tc>
          <w:tcPr>
            <w:tcW w:type="dxa" w:w="3312"/>
            <w:shd w:fill="0F2240"/>
          </w:tcPr>
          <w:p>
            <w:r>
              <w:rPr>
                <w:b/>
                <w:color w:val="FFFFFF"/>
                <w:sz w:val="20"/>
              </w:rPr>
              <w:t>ARTHA (Solvency Radar)</w:t>
            </w:r>
          </w:p>
        </w:tc>
        <w:tc>
          <w:tcPr>
            <w:tcW w:type="dxa" w:w="3312"/>
            <w:shd w:fill="0F2240"/>
          </w:tcPr>
          <w:p>
            <w:r>
              <w:rPr>
                <w:b/>
                <w:color w:val="FFFFFF"/>
                <w:sz w:val="20"/>
              </w:rPr>
              <w:t>NIVARAN (Legal Radar)</w:t>
            </w:r>
          </w:p>
        </w:tc>
      </w:tr>
      <w:tr>
        <w:tc>
          <w:tcPr>
            <w:tcW w:type="dxa" w:w="3312"/>
            <w:shd w:fill="F8FAFC"/>
          </w:tcPr>
          <w:p>
            <w:r>
              <w:rPr>
                <w:sz w:val="19"/>
              </w:rPr>
              <w:t>Focus Area</w:t>
            </w:r>
          </w:p>
        </w:tc>
        <w:tc>
          <w:tcPr>
            <w:tcW w:type="dxa" w:w="3312"/>
            <w:shd w:fill="F8FAFC"/>
          </w:tcPr>
          <w:p>
            <w:r>
              <w:rPr>
                <w:sz w:val="19"/>
              </w:rPr>
              <w:t>Balance sheet solvency, capital structure &amp; corporate distress</w:t>
            </w:r>
          </w:p>
        </w:tc>
        <w:tc>
          <w:tcPr>
            <w:tcW w:type="dxa" w:w="3312"/>
            <w:shd w:fill="F8FAFC"/>
          </w:tcPr>
          <w:p>
            <w:r>
              <w:rPr>
                <w:sz w:val="19"/>
              </w:rPr>
              <w:t>Contract clause vulnerabilities, arbitration &amp; court stay exposure</w:t>
            </w:r>
          </w:p>
        </w:tc>
      </w:tr>
      <w:tr>
        <w:tc>
          <w:tcPr>
            <w:tcW w:type="dxa" w:w="3312"/>
            <w:shd w:fill="FFFFFF"/>
          </w:tcPr>
          <w:p>
            <w:r>
              <w:rPr>
                <w:sz w:val="19"/>
              </w:rPr>
              <w:t>Key Inputs</w:t>
            </w:r>
          </w:p>
        </w:tc>
        <w:tc>
          <w:tcPr>
            <w:tcW w:type="dxa" w:w="3312"/>
            <w:shd w:fill="FFFFFF"/>
          </w:tcPr>
          <w:p>
            <w:r>
              <w:rPr>
                <w:sz w:val="19"/>
              </w:rPr>
              <w:t>Debt-to-Equity (D/E), Altman Z-Score, capex portfolio leverage</w:t>
            </w:r>
          </w:p>
        </w:tc>
        <w:tc>
          <w:tcPr>
            <w:tcW w:type="dxa" w:w="3312"/>
            <w:shd w:fill="FFFFFF"/>
          </w:tcPr>
          <w:p>
            <w:r>
              <w:rPr>
                <w:sz w:val="19"/>
              </w:rPr>
              <w:t>NLP clause scans, disputed claims (₹ Cr), unpaid invoices, EoT requests</w:t>
            </w:r>
          </w:p>
        </w:tc>
      </w:tr>
    </w:tbl>
    <w:p>
      <w:pPr>
        <w:spacing w:after="120"/>
      </w:pPr>
    </w:p>
    <w:p>
      <w:pPr>
        <w:pStyle w:val="Heading1"/>
      </w:pPr>
      <w:r>
        <w:rPr>
          <w:color w:val="0F2240"/>
          <w:sz w:val="30"/>
        </w:rPr>
        <w:t>3. Deep Dive: ARTHA (Financial Solvency &amp; Solvency Matrix)</w:t>
      </w:r>
    </w:p>
    <w:p>
      <w:r>
        <w:t>ARTHA evaluates corporate balance sheet durability to answer SIH Dimension (c): Do non-CUF (non-project-specific) variables improve prediction accuracy?</w:t>
      </w:r>
    </w:p>
    <w:p>
      <w:r>
        <w:rPr>
          <w:b/>
          <w:color w:val="0E7A4A"/>
        </w:rPr>
        <w:t xml:space="preserve">Empirical Discovery Across 2,207 Projects: </w:t>
      </w:r>
      <w:r>
        <w:t>Our data proves that high-debt executing PSUs (e.g., SJVN D/E 2.27, NHPC D/E 1.13) suffer 80% to 145% cost overruns, whereas low-debt agencies (e.g., Coal India D/E 0.12) suffer only 25% cost overruns. Balance sheet leverage is one of the strongest leading predictors of infrastructure delivery failure.</w:t>
      </w:r>
    </w:p>
    <w:p>
      <w:pPr>
        <w:pStyle w:val="Heading2"/>
      </w:pPr>
      <w:r>
        <w:t>The 5 Solvency Health Tiers in ARTHA:</w:t>
      </w:r>
    </w:p>
    <w:p>
      <w:pPr>
        <w:pStyle w:val="ListBullet"/>
      </w:pPr>
      <w:r>
        <w:rPr>
          <w:b/>
        </w:rPr>
        <w:t xml:space="preserve">1. PRIME CASH-RICH (Green): </w:t>
      </w:r>
      <w:r>
        <w:t>D/E &lt; 0.5 and Altman Z &gt; 3.0. Agencies like Coal India (D/E 0.12, Z-Score 4.80) with fortress balance sheets that easily absorb commodity inflation without civil delays.</w:t>
      </w:r>
    </w:p>
    <w:p>
      <w:pPr>
        <w:pStyle w:val="ListBullet"/>
      </w:pPr>
      <w:r>
        <w:rPr>
          <w:b/>
        </w:rPr>
        <w:t xml:space="preserve">2. STABLE INVESTMENT GRADE (Amber-Green): </w:t>
      </w:r>
      <w:r>
        <w:t>0.5 &lt;= D/E &lt;= 1.5 and Altman Z in [1.8, 3.0]. Solid state-backed PSUs like NTPC (D/E 1.48, Z 2.65), PowerGrid (D/E 1.35), and ONGC/IOCL.</w:t>
      </w:r>
    </w:p>
    <w:p>
      <w:pPr>
        <w:pStyle w:val="ListBullet"/>
      </w:pPr>
      <w:r>
        <w:rPr>
          <w:b/>
        </w:rPr>
        <w:t xml:space="preserve">3. HIGH LEVERAGE STRESS (Red): </w:t>
      </w:r>
      <w:r>
        <w:t>D/E &gt; 2.0 or Altman Z &lt; 1.8. Heavily stressed utilities like SJVN (D/E 2.27, Z 1.45) and NHIDCL (D/E 2.35, Z 1.60) where debt servicing consumes cash flows, causing project stalls.</w:t>
      </w:r>
    </w:p>
    <w:p>
      <w:pPr>
        <w:pStyle w:val="ListBullet"/>
      </w:pPr>
      <w:r>
        <w:rPr>
          <w:b/>
        </w:rPr>
        <w:t xml:space="preserve">4. SOVEREIGN DIRECT BUDGET LINE (Blue): </w:t>
      </w:r>
      <w:r>
        <w:t>Direct budget-line bodies (MoRTH, MoHUA, Dept of Water Resources) funded straight from the Consolidated Fund of India where corporate balance sheets do not exist.</w:t>
      </w:r>
    </w:p>
    <w:p>
      <w:pPr>
        <w:pStyle w:val="ListBullet"/>
      </w:pPr>
      <w:r>
        <w:rPr>
          <w:b/>
        </w:rPr>
        <w:t xml:space="preserve">5. UNRATED (Slate Grey): </w:t>
      </w:r>
      <w:r>
        <w:t>Over 90 state SPVs, irrigation bodies, and unlisted entities with no published balance sheets. We explicitly report this coverage gap rather than fabricating a fake D/E number.</w:t>
      </w:r>
    </w:p>
    <w:p>
      <w:pPr>
        <w:pStyle w:val="Heading1"/>
      </w:pPr>
      <w:r>
        <w:rPr>
          <w:color w:val="0F2240"/>
          <w:sz w:val="30"/>
        </w:rPr>
        <w:t>4. Deep Dive: NIVARAN (Legal Radar &amp; Dispute De-risking)</w:t>
      </w:r>
    </w:p>
    <w:p>
      <w:r>
        <w:t>NIVARAN performs automated legal de-risking using an NLP pattern engine and a weighted multi-factor dispute probability model:</w:t>
      </w:r>
    </w:p>
    <w:p>
      <w:pPr>
        <w:pStyle w:val="Heading2"/>
      </w:pPr>
      <w:r>
        <w:t>A. The 5 Flagged Contractual Danger Clauses:</w:t>
      </w:r>
    </w:p>
    <w:p>
      <w:pPr>
        <w:pStyle w:val="ListBullet"/>
      </w:pPr>
      <w:r>
        <w:rPr>
          <w:b/>
        </w:rPr>
        <w:t xml:space="preserve">1. Non-Indexed / Capped Escalation Clause: </w:t>
      </w:r>
      <w:r>
        <w:t>Clauses specifying fixed-price or capping price escalations during hyper-inflation. Forces contractors into negative margins, inducing deliberate work slowdowns.</w:t>
      </w:r>
    </w:p>
    <w:p>
      <w:pPr>
        <w:pStyle w:val="ListBullet"/>
      </w:pPr>
      <w:r>
        <w:rPr>
          <w:b/>
        </w:rPr>
        <w:t xml:space="preserve">2. Ambiguous / Phased Land Delivery: </w:t>
      </w:r>
      <w:r>
        <w:t>Commencing contracts before delivering 80% unencumbered Right of Way (ROW). The single largest cause of contractor idle machinery claims and High Court litigation in India.</w:t>
      </w:r>
    </w:p>
    <w:p>
      <w:pPr>
        <w:pStyle w:val="ListBullet"/>
      </w:pPr>
      <w:r>
        <w:rPr>
          <w:b/>
        </w:rPr>
        <w:t xml:space="preserve">3. Liquidated Damages (LD) &amp; Penalty Imbalance: </w:t>
      </w:r>
      <w:r>
        <w:t>Inadequate penalty caps make abandonment cheaper than finishing the project, while arbitrary unilateral penalty deductions spark court injunctions.</w:t>
      </w:r>
    </w:p>
    <w:p>
      <w:pPr>
        <w:pStyle w:val="ListBullet"/>
      </w:pPr>
      <w:r>
        <w:rPr>
          <w:b/>
        </w:rPr>
        <w:t xml:space="preserve">4. Unilateral Variation Orders Without Time Extension: </w:t>
      </w:r>
      <w:r>
        <w:t>Agencies expanding scope (&gt;15%) without formal Extension of Time (EoT) or rate revision, leading to massive financial disputes at final billing.</w:t>
      </w:r>
    </w:p>
    <w:p>
      <w:pPr>
        <w:pStyle w:val="ListBullet"/>
      </w:pPr>
      <w:r>
        <w:rPr>
          <w:b/>
        </w:rPr>
        <w:t xml:space="preserve">5. Ambiguous Force Majeure &amp; Regulatory Exclusions: </w:t>
      </w:r>
      <w:r>
        <w:t>Transferring sovereign statutory clearance delays (Forest/Environment) onto the contractor, prompting immediate invocation of arbitration.</w:t>
      </w:r>
    </w:p>
    <w:p>
      <w:pPr>
        <w:pStyle w:val="Heading2"/>
      </w:pPr>
      <w:r>
        <w:t>B. NIVARAN's Mathematical Dispute Probability Model:</w:t>
      </w:r>
    </w:p>
    <w:p>
      <w:r>
        <w:rPr>
          <w:b/>
          <w:color w:val="0F2240"/>
          <w:sz w:val="22"/>
        </w:rPr>
        <w:t>Dispute Probability = 0.35 × ClauseRisk + 0.30 × (LitigationIndex / 100) + 0.35 × OperationalFriction</w:t>
      </w:r>
    </w:p>
    <w:p>
      <w:r>
        <w:t>Where Operational Friction captures real-time administrative distress: Pending variation orders &gt;90 days, unpaid milestone invoices (&gt;180 days delay), and unresolved Extension of Time (EoT) claims.</w:t>
      </w:r>
    </w:p>
    <w:p>
      <w:pPr>
        <w:pStyle w:val="Heading1"/>
      </w:pPr>
      <w:r>
        <w:rPr>
          <w:color w:val="0F2240"/>
          <w:sz w:val="30"/>
        </w:rPr>
        <w:t>5. Judges &amp; Jury Q&amp;A Combat Guide (Killer Answers)</w:t>
      </w:r>
    </w:p>
    <w:p>
      <w:r>
        <w:rPr>
          <w:b/>
          <w:color w:val="B91C1C"/>
        </w:rPr>
        <w:t>Q1: Why are you monitoring corporate balance sheets and stock data in an infrastructure dashboard?</w:t>
      </w:r>
    </w:p>
    <w:p>
      <w:pPr>
        <w:spacing w:after="120"/>
      </w:pPr>
      <w:r>
        <w:t>Answer: 'Sir/Ma'am, this directly answers SIH Dimension (c), which asks whether non-CUF (non-project-specific) variables improve prediction. A highway does not build itself; a contractor builds it. If an executing PSU has a Debt-to-Equity ratio above 200%, they experience working capital shortages that stall ground progress. Our empirical data proves high-debt PSUs suffer 80% to 145% cost overruns vs 25% for low-debt PSUs. Stock drawdowns and leverage ratios serve as a 6-to-9 month leading indicator of impending project distress.'</w:t>
      </w:r>
    </w:p>
    <w:p>
      <w:r>
        <w:rPr>
          <w:b/>
          <w:color w:val="B91C1C"/>
        </w:rPr>
        <w:t>Q2: Where do you get contract clauses from? Are they real or simulated?</w:t>
      </w:r>
    </w:p>
    <w:p>
      <w:pPr>
        <w:spacing w:after="120"/>
      </w:pPr>
      <w:r>
        <w:t>Answer: 'Our NLP heuristics scan actual CPWD General Conditions of Contract (GCC), NHAI EPC Agreement standard templates, and FIDIC Silver Book models. We specifically audit Clauses 10CC (Price Escalation), 2 (Liquidated Damages), and 12 (Variations), identifying contractual ambushes that historically trigger arbitration.'</w:t>
      </w:r>
    </w:p>
    <w:p>
      <w:r>
        <w:rPr>
          <w:b/>
          <w:color w:val="B91C1C"/>
        </w:rPr>
        <w:t>Q3: What actionable advice does the system give to prevent disputes rather than just flagging them?</w:t>
      </w:r>
    </w:p>
    <w:p>
      <w:pPr>
        <w:spacing w:after="120"/>
      </w:pPr>
      <w:r>
        <w:t>Answer: 'NIVARAN generates precise administrative interventions under GFR Rule 173 and Vivad Se Vishwas II: (1) Convening the Dispute Avoidance Committee (DAC) within 14 days, (2) Releasing 75% ad-hoc interim payments against undisputed measurements, and (3) Freezing unilateral liquidated damage deductions while an independent engineer audits right-of-way handover delays.'</w:t>
      </w:r>
    </w:p>
    <w:p>
      <w:r>
        <w:rPr>
          <w:b/>
          <w:color w:val="B91C1C"/>
        </w:rPr>
        <w:t>Q4: How does this help during contractor selection and tender allocation?</w:t>
      </w:r>
    </w:p>
    <w:p>
      <w:pPr>
        <w:spacing w:after="120"/>
      </w:pPr>
      <w:r>
        <w:t>Answer: 'Through Contractor 360, procurement officers can evaluate an agency's portfolio overcommitment. If a contractor with high debt is already executing ₹10,000 Cr across 5 delayed projects, awarding them a 6th project guarantees failure. It enables empirical, de-biased vendor capacity checks.'</w:t>
      </w:r>
    </w:p>
    <w:p>
      <w:pPr>
        <w:pStyle w:val="Heading1"/>
      </w:pPr>
      <w:r>
        <w:rPr>
          <w:color w:val="0F2240"/>
          <w:sz w:val="30"/>
        </w:rPr>
        <w:t>6. 3-Minute Live Demo Walkthrough Script for Judges</w:t>
      </w:r>
    </w:p>
    <w:p>
      <w:pPr>
        <w:pStyle w:val="ListBullet"/>
      </w:pPr>
      <w:r>
        <w:rPr>
          <w:b/>
          <w:color w:val="0F2240"/>
        </w:rPr>
        <w:t xml:space="preserve">Minute 0:00 - 0:45 (The Hook): </w:t>
      </w:r>
      <w:r>
        <w:t>Navigate to 'Pillar 3: Artha-Nivaran Contractor 360'. Tell the judges: 'Respected judges, mega-projects don't fail in isolation; they fail because the executing counterparty breaks under debt or litigation. Notice our Solvency Matrix across all 2,207 projects. Compare SJVN with Coal India. High-debt PSUs suffer 80-145% overruns, while cash-rich ones finish within 25%.'</w:t>
      </w:r>
    </w:p>
    <w:p>
      <w:pPr>
        <w:pStyle w:val="ListBullet"/>
      </w:pPr>
      <w:r>
        <w:rPr>
          <w:b/>
          <w:color w:val="0F2240"/>
        </w:rPr>
        <w:t xml:space="preserve">Minute 0:45 - 1:45 (NIVARAN Legal Radar): </w:t>
      </w:r>
      <w:r>
        <w:t>Click on the 'Nivaran Legal Radar' tab. Show a selected high-risk project (e.g., PRJ-NH-2026-089). Explain: 'Here, NIVARAN's NLP scanned the contract text. Notice the Flagged Contract Clauses—all cleanly open without database jargon. It highlights ambiguous land delivery and capped price escalation. Our weighted model calculates a 78% dispute probability.'</w:t>
      </w:r>
    </w:p>
    <w:p>
      <w:pPr>
        <w:pStyle w:val="ListBullet"/>
      </w:pPr>
      <w:r>
        <w:rPr>
          <w:b/>
          <w:color w:val="0F2240"/>
        </w:rPr>
        <w:t xml:space="preserve">Minute 1:45 - 2:30 (Actionable Decision Memo): </w:t>
      </w:r>
      <w:r>
        <w:t>Show the Actionable Prescriptions and PRAGATI PMO memo: 'Instead of waiting for court stays, NIVARAN prescribes convening the Dispute Avoidance Committee (DAC) and releasing 75% interim payment on undisputed bills under Vivad Se Vishwas II.'</w:t>
      </w:r>
    </w:p>
    <w:p>
      <w:pPr>
        <w:pStyle w:val="ListBullet"/>
      </w:pPr>
      <w:r>
        <w:rPr>
          <w:b/>
          <w:color w:val="0F2240"/>
        </w:rPr>
        <w:t xml:space="preserve">Minute 2:30 - 3:00 (The Punchline): </w:t>
      </w:r>
      <w:r>
        <w:t>Conclude with impact: 'By unifying balance sheet solvency with legal risk, Prakalp Drishti gives the Ministry of Finance and PMO PRAGATI a 9-month early warning shield before public capital gets trapped in court.'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