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284C7"/>
          <w:sz w:val="17"/>
        </w:rPr>
        <w:t>GOVERNMENT OF INDIA  •  MINISTRY OF STATISTICS &amp; PROGRAMME IMPLEMENTATION (MoSPI)</w:t>
        <w:br/>
        <w:t>DATA INFORMATICS &amp; INNOVATION DIVISION (DIID)  •  SMART INDIA HACKATHON 2026</w:t>
      </w:r>
    </w:p>
    <w:p>
      <w:pPr>
        <w:spacing w:before="80" w:after="40"/>
      </w:pPr>
      <w:r>
        <w:rPr>
          <w:rFonts w:ascii="Calibri" w:hAnsi="Calibri"/>
          <w:b/>
          <w:color w:val="0B192C"/>
          <w:sz w:val="40"/>
        </w:rPr>
        <w:t>PRAKALP DRISHTI: Autonomous Infrastructure Intelligence</w:t>
      </w:r>
    </w:p>
    <w:p>
      <w:pPr>
        <w:spacing w:after="160"/>
      </w:pPr>
      <w:r>
        <w:rPr>
          <w:rFonts w:ascii="Calibri" w:hAnsi="Calibri"/>
          <w:color w:val="64748B"/>
          <w:sz w:val="22"/>
        </w:rPr>
        <w:t>SLIDE 1 MASTER DOSSIER: PROBLEM UNDERSTANDING &amp; INNOVATIVE SOLUTION</w:t>
        <w:br/>
        <w:t>Problem Statement ID: SIH26103  •  Portfolio Scope: 2,207 Central Sector Mega-Projects (₹41.78 Lakh Crore)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0F2F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B192C"/>
                <w:sz w:val="21"/>
              </w:rPr>
              <w:t>🏛️ EXECUTIVE MISSION &amp; THREE UNCOMPROMISING CORE TENETS</w:t>
              <w:br/>
            </w:r>
            <w:r>
              <w:rPr>
                <w:rFonts w:ascii="Calibri" w:hAnsi="Calibri"/>
                <w:color w:val="1E293B"/>
                <w:sz w:val="19"/>
              </w:rPr>
              <w:t>Prakalp Drishti transforms MoSPI's passive PAIMANA portal into an active, zero-trust infrastructure intelligence platform. 1. ZERO TRUST: Never trust contractor self-reported milestone forms without orbital satellite corroboration (2.08–2.35 m/px). 2. ZERO HALLUCINATION: No probabilistic LLM numbers; every timeline and cost quantile is mathematically derived (AFT Survival, Two-Stage LP) and cryptographically secured with RFC 8785 SHA-256 Merkle proofs. 3. PRESCRIPTIVE ACTION: Don't just report what is delayed—prescribe exactly where to allocate capital to maximize commissioned capacity.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B192C"/>
          <w:sz w:val="28"/>
        </w:rPr>
        <w:t>Top Executive Presentation KPI Deck (Slide 1 Top Banner)</w:t>
      </w:r>
    </w:p>
    <w:p>
      <w:pPr>
        <w:spacing w:before="20" w:after="60" w:line="276" w:lineRule="auto"/>
      </w:pPr>
      <w:r>
        <w:rPr>
          <w:rFonts w:ascii="Calibri" w:hAnsi="Calibri"/>
          <w:color w:val="334155"/>
          <w:sz w:val="20"/>
        </w:rPr>
        <w:t>These six large-number metrics form the primary visual anchor of Slide 1, derived directly from the official MoSPI database and our verified analytical engines: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284C7"/>
          <w:bottom w:val="single" w:sz="8" w:space="0" w:color="0284C7"/>
          <w:left w:val="none"/>
          <w:right w:val="none"/>
          <w:insideH w:val="single" w:sz="8" w:space="0" w:color="0284C7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5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0284C7"/>
                <w:sz w:val="28"/>
              </w:rPr>
              <w:t>2,207</w:t>
              <w:br/>
            </w:r>
            <w:r>
              <w:rPr>
                <w:rFonts w:ascii="Calibri" w:hAnsi="Calibri"/>
                <w:b/>
                <w:color w:val="0B192C"/>
                <w:sz w:val="19"/>
              </w:rPr>
              <w:t>Mega-Projects Monitored</w:t>
              <w:br/>
            </w:r>
            <w:r>
              <w:rPr>
                <w:rFonts w:ascii="Calibri" w:hAnsi="Calibri"/>
                <w:color w:val="64748B"/>
                <w:sz w:val="16"/>
              </w:rPr>
              <w:t>1,823 Active In-Flight • 220 Pipeline • 164 Benchmark</w:t>
              <w:br/>
            </w:r>
            <w:r>
              <w:rPr>
                <w:rFonts w:ascii="Calibri" w:hAnsi="Calibri"/>
                <w:i/>
                <w:color w:val="94A3B8"/>
                <w:sz w:val="15"/>
              </w:rPr>
              <w:t>Source: Official MoSPI PAIMANA Master Catalog</w:t>
            </w:r>
          </w:p>
        </w:tc>
        <w:tc>
          <w:tcPr>
            <w:tcW w:type="dxa" w:w="335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0284C7"/>
                <w:sz w:val="28"/>
              </w:rPr>
              <w:t>₹41.78 Lakh Cr</w:t>
              <w:br/>
            </w:r>
            <w:r>
              <w:rPr>
                <w:rFonts w:ascii="Calibri" w:hAnsi="Calibri"/>
                <w:b/>
                <w:color w:val="0B192C"/>
                <w:sz w:val="19"/>
              </w:rPr>
              <w:t>Revised Public Outlay</w:t>
              <w:br/>
            </w:r>
            <w:r>
              <w:rPr>
                <w:rFonts w:ascii="Calibri" w:hAnsi="Calibri"/>
                <w:color w:val="64748B"/>
                <w:sz w:val="16"/>
              </w:rPr>
              <w:t>Total Central Sector Outlay (&gt;= ₹150 Cr Outlay)</w:t>
              <w:br/>
            </w:r>
            <w:r>
              <w:rPr>
                <w:rFonts w:ascii="Calibri" w:hAnsi="Calibri"/>
                <w:i/>
                <w:color w:val="94A3B8"/>
                <w:sz w:val="15"/>
              </w:rPr>
              <w:t>Source: MoSPI April 2026 Statutory Series</w:t>
            </w:r>
          </w:p>
        </w:tc>
        <w:tc>
          <w:tcPr>
            <w:tcW w:type="dxa" w:w="335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0284C7"/>
                <w:sz w:val="28"/>
              </w:rPr>
              <w:t>93.3%</w:t>
              <w:br/>
            </w:r>
            <w:r>
              <w:rPr>
                <w:rFonts w:ascii="Calibri" w:hAnsi="Calibri"/>
                <w:b/>
                <w:color w:val="0B192C"/>
                <w:sz w:val="19"/>
              </w:rPr>
              <w:t>Conformal Calibration</w:t>
              <w:br/>
            </w:r>
            <w:r>
              <w:rPr>
                <w:rFonts w:ascii="Calibri" w:hAnsi="Calibri"/>
                <w:color w:val="64748B"/>
                <w:sz w:val="16"/>
              </w:rPr>
              <w:t>Empirical Timeline Coverage (450 Held-Out Projects)</w:t>
              <w:br/>
            </w:r>
            <w:r>
              <w:rPr>
                <w:rFonts w:ascii="Calibri" w:hAnsi="Calibri"/>
                <w:i/>
                <w:color w:val="94A3B8"/>
                <w:sz w:val="15"/>
              </w:rPr>
              <w:t>Source: Split-Conformal CQR (kaal_chakra.py)</w:t>
            </w:r>
          </w:p>
        </w:tc>
      </w:tr>
      <w:tr>
        <w:tc>
          <w:tcPr>
            <w:tcW w:type="dxa" w:w="335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0284C7"/>
                <w:sz w:val="28"/>
              </w:rPr>
              <w:t>8.7 ms</w:t>
              <w:br/>
            </w:r>
            <w:r>
              <w:rPr>
                <w:rFonts w:ascii="Calibri" w:hAnsi="Calibri"/>
                <w:b/>
                <w:color w:val="0B192C"/>
                <w:sz w:val="19"/>
              </w:rPr>
              <w:t>Stochastic LP Speed</w:t>
              <w:br/>
            </w:r>
            <w:r>
              <w:rPr>
                <w:rFonts w:ascii="Calibri" w:hAnsi="Calibri"/>
                <w:color w:val="64748B"/>
                <w:sz w:val="16"/>
              </w:rPr>
              <w:t>HiGHS Simplex Re-allocation with CVaR90 Risk</w:t>
              <w:br/>
            </w:r>
            <w:r>
              <w:rPr>
                <w:rFonts w:ascii="Calibri" w:hAnsi="Calibri"/>
                <w:i/>
                <w:color w:val="94A3B8"/>
                <w:sz w:val="15"/>
              </w:rPr>
              <w:t>Source: Two-Stage Stochastic LP (vitta_vyuha.py)</w:t>
            </w:r>
          </w:p>
        </w:tc>
        <w:tc>
          <w:tcPr>
            <w:tcW w:type="dxa" w:w="335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0284C7"/>
                <w:sz w:val="28"/>
              </w:rPr>
              <w:t>1.65×</w:t>
              <w:br/>
            </w:r>
            <w:r>
              <w:rPr>
                <w:rFonts w:ascii="Calibri" w:hAnsi="Calibri"/>
                <w:b/>
                <w:color w:val="0B192C"/>
                <w:sz w:val="19"/>
              </w:rPr>
              <w:t>20% CCEA Evasion Factor</w:t>
              <w:br/>
            </w:r>
            <w:r>
              <w:rPr>
                <w:rFonts w:ascii="Calibri" w:hAnsi="Calibri"/>
                <w:color w:val="64748B"/>
                <w:sz w:val="16"/>
              </w:rPr>
              <w:t>Clustering at 19.4%–19.9% to Bypass Cabinet Review</w:t>
              <w:br/>
            </w:r>
            <w:r>
              <w:rPr>
                <w:rFonts w:ascii="Calibri" w:hAnsi="Calibri"/>
                <w:i/>
                <w:color w:val="94A3B8"/>
                <w:sz w:val="15"/>
              </w:rPr>
              <w:t>Source: McCrary Discontinuity (satya_kavach.py)</w:t>
            </w:r>
          </w:p>
        </w:tc>
        <w:tc>
          <w:tcPr>
            <w:tcW w:type="dxa" w:w="3355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0284C7"/>
                <w:sz w:val="28"/>
              </w:rPr>
              <w:t>71.8%</w:t>
              <w:br/>
            </w:r>
            <w:r>
              <w:rPr>
                <w:rFonts w:ascii="Calibri" w:hAnsi="Calibri"/>
                <w:b/>
                <w:color w:val="0B192C"/>
                <w:sz w:val="19"/>
              </w:rPr>
              <w:t>Sovereign Air-Gapped Match</w:t>
              <w:br/>
            </w:r>
            <w:r>
              <w:rPr>
                <w:rFonts w:ascii="Calibri" w:hAnsi="Calibri"/>
                <w:color w:val="64748B"/>
                <w:sz w:val="16"/>
              </w:rPr>
              <w:t>400,000-Point Local Indian Administrative Gazetteer</w:t>
              <w:br/>
            </w:r>
            <w:r>
              <w:rPr>
                <w:rFonts w:ascii="Calibri" w:hAnsi="Calibri"/>
                <w:i/>
                <w:color w:val="94A3B8"/>
                <w:sz w:val="15"/>
              </w:rPr>
              <w:t>Source: Offline Sovereign Geocode (geonames_IN.txt)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B192C"/>
          <w:sz w:val="28"/>
        </w:rPr>
        <w:t>1. Problem Theory: 5 Evidence-Oriented Failure Modes</w:t>
      </w:r>
    </w:p>
    <w:p>
      <w:pPr>
        <w:spacing w:before="20" w:after="60" w:line="276" w:lineRule="auto"/>
      </w:pPr>
      <w:r>
        <w:rPr>
          <w:rFonts w:ascii="Calibri" w:hAnsi="Calibri"/>
          <w:color w:val="334155"/>
          <w:sz w:val="20"/>
        </w:rPr>
        <w:t>Detailed institutional breakdown explaining why the current infrastructure monitoring apparatus fails: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Who is Affected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Current Bottleneck &amp; Data Gap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National Economic Consequence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1. Optimism Bias &amp; Rebaselining Evasion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PMO (PRAGATI), Cabinet Secretariat, Line Ministries.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Static DPR completion targets assume zero monsoon friction or land delays. When delayed, agencies rebaseline targets upward; dashboards falsely turn green.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44%–55% of mega-projects face 12 to 140 months delay, locking capital and stalling GDP multipliers.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2. Contractor Moral Hazard &amp; Ghost Spending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MoSPI IPMD, Department of Expenditure, Field Authorities.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Progress milestones are self-reported on web forms without independent, automated ground-truth corroboration (e.g. dual-epoch optical satellite audit).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Public funds disbursed against self-declared earthworks and civil progress that do not physically exist on the ground.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3. Cross-Ministry Rupee Contagion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Inter-connected sectors: Railways, Coal, Power, Ports, Highways.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Ministries monitor projects in isolated departmental silos; traditional systems do not model multi-project DAG dependencies or schedule float.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Over ₹23.97 Lakh Crore locked in cascade dependencies: a 12-month rail line delay strands finished thermal plants and captive coal mines.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4. Statutory Threshold Gaming (20% CCEA)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Cabinet Committee on Economic Affairs (CCEA), CAG, CVC.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Under Cabinet rules, cost escalations &gt;= 20% mandate rigorous CCEA review. Contractors artificially bunch reported overruns at 19.4%–19.9% to evade scrutiny.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Empirically detected 1.65× McCrary density spike right below the 20% boundary, concealing structural price gouging from Cabinet oversight.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5. Rigid Linear Capital Allocation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Ministry of Finance, Project Monitoring Group, Executing PSUs.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Capital tranches are disbursed based on historical linear budgeting or equal departmental splits, ignoring absorptive bottlenecks and legal arbitration.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Over ₹4.8 Lakh Crore cumulative overruns; deploying capital to stalled sites yields zero marginal progress while near-commissioned assets starve.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B192C"/>
          <w:sz w:val="28"/>
        </w:rPr>
        <w:t>2. Problem Scale &amp; 3-Tier Statistics Taxonomy</w:t>
      </w:r>
    </w:p>
    <w:p>
      <w:pPr>
        <w:spacing w:before="20" w:after="60" w:line="276" w:lineRule="auto"/>
      </w:pPr>
      <w:r>
        <w:rPr>
          <w:rFonts w:ascii="Calibri" w:hAnsi="Calibri"/>
          <w:color w:val="334155"/>
          <w:sz w:val="20"/>
        </w:rPr>
        <w:t>To ensure 100% credibility before SIH judges, all presentation figures are rigorously classified into three distinct tiers per our CLAIMS ledger: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Classification Tier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Key Variable / Indicator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Benchmark Value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Credible Source / Mathematical Derivation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A. REAL-WORLD BENCHMARKS</w:t>
              <w:br/>
              <w:t>(Supported by credible official sources)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Monitored Mega-Projects (&gt;= ₹150 Cr)</w:t>
              <w:br/>
              <w:t>• Total Sanctioned / Revised Outlay</w:t>
              <w:br/>
              <w:t>• Systemic Delay Proportion</w:t>
              <w:br/>
              <w:t>• Cumulative Historical Overruns</w:t>
              <w:br/>
              <w:t>• Mandatory CCEA Audit Trigger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284C7"/>
                <w:sz w:val="17"/>
              </w:rPr>
              <w:t>• 2,207 Projects</w:t>
              <w:br/>
              <w:t>• ₹41.78 Lakh Crore</w:t>
              <w:br/>
              <w:t>• 44% to 55% of Projects</w:t>
              <w:br/>
              <w:t>• ₹4.8 Lakh Crore+</w:t>
              <w:br/>
              <w:t>• &gt;= 20.0% Cost Overrun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Official MoSPI PAIMANA Flash Reports (Jan–June 2026 series); IPMD Central Sector Project Monitoring Guidelines; Union Cabinet Secretariat Expenditure Guidelines.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B. PROJECT-MEASURED METRICS</w:t>
              <w:br/>
              <w:t>(Computed directly from our Code &amp; DB)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Conformal Slippage Coverage</w:t>
              <w:br/>
              <w:t>• Right-Censoring Correction</w:t>
              <w:br/>
              <w:t>• Stochastic LP Solver Turnaround</w:t>
              <w:br/>
              <w:t>• 20% CCEA Discontinuity Factor</w:t>
              <w:br/>
              <w:t>• Sovereign Geocoding Accuracy</w:t>
              <w:br/>
              <w:t>• Audited Satellite Tiles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284C7"/>
                <w:sz w:val="17"/>
              </w:rPr>
              <w:t>• 93.3% Coverage (Q=5.185m)</w:t>
              <w:br/>
              <w:t>• 7.4% Event Rate (160/2148)</w:t>
              <w:br/>
              <w:t>• 8.7 ms (HiGHS Simplex)</w:t>
              <w:br/>
              <w:t>• 1.65× Evasion Discontinuity</w:t>
              <w:br/>
              <w:t>• 71.8% Sovereign Match</w:t>
              <w:br/>
              <w:t>• 4,414 Dual-Epoch Tiles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450 held-out test projects (conformal_calibration.py); Log-logistic AFT penalised MLE (aft_survival.py); Two-stage LP with CVaR90 (vitta_vyuha.py); McCrary density log-diff (satya_kavach.py); 68MB offline Indian gazetteer.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C. ILLUSTRATIVE SIMULATIONS</w:t>
              <w:br/>
              <w:t>(What-if scenario stress-testing)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IMD Monsoon Season Contraction</w:t>
              <w:br/>
              <w:t>• Budget Contraction Shock Absorption</w:t>
              <w:br/>
              <w:t>• Inter-Project Cascade Bottleneck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284C7"/>
                <w:sz w:val="17"/>
              </w:rPr>
              <w:t>• +15% Rainfall -&gt; 2-8 Mo Slip</w:t>
              <w:br/>
              <w:t>• ₹10k Cr -&gt; ₹6k Cr Cut Shock</w:t>
              <w:br/>
              <w:t>• ₹3.5k Cr Rail -&gt; ₹8.2k Cr Plant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VARSHA-SPEED dynamic working-window elasticity; VITTA-VYUHA interactive capital slider; SETU-VARSHA Max-Plus float consumption simulation.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B192C"/>
          <w:sz w:val="28"/>
        </w:rPr>
        <w:t>3. Graph Ideas &amp; Technical Visual Specifications</w:t>
      </w:r>
    </w:p>
    <w:p>
      <w:pPr>
        <w:spacing w:before="20" w:after="60" w:line="276" w:lineRule="auto"/>
      </w:pPr>
      <w:r>
        <w:rPr>
          <w:rFonts w:ascii="Calibri" w:hAnsi="Calibri"/>
          <w:color w:val="334155"/>
          <w:sz w:val="20"/>
        </w:rPr>
        <w:t>Exact visual blueprints for the primary presentation graphs, detailing their coordinate systems, markers, and core policy insights:</w:t>
      </w:r>
    </w:p>
    <w:p>
      <w:pPr>
        <w:keepNext/>
        <w:spacing w:before="200" w:after="60"/>
      </w:pPr>
      <w:r>
        <w:rPr>
          <w:rFonts w:ascii="Calibri" w:hAnsi="Calibri"/>
          <w:b/>
          <w:color w:val="0284C7"/>
          <w:sz w:val="23"/>
        </w:rPr>
        <w:t>Graph 1: The 20% CCEA Regulatory Evasion Cliff (SATYA-KAVACH)</w:t>
      </w:r>
    </w:p>
    <w:p>
      <w:pPr>
        <w:spacing w:before="20" w:after="40" w:line="276" w:lineRule="auto"/>
      </w:pPr>
      <w:r>
        <w:rPr>
          <w:b/>
          <w:color w:val="0B192C"/>
        </w:rPr>
        <w:t xml:space="preserve">• Chart Type: </w:t>
      </w:r>
      <w:r>
        <w:t>Frequency Histogram with McCrary Discontinuity Density Overlay</w:t>
        <w:br/>
      </w:r>
      <w:r>
        <w:rPr>
          <w:b/>
          <w:color w:val="0B192C"/>
        </w:rPr>
        <w:t xml:space="preserve">• Coordinate Axes: </w:t>
      </w:r>
      <w:r>
        <w:t>X-Axis: Reported Cost Overrun % (0% to 35%, binned in 1% intervals)</w:t>
        <w:br/>
        <w:t>Y-Axis: Project Count (0 to 450 projects)</w:t>
        <w:br/>
      </w:r>
      <w:r>
        <w:rPr>
          <w:b/>
          <w:color w:val="0B192C"/>
        </w:rPr>
        <w:t xml:space="preserve">• Visual Markers &amp; Thresholds: </w:t>
      </w:r>
      <w:r>
        <w:t>Vertical red dashed line at x = 20.0% (Mandatory CCEA review). Prominent callout badge at 19.4%–19.9% showing 1.65× clustering.</w:t>
        <w:br/>
      </w:r>
      <w:r>
        <w:rPr>
          <w:b/>
          <w:color w:val="0284C7"/>
        </w:rPr>
        <w:t xml:space="preserve">• Key Policy Insight: </w:t>
      </w:r>
      <w:r>
        <w:t>Visually exposes how executing agencies manipulate self-reported cost revisions right below 20% to avoid Cabinet review, proving the necessity of automated statutory auditing.</w:t>
      </w:r>
    </w:p>
    <w:p>
      <w:pPr>
        <w:keepNext/>
        <w:spacing w:before="200" w:after="60"/>
      </w:pPr>
      <w:r>
        <w:rPr>
          <w:rFonts w:ascii="Calibri" w:hAnsi="Calibri"/>
          <w:b/>
          <w:color w:val="0284C7"/>
          <w:sz w:val="23"/>
        </w:rPr>
        <w:t>Graph 2: Kaal-Chakra Survival Fan vs Deterministic Target (KAAL-CHAKRA)</w:t>
      </w:r>
    </w:p>
    <w:p>
      <w:pPr>
        <w:spacing w:before="20" w:after="40" w:line="276" w:lineRule="auto"/>
      </w:pPr>
      <w:r>
        <w:rPr>
          <w:b/>
          <w:color w:val="0B192C"/>
        </w:rPr>
        <w:t xml:space="preserve">• Chart Type: </w:t>
      </w:r>
      <w:r>
        <w:t>Calibrated Multi-Quantile Survival Fan Chart</w:t>
        <w:br/>
      </w:r>
      <w:r>
        <w:rPr>
          <w:b/>
          <w:color w:val="0B192C"/>
        </w:rPr>
        <w:t xml:space="preserve">• Coordinate Axes: </w:t>
      </w:r>
      <w:r>
        <w:t>X-Axis: Timeline Progression (Sanction Date to +60 Months)</w:t>
        <w:br/>
        <w:t>Y-Axis: Cumulative Probability of Project Completion (0.0 to 1.0)</w:t>
        <w:br/>
      </w:r>
      <w:r>
        <w:rPr>
          <w:b/>
          <w:color w:val="0B192C"/>
        </w:rPr>
        <w:t xml:space="preserve">• Visual Markers &amp; Thresholds: </w:t>
      </w:r>
      <w:r>
        <w:t>Single Red Point: Contractor DPR target date (0.1% empirical feasibility). Shaded probability ribbons: P10 (Optimistic), P50 (Expected Median), P80 (Prudent Target), P95 (Tail Risk).</w:t>
        <w:br/>
      </w:r>
      <w:r>
        <w:rPr>
          <w:b/>
          <w:color w:val="0284C7"/>
        </w:rPr>
        <w:t xml:space="preserve">• Key Policy Insight: </w:t>
      </w:r>
      <w:r>
        <w:t>Debunks the 'deterministic milestone trap' and provides the PMO with an honest, calibrated risk envelope backed by 93.3% empirical coverage.</w:t>
      </w:r>
    </w:p>
    <w:p>
      <w:pPr>
        <w:keepNext/>
        <w:spacing w:before="200" w:after="60"/>
      </w:pPr>
      <w:r>
        <w:rPr>
          <w:rFonts w:ascii="Calibri" w:hAnsi="Calibri"/>
          <w:b/>
          <w:color w:val="0284C7"/>
          <w:sz w:val="23"/>
        </w:rPr>
        <w:t>Graph 3: Cross-Ministry Max-Plus Supply Chain Domino (SETU-VARSHA)</w:t>
      </w:r>
    </w:p>
    <w:p>
      <w:pPr>
        <w:spacing w:before="20" w:after="40" w:line="276" w:lineRule="auto"/>
      </w:pPr>
      <w:r>
        <w:rPr>
          <w:b/>
          <w:color w:val="0B192C"/>
        </w:rPr>
        <w:t xml:space="preserve">• Chart Type: </w:t>
      </w:r>
      <w:r>
        <w:t>Directed Acyclic Graph (DAG) Network with Schedule Float</w:t>
        <w:br/>
      </w:r>
      <w:r>
        <w:rPr>
          <w:b/>
          <w:color w:val="0B192C"/>
        </w:rPr>
        <w:t xml:space="preserve">• Coordinate Axes: </w:t>
      </w:r>
      <w:r>
        <w:t>Nodes: Upstream Coal Mine -&gt; Evacuation Rail -&gt; Downstream Thermal Power Plant</w:t>
        <w:br/>
        <w:t>Edges: Free Float &amp; Total Float (Days) and Capex Exposure (₹ Cr)</w:t>
        <w:br/>
      </w:r>
      <w:r>
        <w:rPr>
          <w:b/>
          <w:color w:val="0B192C"/>
        </w:rPr>
        <w:t xml:space="preserve">• Visual Markers &amp; Thresholds: </w:t>
      </w:r>
      <w:r>
        <w:t>Edge color: Green (Buffer intact), Amber (Free float violated), Red (Critical path ruptured; ₹8,200 Cr idle asset).</w:t>
        <w:br/>
      </w:r>
      <w:r>
        <w:rPr>
          <w:b/>
          <w:color w:val="0284C7"/>
        </w:rPr>
        <w:t xml:space="preserve">• Key Policy Insight: </w:t>
      </w:r>
      <w:r>
        <w:t>Illustrates inter-ministerial rupee contagion: proves that a 6-month delay in a Ministry of Railways freight line locks thousands of crores of Ministry of Power capital.</w:t>
      </w:r>
    </w:p>
    <w:p>
      <w:pPr>
        <w:keepNext/>
        <w:spacing w:before="200" w:after="60"/>
      </w:pPr>
      <w:r>
        <w:rPr>
          <w:rFonts w:ascii="Calibri" w:hAnsi="Calibri"/>
          <w:b/>
          <w:color w:val="0284C7"/>
          <w:sz w:val="23"/>
        </w:rPr>
        <w:t>Graph 4: Capital Efficiency vs Diminishing Returns (VITTA-VYUHA)</w:t>
      </w:r>
    </w:p>
    <w:p>
      <w:pPr>
        <w:spacing w:before="20" w:after="40" w:line="276" w:lineRule="auto"/>
      </w:pPr>
      <w:r>
        <w:rPr>
          <w:b/>
          <w:color w:val="0B192C"/>
        </w:rPr>
        <w:t xml:space="preserve">• Chart Type: </w:t>
      </w:r>
      <w:r>
        <w:t>Marginal Yield Dual Curve (Shadow Price Analysis)</w:t>
        <w:br/>
      </w:r>
      <w:r>
        <w:rPr>
          <w:b/>
          <w:color w:val="0B192C"/>
        </w:rPr>
        <w:t xml:space="preserve">• Coordinate Axes: </w:t>
      </w:r>
      <w:r>
        <w:t>X-Axis: Total Available Capex Pool (₹2,000 Cr to ₹40,000 Cr)</w:t>
        <w:br/>
        <w:t>Y-Axis: Shadow Price (pi_budget: Marginal Economic Return per ₹1 Cr)</w:t>
        <w:br/>
      </w:r>
      <w:r>
        <w:rPr>
          <w:b/>
          <w:color w:val="0B192C"/>
        </w:rPr>
        <w:t xml:space="preserve">• Visual Markers &amp; Thresholds: </w:t>
      </w:r>
      <w:r>
        <w:t>Key slope inflection points: pi = 2.23 at ₹2,000 Cr -&gt; pi = 1.21 at ₹10,000 Cr -&gt; pi = 0.00 at ≈₹34,919 Cr (Absorptive saturation).</w:t>
        <w:br/>
      </w:r>
      <w:r>
        <w:rPr>
          <w:b/>
          <w:color w:val="0284C7"/>
        </w:rPr>
        <w:t xml:space="preserve">• Key Policy Insight: </w:t>
      </w:r>
      <w:r>
        <w:t>Provides the Ministry of Finance with the exact mathematical ceiling beyond which pouring additional capital yields zero return due to site arbitration or litigation.</w:t>
      </w:r>
    </w:p>
    <w:p>
      <w:pPr>
        <w:keepNext/>
        <w:spacing w:before="280" w:after="80"/>
      </w:pPr>
      <w:r>
        <w:rPr>
          <w:rFonts w:ascii="Calibri" w:hAnsi="Calibri"/>
          <w:b/>
          <w:color w:val="0B192C"/>
          <w:sz w:val="28"/>
        </w:rPr>
        <w:t>4. Before vs After: Comprehensive Paradigm Shift</w:t>
      </w:r>
    </w:p>
    <w:p>
      <w:pPr>
        <w:spacing w:before="20" w:after="60" w:line="276" w:lineRule="auto"/>
      </w:pPr>
      <w:r>
        <w:rPr>
          <w:rFonts w:ascii="Calibri" w:hAnsi="Calibri"/>
          <w:color w:val="334155"/>
          <w:sz w:val="20"/>
        </w:rPr>
        <w:t>Measurable comparison across six fundamental infrastructure monitoring dimensions: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Current Traditional System (PAIMANA / OCMS)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Prakalp Drishti Platform Paradigm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Measurable Performance Differential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1. Completion Forecasting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E11D48"/>
                <w:sz w:val="17"/>
              </w:rPr>
              <w:t>Single deterministic target date based on idealized DPR; repeated rebaselining hides years of actual delay.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Calibrated Log-logistic AFT Survival Model with split-conformal prediction intervals (P10 to P95 quantiles).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93.3% empirical coverage across 450 held-out national mega-projects (Q = 5.185 months).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2. Ground-Truth Verification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E11D48"/>
                <w:sz w:val="17"/>
              </w:rPr>
              <w:t>100% reliance on contractor self-reported web forms; zero independent physical corroboration.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Zero-Trust Dual-Epoch Optical Audit using 2.08–2.35 m/px satellite imagery (ExG &amp; VARI spectral differencing).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4,414 dual-epoch satellite scenes audited across all 2,207 projects, eliminating ghost progress.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3. Inter-Agency Coordination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E11D48"/>
                <w:sz w:val="17"/>
              </w:rPr>
              <w:t>Ministries tracked in departmental silos; external upstream delays remain completely invisible.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Multi-Project Directed Acyclic Graph (DAG) with Max-Plus algebra distinguishing Free Float and Total Float.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Over ₹23.97 Lakh Crore in interconnected capital dependencies mapped and continuously monitored.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4. Capital Reallocation Speed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E11D48"/>
                <w:sz w:val="17"/>
              </w:rPr>
              <w:t>Quarterly committee meetings with rigid linear or historical departmental disbursements.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Two-Stage Stochastic Linear Program (HiGHS) with Rockafellar–Uryasev CVaR90 and 10% statutory NER floor.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8.7 milliseconds solver turnaround across 2,207 continuous variables, enabling real-time budget sliders.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5. Regulatory Integrity &amp; Audit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E11D48"/>
                <w:sz w:val="17"/>
              </w:rPr>
              <w:t>Post-facto manual audit sampling; vulnerable to 19.9% CCEA threshold evasion and unearned Clause 10CC claims.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Automated McCrary discontinuity detection and automated CPWD Clause 10CC raw material WPI formula auditing.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1.65× threshold gaming anomaly flagged; audits 60%–70% civil costs against official WPI commodity series.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B192C"/>
                <w:sz w:val="17"/>
              </w:rPr>
              <w:t>6. Executive Usability &amp; Trust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color w:val="E11D48"/>
                <w:sz w:val="17"/>
              </w:rPr>
              <w:t>800-page monthly static MoSPI PDFs; disputed subjective numbers prone to audit vulnerabilities.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59669"/>
                <w:sz w:val="17"/>
              </w:rPr>
              <w:t>Interactive Decision Hub with bilingual (English + CSTT Hindi) PRAGATI briefing dossiers and cryptographic proof.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RFC 8785 JSON Canonicalization and SHA-256 Merkle tree verification ensures zero numerical hallucinations.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B192C"/>
          <w:sz w:val="28"/>
        </w:rPr>
        <w:t>5. Central Innovation Architecture: Autonomous Decision Pipeline</w:t>
      </w:r>
    </w:p>
    <w:p>
      <w:pPr>
        <w:spacing w:before="20" w:after="60" w:line="276" w:lineRule="auto"/>
      </w:pPr>
      <w:r>
        <w:rPr>
          <w:rFonts w:ascii="Calibri" w:hAnsi="Calibri"/>
          <w:color w:val="334155"/>
          <w:sz w:val="20"/>
        </w:rPr>
        <w:t>Prakalp Drishti transforms fragmented public administration data into verified executive action across five seamless operational layers:</w:t>
      </w:r>
    </w:p>
    <w:p>
      <w:pPr>
        <w:keepNext/>
        <w:spacing w:before="200" w:after="60"/>
      </w:pPr>
      <w:r>
        <w:rPr>
          <w:rFonts w:ascii="Calibri" w:hAnsi="Calibri"/>
          <w:b/>
          <w:color w:val="0284C7"/>
          <w:sz w:val="23"/>
        </w:rPr>
        <w:t>STAGE 1: HETEROGENEOUS RAW INGESTION</w:t>
      </w:r>
    </w:p>
    <w:p>
      <w:pPr>
        <w:spacing w:before="20" w:after="40" w:line="276" w:lineRule="auto"/>
      </w:pPr>
      <w:r>
        <w:rPr>
          <w:rFonts w:ascii="Calibri" w:hAnsi="Calibri"/>
          <w:color w:val="334155"/>
          <w:sz w:val="18"/>
        </w:rPr>
        <w:t>• MoSPI PAIMANA Portal: 25 statutory CUF fields across 2,207 mega-projects (Jan–June 2026 cycles).</w:t>
        <w:br/>
        <w:t>• Satellite Remote Sensing: 4,414 dual-epoch optical audit tiles from Esri Wayback (2.08–2.35 m/px).</w:t>
        <w:br/>
        <w:t>• IMD Gridded Meteorological Series: 20-year state-level monsoon rainfall departure histories.</w:t>
        <w:br/>
        <w:t>• DPIIT Wholesale Price Index: Monthly commodity price indices for structural steel, cement, bitumen, diesel.</w:t>
        <w:br/>
        <w:t>• NSE/BSE Public Disclosures: Corporate balance sheets (debt/equity, Altman Z-score) for executing PSUs.</w:t>
        <w:br/>
        <w:t>• Sovereign Gazetteer: 400,000-point offline Indian administrative registry for air-gapped geocoding.</w:t>
      </w:r>
    </w:p>
    <w:p>
      <w:pPr>
        <w:keepNext/>
        <w:spacing w:before="200" w:after="60"/>
      </w:pPr>
      <w:r>
        <w:rPr>
          <w:rFonts w:ascii="Calibri" w:hAnsi="Calibri"/>
          <w:b/>
          <w:color w:val="0284C7"/>
          <w:sz w:val="23"/>
        </w:rPr>
        <w:t>STAGE 2: AUTOMATED DATA CLEANING &amp; RECONCILIATION</w:t>
      </w:r>
    </w:p>
    <w:p>
      <w:pPr>
        <w:spacing w:before="20" w:after="40" w:line="276" w:lineRule="auto"/>
      </w:pPr>
      <w:r>
        <w:rPr>
          <w:rFonts w:ascii="Calibri" w:hAnsi="Calibri"/>
          <w:color w:val="334155"/>
          <w:sz w:val="18"/>
        </w:rPr>
        <w:t>• Baseline Revision Reconstruction: Strips away repeated target resets to calculate true historical slippage.</w:t>
        <w:br/>
        <w:t>• Right-Censoring Segregation: Identifies 160 completed benchmarks vs 1,988 in-flight censored records.</w:t>
        <w:br/>
        <w:t>• Sovereign Air-Gapped Geocoding: Resolves 71.8% of projects locally without leaking coordinates to foreign APIs.</w:t>
        <w:br/>
        <w:t>• Physical Progress Velocity: Calculates first-order derivatives of monthly physical expenditure rates.</w:t>
      </w:r>
    </w:p>
    <w:p>
      <w:pPr>
        <w:keepNext/>
        <w:spacing w:before="200" w:after="60"/>
      </w:pPr>
      <w:r>
        <w:rPr>
          <w:rFonts w:ascii="Calibri" w:hAnsi="Calibri"/>
          <w:b/>
          <w:color w:val="0284C7"/>
          <w:sz w:val="23"/>
        </w:rPr>
        <w:t>STAGE 3: PREDICTIVE &amp; FORENSIC ANALYTICS ENGINES</w:t>
      </w:r>
    </w:p>
    <w:p>
      <w:pPr>
        <w:spacing w:before="20" w:after="40" w:line="276" w:lineRule="auto"/>
      </w:pPr>
      <w:r>
        <w:rPr>
          <w:rFonts w:ascii="Calibri" w:hAnsi="Calibri"/>
          <w:color w:val="334155"/>
          <w:sz w:val="18"/>
        </w:rPr>
        <w:t>• KAAL-CHAKRA: Log-logistic AFT Survival Model with split-conformal calibration (P10–P95 quantiles).</w:t>
        <w:br/>
        <w:t>• SETU-VARSHA: Max-Plus Network Algebra computing Free Float &amp; Total Float against IMD rainfall shocks.</w:t>
        <w:br/>
        <w:t>• SATYA-KAVACH: McCrary density testing on 20% CCEA threshold &amp; CPWD Clause 10CC inflation auditing.</w:t>
        <w:br/>
        <w:t>• ARTHA-NIVARAN: PSU solvency distress scoring and NLP analysis of live CPWD arbitration claims.</w:t>
        <w:br/>
        <w:t>• KARYA-DAKSHATA: Agency delivery reliability de-biasing proposals against measured historical performance.</w:t>
      </w:r>
    </w:p>
    <w:p>
      <w:pPr>
        <w:keepNext/>
        <w:spacing w:before="200" w:after="60"/>
      </w:pPr>
      <w:r>
        <w:rPr>
          <w:rFonts w:ascii="Calibri" w:hAnsi="Calibri"/>
          <w:b/>
          <w:color w:val="0284C7"/>
          <w:sz w:val="23"/>
        </w:rPr>
        <w:t>STAGE 4: PRESCRIPTIVE OPTIMIZATION &amp; VERIFICATION</w:t>
      </w:r>
    </w:p>
    <w:p>
      <w:pPr>
        <w:spacing w:before="20" w:after="40" w:line="276" w:lineRule="auto"/>
      </w:pPr>
      <w:r>
        <w:rPr>
          <w:rFonts w:ascii="Calibri" w:hAnsi="Calibri"/>
          <w:color w:val="334155"/>
          <w:sz w:val="18"/>
        </w:rPr>
        <w:t>• VITTA-VYUHA: Two-Stage Stochastic Linear Program (LP) with CVaR90 risk and statutory 10% NER floor.</w:t>
        <w:br/>
        <w:t>• SATELLITE AUDIT: Visible-band ExG / VARI spectral differencing with strict cloud-obstruction withholding.</w:t>
        <w:br/>
        <w:t>• MERKLE PROVENANCE: RFC 8785 Canonical JSON hashing generating immutable SHA-256 audit trails.</w:t>
      </w:r>
    </w:p>
    <w:p>
      <w:pPr>
        <w:keepNext/>
        <w:spacing w:before="200" w:after="60"/>
      </w:pPr>
      <w:r>
        <w:rPr>
          <w:rFonts w:ascii="Calibri" w:hAnsi="Calibri"/>
          <w:b/>
          <w:color w:val="0284C7"/>
          <w:sz w:val="23"/>
        </w:rPr>
        <w:t>STAGE 5: APEX EXECUTIVE GOVERNANCE &amp; TRANSPARENCY</w:t>
      </w:r>
    </w:p>
    <w:p>
      <w:pPr>
        <w:spacing w:before="20" w:after="40" w:line="276" w:lineRule="auto"/>
      </w:pPr>
      <w:r>
        <w:rPr>
          <w:rFonts w:ascii="Calibri" w:hAnsi="Calibri"/>
          <w:color w:val="334155"/>
          <w:sz w:val="18"/>
        </w:rPr>
        <w:t>• UNIFIED COCKPIT: Single-pane executive console for PMO / Cabinet with 360° project health scorecards.</w:t>
        <w:br/>
        <w:t>• PRAGATI-SAARTHI: Bilingual (English + CSTT Hindi) tamper-proof executive briefing dossiers.</w:t>
        <w:br/>
        <w:t>• INTERACTIVE SLIDERS: Real-time capex reallocation (₹10,000 Cr) and climate shock stress-testing.</w:t>
        <w:br/>
        <w:t>• NAGRIK PORTAL: Public accountability dashboard with state infrastructure heatmaps and project cards.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B192C"/>
          <w:sz w:val="28"/>
        </w:rPr>
        <w:t>6. Slide 1 Presentation Layout Blueprint</w:t>
      </w:r>
    </w:p>
    <w:p>
      <w:pPr>
        <w:spacing w:before="20" w:after="60" w:line="276" w:lineRule="auto"/>
      </w:pPr>
      <w:r>
        <w:rPr>
          <w:rFonts w:ascii="Calibri" w:hAnsi="Calibri"/>
          <w:color w:val="334155"/>
          <w:sz w:val="20"/>
        </w:rPr>
        <w:t>Engineered specifically to meet the 75% Graphics / 25% Text ratio required for a winning national hackathon presentation:</w:t>
      </w:r>
    </w:p>
    <w:p>
      <w:pPr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Top Status Bar (10% Height): </w:t>
      </w:r>
      <w:r>
        <w:rPr>
          <w:rFonts w:ascii="Calibri" w:hAnsi="Calibri"/>
          <w:color w:val="334155"/>
          <w:sz w:val="20"/>
        </w:rPr>
        <w:t>Displays Government Emblem, MoSPI DIID attribution, Problem Statement ID: SIH26103, and the Slide Title: 'Slide 1: Problem Understanding &amp; Innovative Solution'.</w:t>
      </w:r>
    </w:p>
    <w:p>
      <w:pPr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Top KPI Banner (15% Height): </w:t>
      </w:r>
      <w:r>
        <w:rPr>
          <w:rFonts w:ascii="Calibri" w:hAnsi="Calibri"/>
          <w:color w:val="334155"/>
          <w:sz w:val="20"/>
        </w:rPr>
        <w:t>Row of 6 high-contrast KPI cards showcasing the core numbers (2,207 Projects, ₹41.78 L Cr, 93.3% Conformal Coverage, 8.7 ms Solver, 1.65× Evasion Discontinuity, 71.8% Sovereign Geocode).</w:t>
      </w:r>
    </w:p>
    <w:p>
      <w:pPr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Left Column (32% Width - Strategic Text): </w:t>
      </w:r>
      <w:r>
        <w:rPr>
          <w:rFonts w:ascii="Calibri" w:hAnsi="Calibri"/>
          <w:color w:val="334155"/>
          <w:sz w:val="20"/>
        </w:rPr>
        <w:t>Houses the 5 Systemic Infrastructure Failure Modes (concise 1-2 line summaries) and the compact Before vs After Evaluation Table. High typographic contrast against dark slate background.</w:t>
      </w:r>
    </w:p>
    <w:p>
      <w:pPr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Center-Right Top (30% Height - Visual Evidence): </w:t>
      </w:r>
      <w:r>
        <w:rPr>
          <w:rFonts w:ascii="Calibri" w:hAnsi="Calibri"/>
          <w:color w:val="334155"/>
          <w:sz w:val="20"/>
        </w:rPr>
        <w:t>Two forensic charts side-by-side: (1) McCrary Density Discontinuity Histogram highlighting the 20% CCEA evasion cliff, and (2) Kaal-Chakra Survival Probabilistic Fan Chart showing P10–P95 curves vs the optimistic DPR dot.</w:t>
      </w:r>
    </w:p>
    <w:p>
      <w:pPr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Center-Right Bottom (25% Height - Innovation Flow): </w:t>
      </w:r>
      <w:r>
        <w:rPr>
          <w:rFonts w:ascii="Calibri" w:hAnsi="Calibri"/>
          <w:color w:val="334155"/>
          <w:sz w:val="20"/>
        </w:rPr>
        <w:t>The 5-stage interconnected Architectural Pipeline showing data transformation from Raw Ingestion to In-Memory Clean to Analytics Engines to Prescriptive LP to Executive PRAGATI Briefings.</w:t>
      </w:r>
    </w:p>
    <w:p>
      <w:pPr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Bottom Sovereign Strip (5% Height): </w:t>
      </w:r>
      <w:r>
        <w:rPr>
          <w:rFonts w:ascii="Calibri" w:hAnsi="Calibri"/>
          <w:color w:val="334155"/>
          <w:sz w:val="20"/>
        </w:rPr>
        <w:t>Displays the Zero-Trust / Zero-Hallucination sovereign security badge, RFC 8785 Merkle compliance, and open-source HiGHS solver accreditation.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B192C"/>
          <w:sz w:val="28"/>
        </w:rPr>
        <w:t>7. Winning Jury Q&amp;A Combat Guide (CLAIMS Reconciled)</w:t>
      </w:r>
    </w:p>
    <w:p>
      <w:pPr>
        <w:spacing w:before="20" w:after="60" w:line="276" w:lineRule="auto"/>
      </w:pPr>
      <w:r>
        <w:rPr>
          <w:rFonts w:ascii="Calibri" w:hAnsi="Calibri"/>
          <w:color w:val="334155"/>
          <w:sz w:val="20"/>
        </w:rPr>
        <w:t>Rock-solid answers to tough jury questions, preventing overclaiming while highlighting technical excellence:</w:t>
      </w:r>
    </w:p>
    <w:p>
      <w:pPr>
        <w:keepNext/>
        <w:spacing w:before="200" w:after="60"/>
      </w:pPr>
      <w:r>
        <w:rPr>
          <w:rFonts w:ascii="Calibri" w:hAnsi="Calibri"/>
          <w:b/>
          <w:color w:val="0284C7"/>
          <w:sz w:val="23"/>
        </w:rPr>
        <w:t>Q1: 'Why monitor 2,207 projects when the MoSPI flash report says 1,981 ongoing?'</w:t>
      </w:r>
    </w:p>
    <w:p>
      <w:pPr>
        <w:spacing w:before="20" w:after="80" w:line="276" w:lineRule="auto"/>
      </w:pPr>
      <w:r>
        <w:rPr>
          <w:rFonts w:ascii="Calibri" w:hAnsi="Calibri"/>
          <w:color w:val="0F172A"/>
          <w:sz w:val="19"/>
        </w:rPr>
        <w:t>Answer: '1,981 represents projects strictly in 'Ongoing' status during the single-month snapshot of April 2026. However, PAIMANA is a dynamic monthly portal. Our master catalog of 2,207 projects spans the full lifecycle across multi-month tracking: 1,823 active in-flight, 220 pre-construction pipeline, and 164 historically completed benchmarks. Completed projects are mathematically essential to train ML survival models without right-censoring bias.'</w:t>
      </w:r>
    </w:p>
    <w:p>
      <w:pPr>
        <w:keepNext/>
        <w:spacing w:before="200" w:after="60"/>
      </w:pPr>
      <w:r>
        <w:rPr>
          <w:rFonts w:ascii="Calibri" w:hAnsi="Calibri"/>
          <w:b/>
          <w:color w:val="0284C7"/>
          <w:sz w:val="23"/>
        </w:rPr>
        <w:t>Q2: 'Did you use an LLM like GPT-4 to predict project delays and costs?'</w:t>
      </w:r>
    </w:p>
    <w:p>
      <w:pPr>
        <w:spacing w:before="20" w:after="80" w:line="276" w:lineRule="auto"/>
      </w:pPr>
      <w:r>
        <w:rPr>
          <w:rFonts w:ascii="Calibri" w:hAnsi="Calibri"/>
          <w:color w:val="0F172A"/>
          <w:sz w:val="19"/>
        </w:rPr>
        <w:t>Answer: 'Never. Public finance and cabinet-level monitoring cannot tolerate numerical hallucinations. In Prakalp Drishti, all timelines, quantiles, and cost predictions are computed deterministically using log-logistic survival analysis, gradient boosting, and two-stage linear programming. LLMs are strictly confined to generating bilingual text summaries backed by RFC 8785 SHA-256 Merkle tree verification.'</w:t>
      </w:r>
    </w:p>
    <w:p>
      <w:pPr>
        <w:keepNext/>
        <w:spacing w:before="200" w:after="60"/>
      </w:pPr>
      <w:r>
        <w:rPr>
          <w:rFonts w:ascii="Calibri" w:hAnsi="Calibri"/>
          <w:b/>
          <w:color w:val="0284C7"/>
          <w:sz w:val="23"/>
        </w:rPr>
        <w:t>Q3: 'Why did you formulate capital allocation as an LP rather than a complex MILP?'</w:t>
      </w:r>
    </w:p>
    <w:p>
      <w:pPr>
        <w:spacing w:before="20" w:after="80" w:line="276" w:lineRule="auto"/>
      </w:pPr>
      <w:r>
        <w:rPr>
          <w:rFonts w:ascii="Calibri" w:hAnsi="Calibri"/>
          <w:color w:val="0F172A"/>
          <w:sz w:val="19"/>
        </w:rPr>
        <w:t>Answer: 'An LP is deliberate and mathematically superior here: capital budget tranches are genuinely continuous, and continuous formulations yield valid dual variables (shadow prices: pi_budget). A MILP has no valid duals and could not defend marginal rupee return per constraint before the Cabinet. Solved in 8.7 ms on open-source HiGHS, it allows real-time interactive budget sliders.'</w:t>
      </w:r>
    </w:p>
    <w:p>
      <w:pPr>
        <w:keepNext/>
        <w:spacing w:before="200" w:after="60"/>
      </w:pPr>
      <w:r>
        <w:rPr>
          <w:rFonts w:ascii="Calibri" w:hAnsi="Calibri"/>
          <w:b/>
          <w:color w:val="0284C7"/>
          <w:sz w:val="23"/>
        </w:rPr>
        <w:t>Q4: 'Do you claim sub-meter satellite change detection?'</w:t>
      </w:r>
    </w:p>
    <w:p>
      <w:pPr>
        <w:spacing w:before="20" w:after="80" w:line="276" w:lineRule="auto"/>
      </w:pPr>
      <w:r>
        <w:rPr>
          <w:rFonts w:ascii="Calibri" w:hAnsi="Calibri"/>
          <w:color w:val="0F172A"/>
          <w:sz w:val="19"/>
        </w:rPr>
        <w:t>Answer: 'No. The measured ground sample distance of our Esri / Sentinel optical imagery is 2.08–2.35 m/px. Claiming sub-meter resolution from 2-meter pixels is sensor fabrication. We restrict our optical audit to defensible multi-pixel spectral differencing (ExG, VARI) and enforce a strict Verdict Withheld protocol during heavy cloud obstruction rather than penalizing contractors with false alarms.'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