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churn-mlops-pipeline"/>
    <w:p>
      <w:pPr>
        <w:pStyle w:val="Heading1"/>
      </w:pPr>
      <w:r>
        <w:t xml:space="preserve">Churn MLOps Pipeline</w:t>
      </w:r>
    </w:p>
    <w:p>
      <w:pPr>
        <w:pStyle w:val="FirstParagraph"/>
      </w:pPr>
      <w:r>
        <w:t xml:space="preserve">An end-to-end MLOps pipeline for customer churn prediction — real data,</w:t>
      </w:r>
      <w:r>
        <w:t xml:space="preserve"> </w:t>
      </w:r>
      <w:r>
        <w:t xml:space="preserve">tracked training runs, a served model, automated tests, containerization,</w:t>
      </w:r>
      <w:r>
        <w:t xml:space="preserve"> </w:t>
      </w:r>
      <w:r>
        <w:t xml:space="preserve">and live data-drift monitoring. Every metric below is a held-out test-set</w:t>
      </w:r>
      <w:r>
        <w:t xml:space="preserve"> </w:t>
      </w:r>
      <w:r>
        <w:t xml:space="preserve">number from an actual training run committed in this repo.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shboard" title="" id="21" name="Picture"/>
            <a:graphic>
              <a:graphicData uri="http://schemas.openxmlformats.org/drawingml/2006/picture">
                <pic:pic>
                  <pic:nvPicPr>
                    <pic:cNvPr descr="docs/screenshots/01-dashboard-metric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bookmarkStart w:id="24" w:name="what-mlops-means-in-this-project"/>
    <w:p>
      <w:pPr>
        <w:pStyle w:val="Heading2"/>
      </w:pPr>
      <w:r>
        <w:t xml:space="preserve">What</w:t>
      </w:r>
      <w:r>
        <w:t xml:space="preserve"> </w:t>
      </w:r>
      <w:r>
        <w:t xml:space="preserve">“MLOps”</w:t>
      </w:r>
      <w:r>
        <w:t xml:space="preserve"> </w:t>
      </w:r>
      <w:r>
        <w:t xml:space="preserve">means in this project</w:t>
      </w:r>
    </w:p>
    <w:p>
      <w:pPr>
        <w:pStyle w:val="FirstParagraph"/>
      </w:pPr>
      <w:r>
        <w:t xml:space="preserve">Not just</w:t>
      </w:r>
      <w:r>
        <w:t xml:space="preserve"> </w:t>
      </w:r>
      <w:r>
        <w:t xml:space="preserve">“a model in a notebook”</w:t>
      </w:r>
      <w:r>
        <w:t xml:space="preserve"> </w:t>
      </w:r>
      <w:r>
        <w:t xml:space="preserve">— the full loop: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tracking</w:t>
            </w:r>
          </w:p>
        </w:tc>
        <w:tc>
          <w:tcPr/>
          <w:p>
            <w:pPr>
              <w:pStyle w:val="Compact"/>
            </w:pPr>
            <w:r>
              <w:t xml:space="preserve">MLflow (local SQLite backend)</w:t>
            </w:r>
          </w:p>
        </w:tc>
        <w:tc>
          <w:tcPr/>
          <w:p>
            <w:pPr>
              <w:pStyle w:val="Compact"/>
            </w:pPr>
            <w:r>
              <w:t xml:space="preserve">Every training run logs params, metrics, and the model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serving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endpoint + interactive Swagger docs at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6 tests covering feature engineering, the API, and drift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Built and run-tested locally — see</w:t>
            </w:r>
            <w:r>
              <w:t xml:space="preserve"> </w:t>
            </w:r>
            <w:hyperlink r:id="rId23">
              <w:r>
                <w:rPr>
                  <w:rStyle w:val="VerbatimChar"/>
                </w:rPr>
                <w:t xml:space="preserve">Dockerfile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Lint (</w:t>
            </w:r>
            <w:r>
              <w:rPr>
                <w:rStyle w:val="VerbatimChar"/>
              </w:rPr>
              <w:t xml:space="preserve">ruff</w:t>
            </w:r>
            <w:r>
              <w:t xml:space="preserve">) → test (</w:t>
            </w:r>
            <w:r>
              <w:rPr>
                <w:rStyle w:val="VerbatimChar"/>
              </w:rPr>
              <w:t xml:space="preserve">pytest</w:t>
            </w:r>
            <w:r>
              <w:t xml:space="preserve">) → Docker build, on every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scipy KS-test</w:t>
            </w:r>
          </w:p>
        </w:tc>
        <w:tc>
          <w:tcPr/>
          <w:p>
            <w:pPr>
              <w:pStyle w:val="Compact"/>
            </w:pPr>
            <w:r>
              <w:t xml:space="preserve">Live drift dashboard comparing production batches to the training baseline</w:t>
            </w:r>
          </w:p>
        </w:tc>
      </w:tr>
    </w:tbl>
    <w:bookmarkEnd w:id="24"/>
    <w:bookmarkStart w:id="27" w:name="Xe23ad996a2f86eabcf00a7161530e303fedef77"/>
    <w:p>
      <w:pPr>
        <w:pStyle w:val="Heading2"/>
      </w:pPr>
      <w:r>
        <w:t xml:space="preserve">Model results (held-out test set, not training set)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95.1%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88.5%</w:t>
            </w:r>
          </w:p>
        </w:tc>
      </w:tr>
    </w:tbl>
    <w:p>
      <w:pPr>
        <w:pStyle w:val="BodyText"/>
      </w:pPr>
      <w:r>
        <w:t xml:space="preserve">Trained on the real</w:t>
      </w:r>
      <w:r>
        <w:t xml:space="preserve"> </w:t>
      </w:r>
      <w:hyperlink r:id="rId25">
        <w:r>
          <w:rPr>
            <w:rStyle w:val="Hyperlink"/>
          </w:rPr>
          <w:t xml:space="preserve">IBM Telco Customer Churn dataset</w:t>
        </w:r>
      </w:hyperlink>
      <w:r>
        <w:t xml:space="preserve"> </w:t>
      </w:r>
      <w:r>
        <w:t xml:space="preserve">(4,225 train / 1,409 validation / 1,409 test rows), a</w:t>
      </w:r>
      <w:r>
        <w:t xml:space="preserve"> </w:t>
      </w:r>
      <w:r>
        <w:rPr>
          <w:rStyle w:val="VerbatimChar"/>
        </w:rPr>
        <w:t xml:space="preserve">GradientBoostingClassifier</w:t>
      </w:r>
      <w:r>
        <w:t xml:space="preserve"> </w:t>
      </w:r>
      <w:r>
        <w:t xml:space="preserve">over 46 engineered features (tenure, contract type, charges, satisfaction</w:t>
      </w:r>
      <w:r>
        <w:t xml:space="preserve"> </w:t>
      </w:r>
      <w:r>
        <w:t xml:space="preserve">score, service add-ons). Full metrics and the per-run MLflow record are in</w:t>
      </w:r>
      <w:r>
        <w:t xml:space="preserve"> </w:t>
      </w:r>
      <w:hyperlink r:id="rId26">
        <w:r>
          <w:rPr>
            <w:rStyle w:val="VerbatimChar"/>
          </w:rPr>
          <w:t xml:space="preserve">docs/TECHNICAL.md</w:t>
        </w:r>
      </w:hyperlink>
      <w:r>
        <w:t xml:space="preserve">.</w:t>
      </w:r>
    </w:p>
    <w:bookmarkEnd w:id="27"/>
    <w:bookmarkStart w:id="31" w:name="data-drift-monitoring"/>
    <w:p>
      <w:pPr>
        <w:pStyle w:val="Heading2"/>
      </w:pPr>
      <w:r>
        <w:t xml:space="preserve">Data drift monitoring</w:t>
      </w:r>
    </w:p>
    <w:p>
      <w:pPr>
        <w:pStyle w:val="FirstParagraph"/>
      </w:pPr>
      <w:r>
        <w:t xml:space="preserve">The dashboard runs a two-sample Kolmogorov-Smirnov test on every numeric</w:t>
      </w:r>
      <w:r>
        <w:t xml:space="preserve"> </w:t>
      </w:r>
      <w:r>
        <w:t xml:space="preserve">feature, comparing the training-time distribution to a live batch. Checking</w:t>
      </w:r>
      <w:r>
        <w:t xml:space="preserve"> </w:t>
      </w:r>
      <w:r>
        <w:t xml:space="preserve">the real held-out test split correctly shows</w:t>
      </w:r>
      <w:r>
        <w:t xml:space="preserve"> </w:t>
      </w:r>
      <w:r>
        <w:rPr>
          <w:b/>
          <w:bCs/>
        </w:rPr>
        <w:t xml:space="preserve">no drift</w:t>
      </w:r>
      <w:r>
        <w:t xml:space="preserve">; a</w:t>
      </w:r>
      <w:r>
        <w:t xml:space="preserve"> </w:t>
      </w:r>
      <w:r>
        <w:t xml:space="preserve">“simulate 40%</w:t>
      </w:r>
      <w:r>
        <w:t xml:space="preserve"> </w:t>
      </w:r>
      <w:r>
        <w:t xml:space="preserve">shift”</w:t>
      </w:r>
      <w:r>
        <w:t xml:space="preserve"> </w:t>
      </w:r>
      <w:r>
        <w:t xml:space="preserve">button applies a synthetic shift to two features and the monitor</w:t>
      </w:r>
      <w:r>
        <w:t xml:space="preserve"> </w:t>
      </w:r>
      <w:r>
        <w:t xml:space="preserve">correctly flags exactly those two as drifted — proving the detector reacts</w:t>
      </w:r>
      <w:r>
        <w:t xml:space="preserve"> </w:t>
      </w:r>
      <w:r>
        <w:t xml:space="preserve">to real distributional change, not just a fixed message.</w:t>
      </w:r>
    </w:p>
    <w:p>
      <w:pPr>
        <w:pStyle w:val="CaptionedFigure"/>
      </w:pPr>
      <w:r>
        <w:drawing>
          <wp:inline>
            <wp:extent cx="5334000" cy="3422650"/>
            <wp:effectExtent b="0" l="0" r="0" t="0"/>
            <wp:docPr descr="Drift detected" title="" id="29" name="Picture"/>
            <a:graphic>
              <a:graphicData uri="http://schemas.openxmlformats.org/drawingml/2006/picture">
                <pic:pic>
                  <pic:nvPicPr>
                    <pic:cNvPr descr="docs/screenshots/02-drift-detect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Drift detected</w:t>
      </w:r>
    </w:p>
    <w:bookmarkEnd w:id="31"/>
    <w:bookmarkStart w:id="43" w:name="screenshots"/>
    <w:p>
      <w:pPr>
        <w:pStyle w:val="Heading2"/>
      </w:pPr>
      <w:r>
        <w:t xml:space="preserve">Screenshots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Drift simulation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1-dashboard-metric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2265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2-drift-detected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Swagger UI</w:t>
            </w:r>
          </w:p>
        </w:tc>
        <w:tc>
          <w:tcPr/>
          <w:p>
            <w:pPr>
              <w:pStyle w:val="Compact"/>
            </w:pPr>
            <w:r>
              <w:t xml:space="preserve">Live prediction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4-swagger-ui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1107175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5-swagger-predict-respons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71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More in</w:t>
      </w:r>
      <w:r>
        <w:t xml:space="preserve"> </w:t>
      </w:r>
      <w:hyperlink r:id="rId42">
        <w:r>
          <w:rPr>
            <w:rStyle w:val="VerbatimChar"/>
          </w:rPr>
          <w:t xml:space="preserve">docs/screenshots/</w:t>
        </w:r>
      </w:hyperlink>
      <w:r>
        <w:t xml:space="preserve">.</w:t>
      </w:r>
    </w:p>
    <w:bookmarkEnd w:id="43"/>
    <w:bookmarkStart w:id="46" w:name="quickstart"/>
    <w:p>
      <w:pPr>
        <w:pStyle w:val="Heading2"/>
      </w:pPr>
      <w:r>
        <w:t xml:space="preserve">Quickstart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model is already trained and committed under model/ - to retrain: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src/train.py</w:t>
      </w:r>
      <w:r>
        <w:br/>
      </w:r>
      <w:r>
        <w:br/>
      </w:r>
      <w:r>
        <w:rPr>
          <w:rStyle w:val="CommentTok"/>
        </w:rPr>
        <w:t xml:space="preserve"># run the drift monitor standalone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src/monitor.py</w:t>
      </w:r>
      <w:r>
        <w:br/>
      </w:r>
      <w:r>
        <w:br/>
      </w:r>
      <w:r>
        <w:rPr>
          <w:rStyle w:val="CommentTok"/>
        </w:rPr>
        <w:t xml:space="preserve"># serve the API + dashboard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api:app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rPr>
          <w:rStyle w:val="CommentTok"/>
        </w:rPr>
        <w:t xml:space="preserve"># open http://127.0.0.1:8000 for the dashboard, /docs for Swagger UI</w:t>
      </w:r>
    </w:p>
    <w:bookmarkStart w:id="44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churn-mlops-pipeline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churn-mlops-pipeline</w:t>
      </w:r>
    </w:p>
    <w:bookmarkEnd w:id="44"/>
    <w:bookmarkStart w:id="45" w:name="tests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ruff pytest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src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bookmarkEnd w:id="45"/>
    <w:bookmarkEnd w:id="46"/>
    <w:bookmarkStart w:id="47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churn-mlops-pipeline/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features.py       # shared feature engineering (train + serve use the same code)</w:t>
      </w:r>
      <w:r>
        <w:br/>
      </w:r>
      <w:r>
        <w:rPr>
          <w:rStyle w:val="VerbatimChar"/>
        </w:rPr>
        <w:t xml:space="preserve">│   ├── train.py          # trains the model, logs to MLflow, writes model/</w:t>
      </w:r>
      <w:r>
        <w:br/>
      </w:r>
      <w:r>
        <w:rPr>
          <w:rStyle w:val="VerbatimChar"/>
        </w:rPr>
        <w:t xml:space="preserve">│   ├── monitor.py        # KS-test drift detector</w:t>
      </w:r>
      <w:r>
        <w:br/>
      </w:r>
      <w:r>
        <w:rPr>
          <w:rStyle w:val="VerbatimChar"/>
        </w:rPr>
        <w:t xml:space="preserve">│   ├── api.py            # FastAPI app: /predict, /monitoring/*, dashboard</w:t>
      </w:r>
      <w:r>
        <w:br/>
      </w:r>
      <w:r>
        <w:rPr>
          <w:rStyle w:val="VerbatimChar"/>
        </w:rPr>
        <w:t xml:space="preserve">│   └── static/dashboard.html</w:t>
      </w:r>
      <w:r>
        <w:br/>
      </w:r>
      <w:r>
        <w:rPr>
          <w:rStyle w:val="VerbatimChar"/>
        </w:rPr>
        <w:t xml:space="preserve">├── tests/test_pipeline.py</w:t>
      </w:r>
      <w:r>
        <w:br/>
      </w:r>
      <w:r>
        <w:rPr>
          <w:rStyle w:val="VerbatimChar"/>
        </w:rPr>
        <w:t xml:space="preserve">├── data/                 # bundled real Telco churn CSVs (train/val/test)</w:t>
      </w:r>
      <w:r>
        <w:br/>
      </w:r>
      <w:r>
        <w:rPr>
          <w:rStyle w:val="VerbatimChar"/>
        </w:rPr>
        <w:t xml:space="preserve">├── model/                # trained model, metrics.json, training_baseline.json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.github/workflows/ci.yml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TECHNICAL.md</w:t>
      </w:r>
      <w:r>
        <w:br/>
      </w:r>
      <w:r>
        <w:rPr>
          <w:rStyle w:val="VerbatimChar"/>
        </w:rPr>
        <w:t xml:space="preserve">    └── screenshots/</w:t>
      </w:r>
    </w:p>
    <w:bookmarkEnd w:id="47"/>
    <w:bookmarkStart w:id="48" w:name="docs"/>
    <w:p>
      <w:pPr>
        <w:pStyle w:val="Heading2"/>
      </w:pPr>
      <w:r>
        <w:t xml:space="preserve">Docs</w:t>
      </w:r>
    </w:p>
    <w:p>
      <w:pPr>
        <w:pStyle w:val="FirstParagraph"/>
      </w:pPr>
      <w:r>
        <w:t xml:space="preserve">Full write-up of the feature pipeline, MLflow run details, drift-test</w:t>
      </w:r>
      <w:r>
        <w:t xml:space="preserve"> </w:t>
      </w:r>
      <w:r>
        <w:t xml:space="preserve">mechanics, and CI/CD design:</w:t>
      </w:r>
      <w:r>
        <w:t xml:space="preserve"> </w:t>
      </w:r>
      <w:hyperlink r:id="rId26">
        <w:r>
          <w:rPr>
            <w:rStyle w:val="VerbatimChar"/>
          </w:rPr>
          <w:t xml:space="preserve">docs/TECHNICAL.md</w:t>
        </w:r>
      </w:hyperlink>
      <w:r>
        <w:t xml:space="preserve">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hyperlink" Id="rId23" Target="Dockerfile" TargetMode="External" /><Relationship Type="http://schemas.openxmlformats.org/officeDocument/2006/relationships/hyperlink" Id="rId26" Target="docs/TECHNICAL.md" TargetMode="External" /><Relationship Type="http://schemas.openxmlformats.org/officeDocument/2006/relationships/hyperlink" Id="rId42" Target="docs/screenshots" TargetMode="External" /><Relationship Type="http://schemas.openxmlformats.org/officeDocument/2006/relationships/hyperlink" Id="rId25" Target="https://huggingface.co/datasets/aai510-group1/telco-customer-chur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ockerfile" TargetMode="External" /><Relationship Type="http://schemas.openxmlformats.org/officeDocument/2006/relationships/hyperlink" Id="rId26" Target="docs/TECHNICAL.md" TargetMode="External" /><Relationship Type="http://schemas.openxmlformats.org/officeDocument/2006/relationships/hyperlink" Id="rId42" Target="docs/screenshots" TargetMode="External" /><Relationship Type="http://schemas.openxmlformats.org/officeDocument/2006/relationships/hyperlink" Id="rId25" Target="https://huggingface.co/datasets/aai510-group1/telco-customer-chur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2026-08-05T02:15:06Z</dcterms:created>
  <dcterms:modified xsi:type="dcterms:W3CDTF">2026-08-05T02:15:06Z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