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lectricity-demand-forecasting"/>
    <w:p>
      <w:pPr>
        <w:pStyle w:val="Heading1"/>
      </w:pPr>
      <w:r>
        <w:t xml:space="preserve">Electricity Demand Forecasting</w:t>
      </w:r>
    </w:p>
    <w:p>
      <w:pPr>
        <w:pStyle w:val="FirstParagraph"/>
      </w:pPr>
      <w:r>
        <w:t xml:space="preserve">A time-series forecasting project on Spain’s real hourly electrical grid</w:t>
      </w:r>
      <w:r>
        <w:t xml:space="preserve"> </w:t>
      </w:r>
      <w:r>
        <w:t xml:space="preserve">load (2015–2018, 35,064 hours) — and the part that makes it more than a</w:t>
      </w:r>
      <w:r>
        <w:t xml:space="preserve"> </w:t>
      </w:r>
      <w:r>
        <w:t xml:space="preserve">typical forecasting demo: the model is benchmarked not just against a naive</w:t>
      </w:r>
      <w:r>
        <w:t xml:space="preserve"> </w:t>
      </w:r>
      <w:r>
        <w:t xml:space="preserve">baseline, but against</w:t>
      </w:r>
      <w:r>
        <w:t xml:space="preserve"> </w:t>
      </w:r>
      <w:r>
        <w:rPr>
          <w:b/>
          <w:bCs/>
        </w:rPr>
        <w:t xml:space="preserve">Spain’s actual transmission-system-operator (REE)</w:t>
      </w:r>
      <w:r>
        <w:rPr>
          <w:b/>
          <w:bCs/>
        </w:rPr>
        <w:t xml:space="preserve"> </w:t>
      </w:r>
      <w:r>
        <w:rPr>
          <w:b/>
          <w:bCs/>
        </w:rPr>
        <w:t xml:space="preserve">day-ahead forecast</w:t>
      </w:r>
      <w:r>
        <w:t xml:space="preserve">, which is already in the dataset. That’s a real,</w:t>
      </w:r>
      <w:r>
        <w:t xml:space="preserve"> </w:t>
      </w:r>
      <w:r>
        <w:t xml:space="preserve">professionally-produced forecast to compare against, not a synthetic one.</w:t>
      </w:r>
    </w:p>
    <w:p>
      <w:pPr>
        <w:pStyle w:val="CaptionedFigure"/>
      </w:pPr>
      <w:r>
        <w:drawing>
          <wp:inline>
            <wp:extent cx="5334000" cy="2755900"/>
            <wp:effectExtent b="0" l="0" r="0" t="0"/>
            <wp:docPr descr="Model comparison" title="" id="21" name="Picture"/>
            <a:graphic>
              <a:graphicData uri="http://schemas.openxmlformats.org/drawingml/2006/picture">
                <pic:pic>
                  <pic:nvPicPr>
                    <pic:cNvPr descr="docs/screenshots/01-model-comparis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bookmarkStart w:id="23" w:name="the-honest-result"/>
    <w:p>
      <w:pPr>
        <w:pStyle w:val="Heading2"/>
      </w:pPr>
      <w:r>
        <w:t xml:space="preserve">The honest 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Forecast source</w:t>
            </w:r>
          </w:p>
        </w:tc>
        <w:tc>
          <w:tcPr/>
          <w:p>
            <w:pPr>
              <w:pStyle w:val="Compact"/>
            </w:pPr>
            <w:r>
              <w:t xml:space="preserve">MAE (MW)</w:t>
            </w:r>
          </w:p>
        </w:tc>
        <w:tc>
          <w:tcPr/>
          <w:p>
            <w:pPr>
              <w:pStyle w:val="Compact"/>
            </w:pPr>
            <w:r>
              <w:t xml:space="preserve">RMSE (MW)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persistence (load 24h ago)</w:t>
            </w:r>
          </w:p>
        </w:tc>
        <w:tc>
          <w:tcPr/>
          <w:p>
            <w:pPr>
              <w:pStyle w:val="Compact"/>
            </w:pPr>
            <w:r>
              <w:t xml:space="preserve">2,464.62</w:t>
            </w:r>
          </w:p>
        </w:tc>
        <w:tc>
          <w:tcPr/>
          <w:p>
            <w:pPr>
              <w:pStyle w:val="Compact"/>
            </w:pPr>
            <w:r>
              <w:t xml:space="preserve">3,508.52</w:t>
            </w:r>
          </w:p>
        </w:tc>
        <w:tc>
          <w:tcPr/>
          <w:p>
            <w:pPr>
              <w:pStyle w:val="Compact"/>
            </w:pPr>
            <w:r>
              <w:t xml:space="preserve">8.573%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 model (Gradient Boosting)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1,126.45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1,585.34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Spain’s actual grid operator forecast (REE)</w:t>
            </w:r>
          </w:p>
        </w:tc>
        <w:tc>
          <w:tcPr/>
          <w:p>
            <w:pPr>
              <w:pStyle w:val="Compact"/>
            </w:pPr>
            <w:r>
              <w:t xml:space="preserve">259.62</w:t>
            </w:r>
          </w:p>
        </w:tc>
        <w:tc>
          <w:tcPr/>
          <w:p>
            <w:pPr>
              <w:pStyle w:val="Compact"/>
            </w:pPr>
            <w:r>
              <w:t xml:space="preserve">378.30</w:t>
            </w:r>
          </w:p>
        </w:tc>
        <w:tc>
          <w:tcPr/>
          <w:p>
            <w:pPr>
              <w:pStyle w:val="Compact"/>
            </w:pPr>
            <w:r>
              <w:t xml:space="preserve">0.898%</w:t>
            </w:r>
          </w:p>
        </w:tc>
      </w:tr>
    </w:tbl>
    <w:p>
      <w:pPr>
        <w:pStyle w:val="BodyText"/>
      </w:pPr>
      <w:r>
        <w:t xml:space="preserve">Our model — trained only on calendar features (hour, day-of-week, month) and</w:t>
      </w:r>
      <w:r>
        <w:t xml:space="preserve"> </w:t>
      </w:r>
      <w:r>
        <w:t xml:space="preserve">load lags/rolling means, no weather data —</w:t>
      </w:r>
      <w:r>
        <w:t xml:space="preserve"> </w:t>
      </w:r>
      <w:r>
        <w:rPr>
          <w:b/>
          <w:bCs/>
        </w:rPr>
        <w:t xml:space="preserve">roughly halves the naive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baseline’s error</w:t>
      </w:r>
      <w:r>
        <w:t xml:space="preserve">. But Spain’s real grid operator, which has access to</w:t>
      </w:r>
      <w:r>
        <w:t xml:space="preserve"> </w:t>
      </w:r>
      <w:r>
        <w:t xml:space="preserve">weather forecasts and years of domain-specific tuning, is still about</w:t>
      </w:r>
      <w:r>
        <w:t xml:space="preserve"> </w:t>
      </w:r>
      <w:r>
        <w:rPr>
          <w:b/>
          <w:bCs/>
        </w:rPr>
        <w:t xml:space="preserve">4x</w:t>
      </w:r>
      <w:r>
        <w:rPr>
          <w:b/>
          <w:bCs/>
        </w:rPr>
        <w:t xml:space="preserve"> </w:t>
      </w:r>
      <w:r>
        <w:rPr>
          <w:b/>
          <w:bCs/>
        </w:rPr>
        <w:t xml:space="preserve">more accurate</w:t>
      </w:r>
      <w:r>
        <w:t xml:space="preserve">. Both numbers are reported side by side rather than</w:t>
      </w:r>
      <w:r>
        <w:t xml:space="preserve"> </w:t>
      </w:r>
      <w:r>
        <w:t xml:space="preserve">comparing only against the baseline that makes the model look best.</w:t>
      </w:r>
    </w:p>
    <w:bookmarkEnd w:id="23"/>
    <w:bookmarkStart w:id="24" w:name="X060bc0c71494147b17b5878673c04b77c046981"/>
    <w:p>
      <w:pPr>
        <w:pStyle w:val="Heading2"/>
      </w:pPr>
      <w:r>
        <w:t xml:space="preserve">Why this matters more than a single accuracy number</w:t>
      </w:r>
    </w:p>
    <w:p>
      <w:pPr>
        <w:pStyle w:val="FirstParagraph"/>
      </w:pPr>
      <w:r>
        <w:t xml:space="preserve">Anyone can report</w:t>
      </w:r>
      <w:r>
        <w:t xml:space="preserve"> </w:t>
      </w:r>
      <w:r>
        <w:t xml:space="preserve">“my model gets X% MAPE.”</w:t>
      </w:r>
      <w:r>
        <w:t xml:space="preserve"> </w:t>
      </w:r>
      <w:r>
        <w:t xml:space="preserve">Whether that’s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depends</w:t>
      </w:r>
      <w:r>
        <w:t xml:space="preserve"> </w:t>
      </w:r>
      <w:r>
        <w:t xml:space="preserve">entirely on what it’s being compared to. This project makes that comparison</w:t>
      </w:r>
      <w:r>
        <w:t xml:space="preserve"> </w:t>
      </w:r>
      <w:r>
        <w:t xml:space="preserve">concrete and real:</w:t>
      </w:r>
      <w:r>
        <w:t xml:space="preserve"> </w:t>
      </w:r>
      <w:r>
        <w:t xml:space="preserve">- Beats a naive baseline decisively → the model is learning genuine</w:t>
      </w:r>
      <w:r>
        <w:t xml:space="preserve"> </w:t>
      </w:r>
      <w:r>
        <w:t xml:space="preserve">structure (daily/weekly cycles, recent load momentum).</w:t>
      </w:r>
      <w:r>
        <w:t xml:space="preserve"> </w:t>
      </w:r>
      <w:r>
        <w:t xml:space="preserve">- Loses to a domain-specialist forecast with more inputs → an honest</w:t>
      </w:r>
      <w:r>
        <w:t xml:space="preserve"> </w:t>
      </w:r>
      <w:r>
        <w:t xml:space="preserve">ceiling, and a plausible explanation (no weather data) rather than a</w:t>
      </w:r>
      <w:r>
        <w:t xml:space="preserve"> </w:t>
      </w:r>
      <w:r>
        <w:t xml:space="preserve">vague excuse.</w:t>
      </w:r>
    </w:p>
    <w:bookmarkEnd w:id="24"/>
    <w:bookmarkStart w:id="35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One week: actual vs. predicted</w:t>
            </w:r>
          </w:p>
        </w:tc>
        <w:tc>
          <w:tcPr/>
          <w:p>
            <w:pPr>
              <w:pStyle w:val="Compact"/>
            </w:pPr>
            <w:r>
              <w:t xml:space="preserve">Error distribution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0004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forecast-week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400049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3-error-distribution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 day chart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00049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4-live-day-char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More in</w:t>
      </w:r>
      <w:r>
        <w:t xml:space="preserve"> </w:t>
      </w:r>
      <w:hyperlink r:id="rId34">
        <w:r>
          <w:rPr>
            <w:rStyle w:val="VerbatimChar"/>
          </w:rPr>
          <w:t xml:space="preserve">docs/screenshots/</w:t>
        </w:r>
      </w:hyperlink>
      <w:r>
        <w:t xml:space="preserve">.</w:t>
      </w:r>
    </w:p>
    <w:bookmarkEnd w:id="35"/>
    <w:bookmarkStart w:id="36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Modeling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  <w:r>
              <w:t xml:space="preserve"> </w:t>
            </w:r>
            <w:r>
              <w:rPr>
                <w:rStyle w:val="VerbatimChar"/>
              </w:rPr>
              <w:t xml:space="preserve">GradientBoostingRegressor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</w:t>
            </w:r>
          </w:p>
        </w:tc>
        <w:tc>
          <w:tcPr/>
          <w:p>
            <w:pPr>
              <w:pStyle w:val="Compact"/>
            </w:pPr>
            <w:r>
              <w:t xml:space="preserve">pandas (lag features, rolling means, calendar features)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matplotlib + seaborn (static), vanilla Canvas (live demo chart)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</w:tr>
    </w:tbl>
    <w:bookmarkEnd w:id="36"/>
    <w:bookmarkStart w:id="37" w:name="quickstart"/>
    <w:p>
      <w:pPr>
        <w:pStyle w:val="Heading2"/>
      </w:pPr>
      <w:r>
        <w:t xml:space="preserve">Quickstart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model + charts are already generated and committed - to regenerate: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src/train.py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src/charts.py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 xml:space="preserve"># open http://127.0.0.1:5300</w:t>
      </w:r>
    </w:p>
    <w:bookmarkEnd w:id="37"/>
    <w:bookmarkStart w:id="3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energy-demand-forecasting/</w:t>
      </w:r>
      <w:r>
        <w:br/>
      </w:r>
      <w:r>
        <w:rPr>
          <w:rStyle w:val="VerbatimChar"/>
        </w:rPr>
        <w:t xml:space="preserve">├── app.py                  # Flask dashboard + /api/sample-day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features.py          # lag/rolling/calendar feature engineering</w:t>
      </w:r>
      <w:r>
        <w:br/>
      </w:r>
      <w:r>
        <w:rPr>
          <w:rStyle w:val="VerbatimChar"/>
        </w:rPr>
        <w:t xml:space="preserve">│   ├── train.py              # trains model, benchmarks vs. naive + grid operator</w:t>
      </w:r>
      <w:r>
        <w:br/>
      </w:r>
      <w:r>
        <w:rPr>
          <w:rStyle w:val="VerbatimChar"/>
        </w:rPr>
        <w:t xml:space="preserve">│   ├── charts.py              # generates static PNG charts</w:t>
      </w:r>
      <w:r>
        <w:br/>
      </w:r>
      <w:r>
        <w:rPr>
          <w:rStyle w:val="VerbatimChar"/>
        </w:rPr>
        <w:t xml:space="preserve">│   └── download_data.py       # optional: regenerate data/ from Hugging Face</w:t>
      </w:r>
      <w:r>
        <w:br/>
      </w:r>
      <w:r>
        <w:rPr>
          <w:rStyle w:val="VerbatimChar"/>
        </w:rPr>
        <w:t xml:space="preserve">├── data/                    # bundled real Spain ENTSO-E hourly grid data</w:t>
      </w:r>
      <w:r>
        <w:br/>
      </w:r>
      <w:r>
        <w:rPr>
          <w:rStyle w:val="VerbatimChar"/>
        </w:rPr>
        <w:t xml:space="preserve">├── model/                   # trained model, metrics.json, test_predictions.csv</w:t>
      </w:r>
      <w:r>
        <w:br/>
      </w:r>
      <w:r>
        <w:rPr>
          <w:rStyle w:val="VerbatimChar"/>
        </w:rPr>
        <w:t xml:space="preserve">├── static/, templates/     # UI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TECHNICAL.md</w:t>
      </w:r>
      <w:r>
        <w:br/>
      </w:r>
      <w:r>
        <w:rPr>
          <w:rStyle w:val="VerbatimChar"/>
        </w:rPr>
        <w:t xml:space="preserve">    └── screenshots/</w:t>
      </w:r>
    </w:p>
    <w:bookmarkEnd w:id="38"/>
    <w:bookmarkStart w:id="40" w:name="docs"/>
    <w:p>
      <w:pPr>
        <w:pStyle w:val="Heading2"/>
      </w:pPr>
      <w:r>
        <w:t xml:space="preserve">Docs</w:t>
      </w:r>
    </w:p>
    <w:p>
      <w:pPr>
        <w:pStyle w:val="FirstParagraph"/>
      </w:pPr>
      <w:r>
        <w:t xml:space="preserve">Full methodology — feature design, the time-ordered split rationale, and</w:t>
      </w:r>
      <w:r>
        <w:t xml:space="preserve"> </w:t>
      </w:r>
      <w:r>
        <w:t xml:space="preserve">the operator-forecast benchmark — in</w:t>
      </w:r>
      <w:r>
        <w:t xml:space="preserve"> </w:t>
      </w:r>
      <w:hyperlink r:id="rId39">
        <w:r>
          <w:rPr>
            <w:rStyle w:val="VerbatimChar"/>
          </w:rPr>
          <w:t xml:space="preserve">docs/TECHNICAL.md</w:t>
        </w:r>
      </w:hyperlink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9" Target="docs/TECHNICAL.md" TargetMode="External" /><Relationship Type="http://schemas.openxmlformats.org/officeDocument/2006/relationships/hyperlink" Id="rId34" Target="docs/screensho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ocs/TECHNICAL.md" TargetMode="External" /><Relationship Type="http://schemas.openxmlformats.org/officeDocument/2006/relationships/hyperlink" Id="rId34" Target="docs/screensho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2026-08-05T02:15:04Z</dcterms:created>
  <dcterms:modified xsi:type="dcterms:W3CDTF">2026-08-05T02:15:04Z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