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5E4F" w:sz="12" w:space="6"/>
        </w:pBdr>
        <w:spacing w:after="60"/>
      </w:pPr>
      <w:r>
        <w:rPr>
          <w:b/>
          <w:bCs/>
          <w:color w:val="1A1A1A"/>
          <w:sz w:val="34"/>
          <w:szCs w:val="34"/>
        </w:rPr>
        <w:t xml:space="preserve">Ready Systems ERP — POC &amp; Phasing Plan</w:t>
      </w:r>
    </w:p>
    <w:p>
      <w:pPr>
        <w:spacing w:after="40"/>
      </w:pPr>
      <w:r>
        <w:rPr>
          <w:i/>
          <w:iCs/>
          <w:color w:val="0B5E4F"/>
          <w:sz w:val="22"/>
          <w:szCs w:val="22"/>
        </w:rPr>
        <w:t xml:space="preserve">How we build it, in phases — starting with a proof-of-concept on real data</w:t>
      </w:r>
    </w:p>
    <w:p>
      <w:pPr>
        <w:spacing w:after="200"/>
      </w:pPr>
      <w:r>
        <w:rPr>
          <w:color w:val="555555"/>
          <w:sz w:val="18"/>
          <w:szCs w:val="18"/>
        </w:rPr>
        <w:t xml:space="preserve">Partner discussion doc · Yuuktiq Smart-Manufacturing practice · panel &amp; wire-harness domain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FD8" w:sz="1"/>
              <w:left w:val="single" w:color="B45309" w:sz="18"/>
              <w:bottom w:val="single" w:color="FBEFD8" w:sz="1"/>
              <w:right w:val="single" w:color="FBEFD8" w:sz="1"/>
            </w:tcBorders>
            <w:shd w:fill="FBEFD8" w:val="clear"/>
            <w:tcMar>
              <w:top w:type="dxa" w:w="130"/>
              <w:left w:type="dxa" w:w="180"/>
              <w:bottom w:type="dxa" w:w="130"/>
              <w:right w:type="dxa" w:w="160"/>
            </w:tcMar>
          </w:tcPr>
          <w:p>
            <w:pPr>
              <w:spacing w:after="60"/>
            </w:pPr>
            <w:r>
              <w:rPr>
                <w:b/>
                <w:bCs/>
                <w:color w:val="B45309"/>
                <w:sz w:val="22"/>
                <w:szCs w:val="22"/>
              </w:rPr>
              <w:t xml:space="preserve">WHAT WE’RE PROPOSING IN ONE PARAGRAPH</w:t>
            </w:r>
          </w:p>
          <w:p>
            <w:pPr>
              <w:spacing w:after="44"/>
            </w:pPr>
            <w:r>
              <w:rPr>
                <w:color w:val="1A1A1A"/>
                <w:sz w:val="21"/>
                <w:szCs w:val="21"/>
              </w:rPr>
              <w:t xml:space="preserve">We build a domain-specific ERP for Ready Systems — panel &amp; harness contract assembly for Siemens — covering four modules they asked for: Planning/BOM, Purchase, Stores, and Quality, with Tally kept for accounting. We do it in two big phases: PHASE 1 brings everything online (replacing registers + Excel), PHASE 2 adds the intelligence layer (QR/invoice scan, auto-data-capture, analytics). Before either, we build a small POC that proves the hardest, highest-value piece — the costing engine — on their real orders. Free pilot, prototype-first, graceful exit.</w:t>
            </w:r>
          </w:p>
        </w:tc>
      </w:tr>
    </w:tbl>
    <w:p>
      <w:pPr>
        <w:spacing w:after="140"/>
      </w:pPr>
      <w:r>
        <w:t xml:space="preserve"/>
      </w:r>
    </w:p>
    <w:p>
      <w:pPr>
        <w:pStyle w:val="Heading1"/>
      </w:pPr>
      <w:r>
        <w:t xml:space="preserve">1. Why this, why now</w:t>
      </w:r>
    </w:p>
    <w:p>
      <w:pPr>
        <w:spacing w:after="120" w:line="278"/>
      </w:pPr>
      <w:r>
        <w:rPr>
          <w:color w:val="1A1A1A"/>
          <w:sz w:val="22"/>
          <w:szCs w:val="22"/>
        </w:rPr>
        <w:t xml:space="preserve">Everything at Ready Systems runs on registers and Excel today. It works — but it has four costs: it’s slow (quoting depends on one person’s memory), it’s fragile (one Excel file, lost rows, no backup), it’s invisible (no live view of stock or job status), and it’s hard to audit (paper quality records). None of these are about how they BUILD — they’re experts at that. They’re about the paperwork and coordination around the build. That’s exactly where software wins.</w:t>
      </w:r>
    </w:p>
    <w:p>
      <w:pPr>
        <w:spacing w:after="120" w:line="278"/>
      </w:pPr>
      <w:r>
        <w:rPr>
          <w:color w:val="1A1A1A"/>
          <w:sz w:val="22"/>
          <w:szCs w:val="22"/>
        </w:rPr>
        <w:t xml:space="preserve">We already understand their world deeply: we’ve studied their inward register, their controlled quality plans, and their Siemens order tracker, and we’ve decoded the Siemens RMU configuration codes from the manufacturer’s own catalogue. We’re not starting from zero — we’re starting from their reality.</w:t>
      </w:r>
    </w:p>
    <w:p>
      <w:pPr>
        <w:spacing w:after="140"/>
      </w:pPr>
      <w:r>
        <w:t xml:space="preserve"/>
      </w:r>
    </w:p>
    <w:p>
      <w:pPr>
        <w:pStyle w:val="Heading1"/>
      </w:pPr>
      <w:r>
        <w:t xml:space="preserve">2. The two-phase vision</w:t>
      </w:r>
    </w:p>
    <w:p>
      <w:pPr>
        <w:spacing w:after="120" w:line="278"/>
      </w:pPr>
      <w:r>
        <w:rPr>
          <w:color w:val="1A1A1A"/>
          <w:sz w:val="22"/>
          <w:szCs w:val="22"/>
        </w:rPr>
        <w:t xml:space="preserve">This is the big-picture roadmap. It mirrors how we think about owning the pre-digital factory first, then layering intelligence on top.</w:t>
      </w:r>
    </w:p>
    <w:p>
      <w:pPr>
        <w:pStyle w:val="Heading2"/>
      </w:pPr>
      <w:r>
        <w:t xml:space="preserve">Phase 1 — Bring everything online (the foundation)</w:t>
      </w:r>
    </w:p>
    <w:p>
      <w:pPr>
        <w:spacing w:after="120" w:line="278"/>
      </w:pPr>
      <w:r>
        <w:rPr>
          <w:color w:val="1A1A1A"/>
          <w:sz w:val="22"/>
          <w:szCs w:val="22"/>
        </w:rPr>
        <w:t xml:space="preserve">Goal: every register and Excel sheet becomes a connected digital system. Nothing changes about HOW they work — it just becomes digital, searchable, backed-up, and connected.</w:t>
      </w:r>
    </w:p>
    <w:p>
      <w:pPr>
        <w:pStyle w:val="ListParagraph"/>
        <w:numPr>
          <w:ilvl w:val="0"/>
          <w:numId w:val="2"/>
        </w:numPr>
        <w:spacing w:after="58" w:line="266"/>
      </w:pPr>
      <w:r>
        <w:rPr>
          <w:color w:val="1A1A1A"/>
          <w:sz w:val="22"/>
          <w:szCs w:val="22"/>
        </w:rPr>
        <w:t xml:space="preserve">Planning/BOM: orders, final BOM, costing, quotes — the order master replaces the Siemens-orders Excel.</w:t>
      </w:r>
    </w:p>
    <w:p>
      <w:pPr>
        <w:pStyle w:val="ListParagraph"/>
        <w:numPr>
          <w:ilvl w:val="0"/>
          <w:numId w:val="2"/>
        </w:numPr>
        <w:spacing w:after="58" w:line="266"/>
      </w:pPr>
      <w:r>
        <w:rPr>
          <w:color w:val="1A1A1A"/>
          <w:sz w:val="22"/>
          <w:szCs w:val="22"/>
        </w:rPr>
        <w:t xml:space="preserve">Purchase: POs to suppliers, triggered from the BOM.</w:t>
      </w:r>
    </w:p>
    <w:p>
      <w:pPr>
        <w:pStyle w:val="ListParagraph"/>
        <w:numPr>
          <w:ilvl w:val="0"/>
          <w:numId w:val="2"/>
        </w:numPr>
        <w:spacing w:after="58" w:line="266"/>
      </w:pPr>
      <w:r>
        <w:rPr>
          <w:color w:val="1A1A1A"/>
          <w:sz w:val="22"/>
          <w:szCs w:val="22"/>
        </w:rPr>
        <w:t xml:space="preserve">Stores: goods inward (their register, digitized) + running stock + issue-to-job.</w:t>
      </w:r>
    </w:p>
    <w:p>
      <w:pPr>
        <w:pStyle w:val="ListParagraph"/>
        <w:numPr>
          <w:ilvl w:val="0"/>
          <w:numId w:val="2"/>
        </w:numPr>
        <w:spacing w:after="58" w:line="266"/>
      </w:pPr>
      <w:r>
        <w:rPr>
          <w:color w:val="1A1A1A"/>
          <w:sz w:val="22"/>
          <w:szCs w:val="22"/>
        </w:rPr>
        <w:t xml:space="preserve">Quality: their controlled quality plans + records, audit-ready.</w:t>
      </w:r>
    </w:p>
    <w:p>
      <w:pPr>
        <w:pStyle w:val="ListParagraph"/>
        <w:numPr>
          <w:ilvl w:val="0"/>
          <w:numId w:val="2"/>
        </w:numPr>
        <w:spacing w:after="58" w:line="266"/>
      </w:pPr>
      <w:r>
        <w:rPr>
          <w:color w:val="1A1A1A"/>
          <w:sz w:val="22"/>
          <w:szCs w:val="22"/>
        </w:rPr>
        <w:t xml:space="preserve">All four connected by one job ID (the Siemens W/O No), with Tally kept for accounting.</w:t>
      </w:r>
    </w:p>
    <w:p>
      <w:pPr>
        <w:pStyle w:val="Heading2"/>
      </w:pPr>
      <w:r>
        <w:t xml:space="preserve">Phase 2 — The intelligence layer (the leap)</w:t>
      </w:r>
    </w:p>
    <w:p>
      <w:pPr>
        <w:spacing w:after="120" w:line="278"/>
      </w:pPr>
      <w:r>
        <w:rPr>
          <w:color w:val="1A1A1A"/>
          <w:sz w:val="22"/>
          <w:szCs w:val="22"/>
        </w:rPr>
        <w:t xml:space="preserve">Goal: stop typing what a machine can read. Once data is online, make the system smart.</w:t>
      </w:r>
    </w:p>
    <w:p>
      <w:pPr>
        <w:pStyle w:val="ListParagraph"/>
        <w:numPr>
          <w:ilvl w:val="0"/>
          <w:numId w:val="2"/>
        </w:numPr>
        <w:spacing w:after="58" w:line="266"/>
      </w:pPr>
      <w:r>
        <w:rPr>
          <w:color w:val="1A1A1A"/>
          <w:sz w:val="22"/>
          <w:szCs w:val="22"/>
        </w:rPr>
        <w:t xml:space="preserve">QR / invoice scan: scan a supplier invoice or challan → quantities, rates, items auto-fill into Stores. No manual entry.</w:t>
      </w:r>
    </w:p>
    <w:p>
      <w:pPr>
        <w:pStyle w:val="ListParagraph"/>
        <w:numPr>
          <w:ilvl w:val="0"/>
          <w:numId w:val="2"/>
        </w:numPr>
        <w:spacing w:after="58" w:line="266"/>
      </w:pPr>
      <w:r>
        <w:rPr>
          <w:color w:val="1A1A1A"/>
          <w:sz w:val="22"/>
          <w:szCs w:val="22"/>
        </w:rPr>
        <w:t xml:space="preserve">Auto-capture across modules: same idea for purchase receipts, BOM imports, QC inputs.</w:t>
      </w:r>
    </w:p>
    <w:p>
      <w:pPr>
        <w:pStyle w:val="ListParagraph"/>
        <w:numPr>
          <w:ilvl w:val="0"/>
          <w:numId w:val="2"/>
        </w:numPr>
        <w:spacing w:after="58" w:line="266"/>
      </w:pPr>
      <w:r>
        <w:rPr>
          <w:color w:val="1A1A1A"/>
          <w:sz w:val="22"/>
          <w:szCs w:val="22"/>
        </w:rPr>
        <w:t xml:space="preserve">Analytics: quoting turnaround, stock trends, supplier quality history, estimate-vs-actual cost.</w:t>
      </w:r>
    </w:p>
    <w:p>
      <w:pPr>
        <w:pStyle w:val="ListParagraph"/>
        <w:numPr>
          <w:ilvl w:val="0"/>
          <w:numId w:val="2"/>
        </w:numPr>
        <w:spacing w:after="58" w:line="266"/>
      </w:pPr>
      <w:r>
        <w:rPr>
          <w:color w:val="1A1A1A"/>
          <w:sz w:val="22"/>
          <w:szCs w:val="22"/>
        </w:rPr>
        <w:t xml:space="preserve">Smart costing: the engine learns from past orders — 'this config usually costs X' — to speed quotes further.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1EE" w:sz="1"/>
              <w:left w:val="single" w:color="0B5E4F" w:sz="18"/>
              <w:bottom w:val="single" w:color="E8F1EE" w:sz="1"/>
              <w:right w:val="single" w:color="E8F1EE" w:sz="1"/>
            </w:tcBorders>
            <w:shd w:fill="E8F1EE" w:val="clear"/>
            <w:tcMar>
              <w:top w:type="dxa" w:w="130"/>
              <w:left w:type="dxa" w:w="180"/>
              <w:bottom w:type="dxa" w:w="130"/>
              <w:right w:type="dxa" w:w="160"/>
            </w:tcMar>
          </w:tcPr>
          <w:p>
            <w:pPr>
              <w:spacing w:after="60"/>
            </w:pPr>
            <w:r>
              <w:rPr>
                <w:b/>
                <w:bCs/>
                <w:color w:val="0B5E4F"/>
                <w:sz w:val="22"/>
                <w:szCs w:val="22"/>
              </w:rPr>
              <w:t xml:space="preserve">Why this order is right</w:t>
            </w:r>
          </w:p>
          <w:p>
            <w:pPr>
              <w:spacing w:after="44"/>
            </w:pPr>
            <w:r>
              <w:rPr>
                <w:color w:val="1A1A1A"/>
                <w:sz w:val="21"/>
                <w:szCs w:val="21"/>
              </w:rPr>
              <w:t xml:space="preserve">Intelligence needs data to be intelligent ABOUT. You can’t scan-to-fill a system that doesn’t exist yet. Phase 1 creates the digital foundation; Phase 2 makes it smart. Doing them in this order means every step delivers value on its own — they get a working system after Phase 1, not a half-thing waiting for Phase 2.</w:t>
            </w:r>
          </w:p>
        </w:tc>
      </w:tr>
    </w:tbl>
    <w:p>
      <w:pPr>
        <w:spacing w:after="140"/>
      </w:pPr>
      <w:r>
        <w:t xml:space="preserve"/>
      </w:r>
    </w:p>
    <w:p>
      <w:pPr>
        <w:pStyle w:val="Heading1"/>
      </w:pPr>
      <w:r>
        <w:t xml:space="preserve">3. But first — the POC</w:t>
      </w:r>
    </w:p>
    <w:p>
      <w:pPr>
        <w:spacing w:after="120" w:line="278"/>
      </w:pPr>
      <w:r>
        <w:rPr>
          <w:color w:val="1A1A1A"/>
          <w:sz w:val="22"/>
          <w:szCs w:val="22"/>
        </w:rPr>
        <w:t xml:space="preserve">Before committing to the full Phase 1 build, we prove the concept with a small, focused POC. The rule: prove the RISKIEST, HIGHEST-VALUE thing first — not a thin slice of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1EE" w:sz="1"/>
              <w:left w:val="single" w:color="5B3A8E" w:sz="18"/>
              <w:bottom w:val="single" w:color="E8F1EE" w:sz="1"/>
              <w:right w:val="single" w:color="E8F1EE" w:sz="1"/>
            </w:tcBorders>
            <w:shd w:fill="E8F1EE" w:val="clear"/>
            <w:tcMar>
              <w:top w:type="dxa" w:w="130"/>
              <w:left w:type="dxa" w:w="180"/>
              <w:bottom w:type="dxa" w:w="130"/>
              <w:right w:type="dxa" w:w="160"/>
            </w:tcMar>
          </w:tcPr>
          <w:p>
            <w:pPr>
              <w:spacing w:after="60"/>
            </w:pPr>
            <w:r>
              <w:rPr>
                <w:b/>
                <w:bCs/>
                <w:color w:val="5B3A8E"/>
                <w:sz w:val="22"/>
                <w:szCs w:val="22"/>
              </w:rPr>
              <w:t xml:space="preserve">What the POC proves: the costing engine</w:t>
            </w:r>
          </w:p>
          <w:p>
            <w:pPr>
              <w:spacing w:after="44"/>
            </w:pPr>
            <w:r>
              <w:rPr>
                <w:color w:val="1A1A1A"/>
                <w:sz w:val="21"/>
                <w:szCs w:val="21"/>
              </w:rPr>
              <w:t xml:space="preserve">The crown jewel of this whole system is the costing engine — turning a Siemens order (e.g. '8DJHST RRL+ME, motorised') into a harness BOM and a cost, FAST, without depending entirely on the owner’s memory. That’s the hardest part, the highest-value part, and the thing that makes them say 'we can’t go back'.</w:t>
            </w:r>
          </w:p>
          <w:p>
            <w:pPr>
              <w:spacing w:after="44"/>
            </w:pPr>
            <w:r>
              <w:rPr>
                <w:color w:val="1A1A1A"/>
                <w:sz w:val="21"/>
                <w:szCs w:val="21"/>
              </w:rPr>
              <w:t xml:space="preserve">If we prove THAT works on their real orders, everything else (which is just digitizing known forms) is low-risk by comparison. If it doesn’t, we’ve learned the most important thing cheaply.</w:t>
            </w:r>
          </w:p>
        </w:tc>
      </w:tr>
    </w:tbl>
    <w:p>
      <w:pPr>
        <w:spacing w:after="60"/>
      </w:pPr>
      <w:r>
        <w:t xml:space="preserve"/>
      </w:r>
    </w:p>
    <w:p>
      <w:pPr>
        <w:pStyle w:val="Heading2"/>
      </w:pPr>
      <w:r>
        <w:t xml:space="preserve">POC scope (small and sharp)</w:t>
      </w:r>
    </w:p>
    <w:p>
      <w:pPr>
        <w:pStyle w:val="ListParagraph"/>
        <w:numPr>
          <w:ilvl w:val="0"/>
          <w:numId w:val="2"/>
        </w:numPr>
        <w:spacing w:after="58" w:line="266"/>
      </w:pPr>
      <w:r>
        <w:rPr>
          <w:color w:val="1A1A1A"/>
          <w:sz w:val="22"/>
          <w:szCs w:val="22"/>
        </w:rPr>
        <w:t xml:space="preserve">Order master: enter/import an order like their Siemens sheet (W/O No, client, RMU type, config, motorised).</w:t>
      </w:r>
    </w:p>
    <w:p>
      <w:pPr>
        <w:pStyle w:val="ListParagraph"/>
        <w:numPr>
          <w:ilvl w:val="0"/>
          <w:numId w:val="2"/>
        </w:numPr>
        <w:spacing w:after="58" w:line="266"/>
      </w:pPr>
      <w:r>
        <w:rPr>
          <w:color w:val="1A1A1A"/>
          <w:sz w:val="22"/>
          <w:szCs w:val="22"/>
        </w:rPr>
        <w:t xml:space="preserve">Feeder library: the decoded Siemens configs (R/L/T/K + RRL, LRRL…), each linked to a harness set (lengths from the uncle).</w:t>
      </w:r>
    </w:p>
    <w:p>
      <w:pPr>
        <w:pStyle w:val="ListParagraph"/>
        <w:numPr>
          <w:ilvl w:val="0"/>
          <w:numId w:val="2"/>
        </w:numPr>
        <w:spacing w:after="58" w:line="266"/>
      </w:pPr>
      <w:r>
        <w:rPr>
          <w:color w:val="1A1A1A"/>
          <w:sz w:val="22"/>
          <w:szCs w:val="22"/>
        </w:rPr>
        <w:t xml:space="preserve">Costing engine: pick/parse the config → system assembles the harness BOM → applies material rates → shows the cost + a quote.</w:t>
      </w:r>
    </w:p>
    <w:p>
      <w:pPr>
        <w:pStyle w:val="ListParagraph"/>
        <w:numPr>
          <w:ilvl w:val="0"/>
          <w:numId w:val="2"/>
        </w:numPr>
        <w:spacing w:after="58" w:line="266"/>
      </w:pPr>
      <w:r>
        <w:rPr>
          <w:color w:val="1A1A1A"/>
          <w:sz w:val="22"/>
          <w:szCs w:val="22"/>
        </w:rPr>
        <w:t xml:space="preserve">Run it on 3–5 REAL past orders and check the cost against what they actually quoted. That’s the proof.</w:t>
      </w:r>
    </w:p>
    <w:p>
      <w:pPr>
        <w:spacing w:after="60"/>
      </w:pPr>
      <w:r>
        <w:t xml:space="preserve"/>
      </w:r>
    </w:p>
    <w:p>
      <w:pPr>
        <w:pStyle w:val="Heading2"/>
      </w:pPr>
      <w:r>
        <w:t xml:space="preserve">What the POC deliberately leaves out</w:t>
      </w:r>
    </w:p>
    <w:p>
      <w:pPr>
        <w:pStyle w:val="ListParagraph"/>
        <w:numPr>
          <w:ilvl w:val="0"/>
          <w:numId w:val="2"/>
        </w:numPr>
        <w:spacing w:after="58" w:line="266"/>
      </w:pPr>
      <w:r>
        <w:rPr>
          <w:color w:val="1A1A1A"/>
          <w:sz w:val="22"/>
          <w:szCs w:val="22"/>
        </w:rPr>
        <w:t xml:space="preserve">Full Purchase / Stores / Quality screens (Phase 1).</w:t>
      </w:r>
    </w:p>
    <w:p>
      <w:pPr>
        <w:pStyle w:val="ListParagraph"/>
        <w:numPr>
          <w:ilvl w:val="0"/>
          <w:numId w:val="2"/>
        </w:numPr>
        <w:spacing w:after="58" w:line="266"/>
      </w:pPr>
      <w:r>
        <w:rPr>
          <w:color w:val="1A1A1A"/>
          <w:sz w:val="22"/>
          <w:szCs w:val="22"/>
        </w:rPr>
        <w:t xml:space="preserve">QR/invoice scanning (Phase 2).</w:t>
      </w:r>
    </w:p>
    <w:p>
      <w:pPr>
        <w:pStyle w:val="ListParagraph"/>
        <w:numPr>
          <w:ilvl w:val="0"/>
          <w:numId w:val="2"/>
        </w:numPr>
        <w:spacing w:after="58" w:line="266"/>
      </w:pPr>
      <w:r>
        <w:rPr>
          <w:color w:val="1A1A1A"/>
          <w:sz w:val="22"/>
          <w:szCs w:val="22"/>
        </w:rPr>
        <w:t xml:space="preserve">Tally integration, multi-user, polish. POC is about proving the engine, not shipping.</w:t>
      </w:r>
    </w:p>
    <w:p>
      <w:pPr>
        <w:spacing w:after="140"/>
      </w:pPr>
      <w:r>
        <w:t xml:space="preserve"/>
      </w:r>
    </w:p>
    <w:p>
      <w:pPr>
        <w:pStyle w:val="Heading1"/>
      </w:pPr>
      <w:r>
        <w:t xml:space="preserve">4. The 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3200"/>
        <w:gridCol w:w="1560"/>
      </w:tblGrid>
      <w:tr>
        <w:trPr>
          <w:tblHeader/>
        </w:trPr>
        <w:tc>
          <w:tcPr>
            <w:tcW w:type="dxa" w:w="1100"/>
            <w:tcBorders>
              <w:top w:val="single" w:color="CCCCCC" w:sz="1"/>
              <w:left w:val="single" w:color="CCCCCC" w:sz="1"/>
              <w:bottom w:val="single" w:color="CCCCCC" w:sz="1"/>
              <w:right w:val="single" w:color="CCCCCC" w:sz="1"/>
            </w:tcBorders>
            <w:shd w:fill="0B5E4F" w:val="clear"/>
            <w:tcMar>
              <w:top w:type="dxa" w:w="74"/>
              <w:left w:type="dxa" w:w="90"/>
              <w:bottom w:type="dxa" w:w="74"/>
              <w:right w:type="dxa" w:w="90"/>
            </w:tcMar>
          </w:tcPr>
          <w:p>
            <w:r>
              <w:rPr>
                <w:b/>
                <w:bCs/>
                <w:color w:val="FFFFFF"/>
                <w:sz w:val="16"/>
                <w:szCs w:val="16"/>
              </w:rPr>
              <w:t xml:space="preserve">Stage</w:t>
            </w:r>
          </w:p>
        </w:tc>
        <w:tc>
          <w:tcPr>
            <w:tcW w:type="dxa" w:w="3500"/>
            <w:tcBorders>
              <w:top w:val="single" w:color="CCCCCC" w:sz="1"/>
              <w:left w:val="single" w:color="CCCCCC" w:sz="1"/>
              <w:bottom w:val="single" w:color="CCCCCC" w:sz="1"/>
              <w:right w:val="single" w:color="CCCCCC" w:sz="1"/>
            </w:tcBorders>
            <w:shd w:fill="0B5E4F" w:val="clear"/>
            <w:tcMar>
              <w:top w:type="dxa" w:w="74"/>
              <w:left w:type="dxa" w:w="90"/>
              <w:bottom w:type="dxa" w:w="74"/>
              <w:right w:type="dxa" w:w="90"/>
            </w:tcMar>
          </w:tcPr>
          <w:p>
            <w:r>
              <w:rPr>
                <w:b/>
                <w:bCs/>
                <w:color w:val="FFFFFF"/>
                <w:sz w:val="16"/>
                <w:szCs w:val="16"/>
              </w:rPr>
              <w:t xml:space="preserve">What we build</w:t>
            </w:r>
          </w:p>
        </w:tc>
        <w:tc>
          <w:tcPr>
            <w:tcW w:type="dxa" w:w="3200"/>
            <w:tcBorders>
              <w:top w:val="single" w:color="CCCCCC" w:sz="1"/>
              <w:left w:val="single" w:color="CCCCCC" w:sz="1"/>
              <w:bottom w:val="single" w:color="CCCCCC" w:sz="1"/>
              <w:right w:val="single" w:color="CCCCCC" w:sz="1"/>
            </w:tcBorders>
            <w:shd w:fill="0B5E4F" w:val="clear"/>
            <w:tcMar>
              <w:top w:type="dxa" w:w="74"/>
              <w:left w:type="dxa" w:w="90"/>
              <w:bottom w:type="dxa" w:w="74"/>
              <w:right w:type="dxa" w:w="90"/>
            </w:tcMar>
          </w:tcPr>
          <w:p>
            <w:r>
              <w:rPr>
                <w:b/>
                <w:bCs/>
                <w:color w:val="FFFFFF"/>
                <w:sz w:val="16"/>
                <w:szCs w:val="16"/>
              </w:rPr>
              <w:t xml:space="preserve">Proves / delivers</w:t>
            </w:r>
          </w:p>
        </w:tc>
        <w:tc>
          <w:tcPr>
            <w:tcW w:type="dxa" w:w="1560"/>
            <w:tcBorders>
              <w:top w:val="single" w:color="CCCCCC" w:sz="1"/>
              <w:left w:val="single" w:color="CCCCCC" w:sz="1"/>
              <w:bottom w:val="single" w:color="CCCCCC" w:sz="1"/>
              <w:right w:val="single" w:color="CCCCCC" w:sz="1"/>
            </w:tcBorders>
            <w:shd w:fill="0B5E4F" w:val="clear"/>
            <w:tcMar>
              <w:top w:type="dxa" w:w="74"/>
              <w:left w:type="dxa" w:w="90"/>
              <w:bottom w:type="dxa" w:w="74"/>
              <w:right w:type="dxa" w:w="90"/>
            </w:tcMar>
          </w:tcPr>
          <w:p>
            <w:r>
              <w:rPr>
                <w:b/>
                <w:bCs/>
                <w:color w:val="FFFFFF"/>
                <w:sz w:val="16"/>
                <w:szCs w:val="16"/>
              </w:rPr>
              <w:t xml:space="preserve">Rough effort</w:t>
            </w:r>
          </w:p>
        </w:tc>
      </w:tr>
      <w:tr>
        <w:tc>
          <w:tcPr>
            <w:tcW w:type="dxa" w:w="11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POC</w:t>
            </w:r>
          </w:p>
        </w:tc>
        <w:tc>
          <w:tcPr>
            <w:tcW w:type="dxa" w:w="35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Order master + feeder library + costing engine, on real data</w:t>
            </w:r>
          </w:p>
        </w:tc>
        <w:tc>
          <w:tcPr>
            <w:tcW w:type="dxa" w:w="32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The crown jewel works — fast, accurate quotes</w:t>
            </w:r>
          </w:p>
        </w:tc>
        <w:tc>
          <w:tcPr>
            <w:tcW w:type="dxa" w:w="156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2–3 weeks</w:t>
            </w:r>
          </w:p>
        </w:tc>
      </w:tr>
      <w:tr>
        <w:tc>
          <w:tcPr>
            <w:tcW w:type="dxa" w:w="110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Phase 1a</w:t>
            </w:r>
          </w:p>
        </w:tc>
        <w:tc>
          <w:tcPr>
            <w:tcW w:type="dxa" w:w="350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Full Planning + Stores (digitize register, live stock)</w:t>
            </w:r>
          </w:p>
        </w:tc>
        <w:tc>
          <w:tcPr>
            <w:tcW w:type="dxa" w:w="320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Daily operations online</w:t>
            </w:r>
          </w:p>
        </w:tc>
        <w:tc>
          <w:tcPr>
            <w:tcW w:type="dxa" w:w="156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Weeks</w:t>
            </w:r>
          </w:p>
        </w:tc>
      </w:tr>
      <w:tr>
        <w:tc>
          <w:tcPr>
            <w:tcW w:type="dxa" w:w="11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Phase 1b</w:t>
            </w:r>
          </w:p>
        </w:tc>
        <w:tc>
          <w:tcPr>
            <w:tcW w:type="dxa" w:w="35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Purchase + Quality (controlled plans, audit packs)</w:t>
            </w:r>
          </w:p>
        </w:tc>
        <w:tc>
          <w:tcPr>
            <w:tcW w:type="dxa" w:w="32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All four modules online, connected</w:t>
            </w:r>
          </w:p>
        </w:tc>
        <w:tc>
          <w:tcPr>
            <w:tcW w:type="dxa" w:w="156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Weeks</w:t>
            </w:r>
          </w:p>
        </w:tc>
      </w:tr>
      <w:tr>
        <w:tc>
          <w:tcPr>
            <w:tcW w:type="dxa" w:w="110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Phase 1c</w:t>
            </w:r>
          </w:p>
        </w:tc>
        <w:tc>
          <w:tcPr>
            <w:tcW w:type="dxa" w:w="350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Tally bridge + multi-user + polish</w:t>
            </w:r>
          </w:p>
        </w:tc>
        <w:tc>
          <w:tcPr>
            <w:tcW w:type="dxa" w:w="320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Production-ready system</w:t>
            </w:r>
          </w:p>
        </w:tc>
        <w:tc>
          <w:tcPr>
            <w:tcW w:type="dxa" w:w="1560"/>
            <w:tcBorders>
              <w:top w:val="single" w:color="CCCCCC" w:sz="1"/>
              <w:left w:val="single" w:color="CCCCCC" w:sz="1"/>
              <w:bottom w:val="single" w:color="CCCCCC" w:sz="1"/>
              <w:right w:val="single" w:color="CCCCCC" w:sz="1"/>
            </w:tcBorders>
            <w:shd w:fill="F4F4F4" w:val="clear"/>
            <w:tcMar>
              <w:top w:type="dxa" w:w="58"/>
              <w:left w:type="dxa" w:w="90"/>
              <w:bottom w:type="dxa" w:w="58"/>
              <w:right w:type="dxa" w:w="90"/>
            </w:tcMar>
          </w:tcPr>
          <w:p>
            <w:r>
              <w:rPr>
                <w:color w:val="1A1A1A"/>
                <w:sz w:val="16"/>
                <w:szCs w:val="16"/>
              </w:rPr>
              <w:t xml:space="preserve">Weeks</w:t>
            </w:r>
          </w:p>
        </w:tc>
      </w:tr>
      <w:tr>
        <w:tc>
          <w:tcPr>
            <w:tcW w:type="dxa" w:w="11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Phase 2</w:t>
            </w:r>
          </w:p>
        </w:tc>
        <w:tc>
          <w:tcPr>
            <w:tcW w:type="dxa" w:w="35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QR/invoice scan + auto-capture + analytics</w:t>
            </w:r>
          </w:p>
        </w:tc>
        <w:tc>
          <w:tcPr>
            <w:tcW w:type="dxa" w:w="320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The intelligence layer</w:t>
            </w:r>
          </w:p>
        </w:tc>
        <w:tc>
          <w:tcPr>
            <w:tcW w:type="dxa" w:w="1560"/>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r>
              <w:rPr>
                <w:color w:val="1A1A1A"/>
                <w:sz w:val="16"/>
                <w:szCs w:val="16"/>
              </w:rPr>
              <w:t xml:space="preserve">Later</w:t>
            </w:r>
          </w:p>
        </w:tc>
      </w:tr>
    </w:tbl>
    <w:p>
      <w:pPr>
        <w:spacing w:after="70"/>
      </w:pPr>
      <w:r>
        <w:t xml:space="preserve"/>
      </w:r>
    </w:p>
    <w:p>
      <w:pPr>
        <w:spacing w:after="120" w:line="278"/>
      </w:pPr>
      <w:r>
        <w:rPr>
          <w:i/>
          <w:iCs/>
          <w:color w:val="555555"/>
          <w:sz w:val="22"/>
          <w:szCs w:val="22"/>
        </w:rPr>
        <w:t xml:space="preserve">Effort is indicative — we firm it up after the POC and after the costing walkthrough with the uncle. Pace stays in our control; each stage is usable on its own.</w:t>
      </w:r>
    </w:p>
    <w:p>
      <w:pPr>
        <w:spacing w:after="140"/>
      </w:pPr>
      <w:r>
        <w:t xml:space="preserve"/>
      </w:r>
    </w:p>
    <w:p>
      <w:pPr>
        <w:pStyle w:val="Heading1"/>
      </w:pPr>
      <w:r>
        <w:t xml:space="preserve">5. What we need to start the POC</w:t>
      </w:r>
    </w:p>
    <w:p>
      <w:pPr>
        <w:pStyle w:val="ListParagraph"/>
        <w:numPr>
          <w:ilvl w:val="0"/>
          <w:numId w:val="3"/>
        </w:numPr>
        <w:spacing w:after="64" w:line="266"/>
      </w:pPr>
      <w:r>
        <w:rPr>
          <w:color w:val="1A1A1A"/>
          <w:sz w:val="22"/>
          <w:szCs w:val="22"/>
        </w:rPr>
        <w:t xml:space="preserve">A 30–45 min walkthrough with the uncle: for each feeder type (R, L, T, K), what wires + lengths + build time. (We’ll use the Siemens catalogue pages as the visual prompt.)</w:t>
      </w:r>
    </w:p>
    <w:p>
      <w:pPr>
        <w:pStyle w:val="ListParagraph"/>
        <w:numPr>
          <w:ilvl w:val="0"/>
          <w:numId w:val="3"/>
        </w:numPr>
        <w:spacing w:after="64" w:line="266"/>
      </w:pPr>
      <w:r>
        <w:rPr>
          <w:color w:val="1A1A1A"/>
          <w:sz w:val="22"/>
          <w:szCs w:val="22"/>
        </w:rPr>
        <w:t xml:space="preserve">One real filled costing sheet (a photo is fine) — to see exactly what goes into a cost (material, wastage, labour, margin).</w:t>
      </w:r>
    </w:p>
    <w:p>
      <w:pPr>
        <w:pStyle w:val="ListParagraph"/>
        <w:numPr>
          <w:ilvl w:val="0"/>
          <w:numId w:val="3"/>
        </w:numPr>
        <w:spacing w:after="64" w:line="266"/>
      </w:pPr>
      <w:r>
        <w:rPr>
          <w:color w:val="1A1A1A"/>
          <w:sz w:val="22"/>
          <w:szCs w:val="22"/>
        </w:rPr>
        <w:t xml:space="preserve">3–5 real past orders with their final quoted price — our test cases to check the engine against.</w:t>
      </w:r>
    </w:p>
    <w:p>
      <w:pPr>
        <w:pStyle w:val="ListParagraph"/>
        <w:numPr>
          <w:ilvl w:val="0"/>
          <w:numId w:val="3"/>
        </w:numPr>
        <w:spacing w:after="64" w:line="266"/>
      </w:pPr>
      <w:r>
        <w:rPr>
          <w:color w:val="1A1A1A"/>
          <w:sz w:val="22"/>
          <w:szCs w:val="22"/>
        </w:rPr>
        <w:t xml:space="preserve">The current material rates (we already have many from the inward register).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1EE" w:sz="1"/>
              <w:left w:val="single" w:color="0B5E4F" w:sz="18"/>
              <w:bottom w:val="single" w:color="E8F1EE" w:sz="1"/>
              <w:right w:val="single" w:color="E8F1EE" w:sz="1"/>
            </w:tcBorders>
            <w:shd w:fill="E8F1EE" w:val="clear"/>
            <w:tcMar>
              <w:top w:type="dxa" w:w="130"/>
              <w:left w:type="dxa" w:w="180"/>
              <w:bottom w:type="dxa" w:w="130"/>
              <w:right w:type="dxa" w:w="160"/>
            </w:tcMar>
          </w:tcPr>
          <w:p>
            <w:pPr>
              <w:spacing w:after="60"/>
            </w:pPr>
            <w:r>
              <w:rPr>
                <w:b/>
                <w:bCs/>
                <w:color w:val="0B5E4F"/>
                <w:sz w:val="22"/>
                <w:szCs w:val="22"/>
              </w:rPr>
              <w:t xml:space="preserve">Our approach — the principles we hold</w:t>
            </w:r>
          </w:p>
          <w:p>
            <w:pPr>
              <w:spacing w:after="44"/>
            </w:pPr>
            <w:r>
              <w:rPr>
                <w:color w:val="1A1A1A"/>
                <w:sz w:val="21"/>
                <w:szCs w:val="21"/>
              </w:rPr>
              <w:t xml:space="preserve">Prototype-first: a working thing they can touch beats any slide deck.</w:t>
            </w:r>
          </w:p>
          <w:p>
            <w:pPr>
              <w:spacing w:after="44"/>
            </w:pPr>
            <w:r>
              <w:rPr>
                <w:color w:val="1A1A1A"/>
                <w:sz w:val="21"/>
                <w:szCs w:val="21"/>
              </w:rPr>
              <w:t xml:space="preserve">Mirror their reality: the system speaks panels, harnesses, GRNs, Siemens configs — their language, not generic ERP.</w:t>
            </w:r>
          </w:p>
          <w:p>
            <w:pPr>
              <w:spacing w:after="44"/>
            </w:pPr>
            <w:r>
              <w:rPr>
                <w:color w:val="1A1A1A"/>
                <w:sz w:val="21"/>
                <w:szCs w:val="21"/>
              </w:rPr>
              <w:t xml:space="preserve">Honour their expertise: we capture the owner’s costing knowledge, we never pretend to replace it.</w:t>
            </w:r>
          </w:p>
          <w:p>
            <w:pPr>
              <w:spacing w:after="44"/>
            </w:pPr>
            <w:r>
              <w:rPr>
                <w:color w:val="1A1A1A"/>
                <w:sz w:val="21"/>
                <w:szCs w:val="21"/>
              </w:rPr>
              <w:t xml:space="preserve">Free pilot, graceful exit: no lock-in, no pressure. It earns its place or it doesn’t.</w:t>
            </w:r>
          </w:p>
          <w:p>
            <w:pPr>
              <w:spacing w:after="44"/>
            </w:pPr>
            <w:r>
              <w:rPr>
                <w:color w:val="1A1A1A"/>
                <w:sz w:val="21"/>
                <w:szCs w:val="21"/>
              </w:rPr>
              <w:t xml:space="preserve">Tally stays: we don’t rebuild accounting. We connect to it.</w:t>
            </w:r>
          </w:p>
        </w:tc>
      </w:tr>
    </w:tbl>
    <w:p>
      <w:pPr>
        <w:spacing w:after="140"/>
      </w:pPr>
      <w:r>
        <w:t xml:space="preserve"/>
      </w:r>
    </w:p>
    <w:p>
      <w:pPr>
        <w:pStyle w:val="Heading1"/>
      </w:pPr>
      <w:r>
        <w:t xml:space="preserve">6. The ask</w:t>
      </w:r>
    </w:p>
    <w:p>
      <w:pPr>
        <w:spacing w:after="120" w:line="278"/>
      </w:pPr>
      <w:r>
        <w:rPr>
          <w:color w:val="1A1A1A"/>
          <w:sz w:val="22"/>
          <w:szCs w:val="22"/>
        </w:rPr>
        <w:t xml:space="preserve">Agree the POC scope above, set up the costing walkthrough with the uncle, and let us build the costing-engine POC on real orders. Two to three weeks later we show a working thing — type a Siemens order, get a harness BOM and a cost — and we decide together whether to proceed to Phase 1.</w:t>
      </w:r>
    </w:p>
    <w:p>
      <w:pPr>
        <w:spacing w:after="140"/>
      </w:pPr>
      <w:r>
        <w:t xml:space="preserve"/>
      </w:r>
    </w:p>
    <w:p>
      <w:pPr>
        <w:pBdr>
          <w:top w:val="single" w:color="B45309" w:sz="6" w:space="6"/>
        </w:pBdr>
        <w:spacing w:before="120"/>
      </w:pPr>
      <w:r>
        <w:rPr>
          <w:i/>
          <w:iCs/>
          <w:color w:val="555555"/>
          <w:sz w:val="17"/>
          <w:szCs w:val="17"/>
        </w:rPr>
        <w:t xml:space="preserve">Internal partner discussion document. Scope, effort and phasing are proposals to align on, not commitments. Built on real artifacts from the Ready Systems visit (inward register, quality plans, Siemens order tracker) and Siemens’ public RMU catalogues. The costing engine depends on capturing the owner’s harness know-how — flagged as the first input needed. No ROI figures asserted before pilot measurement.</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Yuuktiq Smart-Manufacturing practice  ·  prove the engine first, then scale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Ready Systems ERP — POC &amp; Phasing Plan  ·  Partner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F1EE" w:sz="6" w:space="4"/>
      </w:pBdr>
      <w:spacing w:after="140" w:before="280"/>
      <w:outlineLvl w:val="0"/>
    </w:pPr>
    <w:rPr>
      <w:rFonts w:ascii="Arial" w:cs="Arial" w:eastAsia="Arial" w:hAnsi="Arial"/>
      <w:b/>
      <w:bCs/>
      <w:color w:val="0B5E4F"/>
      <w:sz w:val="29"/>
      <w:szCs w:val="29"/>
    </w:rPr>
  </w:style>
  <w:style w:type="paragraph" w:styleId="Heading2">
    <w:name w:val="Heading 2"/>
    <w:basedOn w:val="Normal"/>
    <w:next w:val="Normal"/>
    <w:qFormat/>
    <w:pPr>
      <w:spacing w:after="80" w:before="160"/>
      <w:outlineLvl w:val="1"/>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2026-06-13T10:43:47.773Z</dcterms:created>
  <dcterms:modified xsi:type="dcterms:W3CDTF">2026-06-13T10:43:47.786Z</dcterms:modified>
</cp:coreProperties>
</file>

<file path=docProps/custom.xml><?xml version="1.0" encoding="utf-8"?>
<Properties xmlns="http://schemas.openxmlformats.org/officeDocument/2006/custom-properties" xmlns:vt="http://schemas.openxmlformats.org/officeDocument/2006/docPropsVTypes"/>
</file>