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six-category Clark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99.2% agreement for clear cases and 86.3% within 5 dB of a boundary. Macro-averaged sensitivity was 0.891 and macro-averaged specificity 0.992, against 96.9% overall agreement that the normal class, 89.1% of ears, largely determines.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 seven-frequency learner outperforms the index on accuracy and calibration, locating its contribution in interpretability and a graded output rather than in loss minimisation.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classify the same crisp severity levels without an inspectable decision</w:t>
      </w:r>
      <w:r>
        <w:t xml:space="preserve"> </w:t>
      </w:r>
      <w:r>
        <w:t xml:space="preserve">[3]</w:t>
      </w:r>
      <w:r>
        <w:t xml:space="preserve">. Data-driven profiling recovers phenotypes without an interpretable decision</w:t>
      </w:r>
      <w:r>
        <w:t xml:space="preserve"> </w:t>
      </w:r>
      <w:r>
        <w:t xml:space="preserve">[4,5]</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[6]</w:t>
      </w:r>
      <w:r>
        <w:t xml:space="preserve"> </w:t>
      </w:r>
      <w:r>
        <w:t xml:space="preserve">states its rules in terms a clinician can read and modify. Fuzzy approaches have been applied across clinical diagnosis</w:t>
      </w:r>
      <w:r>
        <w:t xml:space="preserve"> </w:t>
      </w:r>
      <w:r>
        <w:t xml:space="preserve">[7]</w:t>
      </w:r>
      <w:r>
        <w:t xml:space="preserve"> </w:t>
      </w:r>
      <w:r>
        <w:t xml:space="preserve">and to EEG-based dementia staging</w:t>
      </w:r>
      <w:r>
        <w:t xml:space="preserve"> </w:t>
      </w:r>
      <w:r>
        <w:t xml:space="preserve">[8]</w:t>
      </w:r>
      <w:r>
        <w:t xml:space="preserve">, but no published system integrates severity classification, configuration typing, asymmetry and temporal tracking in one inspectable framework validated on population-level data.</w:t>
      </w:r>
    </w:p>
    <w:p>
      <w:pPr>
        <w:pStyle w:val="BodyText"/>
      </w:pPr>
      <w:r>
        <w:t xml:space="preserve">This study develops such a framework and validates it on a large nationally representative cohort. The objectives were to construct severity memberships forming a formal Ruspini partition; to validate the index on a held-out participant-level split; to benchmark its graded output against probabilistic models using proper scoring rules; to determine how the width of the graded region affects agreement; and to test how far the results depend on the classification schema rather than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Algorithm 1 states the construction formally: cores are held at their empirical percentiles, adjacent shoulders are set to meet, and any interior gap below the floor is widened symmetrically about its midpoint. The floor is thus satisfied without moving a core, which is what preserves the sum at unity. WHO’s own grade tables use five categories at 20 dB steps</w:t>
      </w:r>
      <w:r>
        <w:t xml:space="preserve"> </w:t>
      </w:r>
      <w:r>
        <w:t xml:space="preserve">[2,9]</w:t>
      </w:r>
      <w:r>
        <w:t xml:space="preserve"> </w:t>
      </w:r>
      <w:r>
        <w:t xml:space="preserve">and its 2021 revision uses seven at 15 dB steps</w:t>
      </w:r>
      <w:r>
        <w:t xml:space="preserve"> </w:t>
      </w:r>
      <w:r>
        <w:t xml:space="preserve">[10]</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[11]</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[12]</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[6]</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[13]</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[14]</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[15]</w:t>
      </w:r>
      <w:r>
        <w:t xml:space="preserve"> </w:t>
      </w:r>
      <w:r>
        <w:t xml:space="preserve">to FAI trajectories, is demonstrated on illustrative scenarios (Figure S1).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S1), with transition bands of 13.6, 10.0, 10.0, 10.0 and 10.9 dB from normal to profound. Verification confirmed the memberships sum to 1 at every sampled threshold across the 0 to 120 dB universe, with a maximum deviation of zero. Adjacent memberships cross at 0.5 at 23.2, 40.4, 57.1, 71.1 and 90.5 dB (Figure 1); the calibrated FAI-to-label cut points, fitted rather than geometric, sit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99.2% for clear cases (≥6 dB from a boundary) and 86.3% within the borderline zone (±5 dB, 17.8% of test ears). Spearman’s correlation was 0.812, restricted in range because 89.1% of test ears are normal and the upper tail is compressed; kappa and MAE are therefore the more direct agreement measures.</w:t>
      </w:r>
    </w:p>
    <w:p>
      <w:pPr>
        <w:pStyle w:val="BodyText"/>
      </w:pPr>
      <w:r>
        <w:t xml:space="preserve">Per-class performance is given in Table 1. Sensitivity was 0.978 for normal and 0.977 for mild, fell to 0.507 for moderate and recovered to 0.885 for moderately severe; macro-averaged sensitivity was 0.891 against the 96.9% overall figure, which the normal majority determines. Of 122 disagreements, 101 moved upward by one grade and 21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boundary (Figure 2b): 86.3% within ±5 dB, 91.0% at 10 dB and 94.3% at 15 dB. Bland-Altman analysis (Figure 2a) compared the FAI with PTA-4 after a linear transfer fitted on the training partition mapped the index onto decibels, FAI = 0.890 x PTA + 3.11 (r = 0.887). The sub-unity slope follows from centroid defuzzification, which returns the centre of mass of the aggregated output and compresses the ends of the universe: mean difference −0.13 dB with 95% limits of agreement −11.5 to +11.2 dB, with a proportionate bias of 0.13 dB per decibel.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as did the same model on all seven frequencies. The reference label is therefore not a prediction target but a deterministic thresholding of the pure-tone average, so agreement metrics cannot discriminate between models: any model able to represent monotone thresholds recovers it exactly, so residuals measure how well each approximation fits a step function.</w:t>
      </w:r>
    </w:p>
    <w:p>
      <w:pPr>
        <w:pStyle w:val="BodyText"/>
      </w:pPr>
      <w:r>
        <w:t xml:space="preserve">Among the models that do not saturate, the FAI membership vector returned a Brier score of 0.0482, log loss 0.0810 and expected calibration error 0.0266, against 0.0136, 0.0302 and 0.0021 for gradient boosting on the richer seven-frequency input. The ensemble was better on every metric, so the index is not competitive with it on accuracy: read on one threshold rather than seven, its arg-max recovered the reference grade at kappa 0.9453.</w:t>
      </w:r>
    </w:p>
    <w:bookmarkEnd w:id="29"/>
    <w:bookmarkStart w:id="30" w:name="decision-curve-analysis"/>
    <w:p>
      <w:pPr>
        <w:pStyle w:val="Heading2"/>
      </w:pPr>
      <w:r>
        <w:rPr>
          <w:rStyle w:val="SectionNumber"/>
        </w:rPr>
        <w:t xml:space="preserve">4.6</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0"/>
    <w:bookmarkStart w:id="31" w:name="transition-width-ablation"/>
    <w:p>
      <w:pPr>
        <w:pStyle w:val="Heading2"/>
      </w:pPr>
      <w:r>
        <w:rPr>
          <w:rStyle w:val="SectionNumber"/>
        </w:rPr>
        <w:t xml:space="preserve">4.7</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1"/>
    <w:bookmarkStart w:id="32" w:name="validation-under-the-who-2021-schema"/>
    <w:p>
      <w:pPr>
        <w:pStyle w:val="Heading2"/>
      </w:pPr>
      <w:r>
        <w:rPr>
          <w:rStyle w:val="SectionNumber"/>
        </w:rPr>
        <w:t xml:space="preserve">4.8</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having no interior optimum, so the fitted probabilities are exactly 0 and 1. Agreement metrics therefore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The probabilistic properties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 A Takagi-Sugeno-Kang system would avoid the boundary compression of centroid defuzzification and map onto decibels directly, but it replaces the linguistic consequent with a numeric one, discarding the rule trace a clinician can read and a regulator can review; that interpretability is why a Mamdani architecture was retained.</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triage the FAI could flag patients who straddle a severity boundary, so a borderline case is monitored rather than forced into a category that misstates it. Prescriptive methods such as NAL-NL2</w:t>
      </w:r>
      <w:r>
        <w:t xml:space="preserve"> </w:t>
      </w:r>
      <w:r>
        <w:t xml:space="preserve">[16]</w:t>
      </w:r>
      <w:r>
        <w:t xml:space="preserve"> </w:t>
      </w:r>
      <w:r>
        <w:t xml:space="preserve">and DSL</w:t>
      </w:r>
      <w:r>
        <w:t xml:space="preserve"> </w:t>
      </w:r>
      <w:r>
        <w:t xml:space="preserve">[17]</w:t>
      </w:r>
      <w:r>
        <w:t xml:space="preserve"> </w:t>
      </w:r>
      <w:r>
        <w:t xml:space="preserve">already derive frequency-specific gain from the full audiogram, so the index is not a fitting prescription: its contribution is automated triage and remote screening, and a configuration summary for notched or sloping patterns the PTA obscures. For ototoxicity monitoring, the temporal module flags sub-threshold FAI changes without a PTA boundary crossing, an early warning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[4,5]</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and extended high-frequency audiometry was not covered.</w:t>
      </w:r>
    </w:p>
    <w:p>
      <w:pPr>
        <w:pStyle w:val="BodyText"/>
      </w:pPr>
      <w:r>
        <w:t xml:space="preserve">Inter-aural asymmetry was decoupled from severity and now drives a referral recommendation instead. An ear with a 55 dB pure-tone average could previously be graded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[10]</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calculator with a REST API for EHR integration has been deployed for evaluation. Future work will validate the system prospectively, explore neuro-fuzzy approaches such as ANFIS</w:t>
      </w:r>
      <w:r>
        <w:t xml:space="preserve"> </w:t>
      </w:r>
      <w:r>
        <w:t xml:space="preserve">[18]</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highlights"/>
    <w:p>
      <w:pPr>
        <w:pStyle w:val="Heading1"/>
      </w:pPr>
      <w:r>
        <w:t xml:space="preserve">Highlights</w:t>
      </w:r>
    </w:p>
    <w:p>
      <w:pPr>
        <w:pStyle w:val="Compact"/>
        <w:numPr>
          <w:ilvl w:val="0"/>
          <w:numId w:val="1001"/>
        </w:numPr>
      </w:pPr>
      <w:r>
        <w:t xml:space="preserve">Mamdani fuzzy inference provides graded classification of pure-tone audiograms.</w:t>
      </w:r>
    </w:p>
    <w:p>
      <w:pPr>
        <w:pStyle w:val="Compact"/>
        <w:numPr>
          <w:ilvl w:val="0"/>
          <w:numId w:val="1001"/>
        </w:numPr>
      </w:pPr>
      <w:r>
        <w:t xml:space="preserve">Ruspini partition ensures memberships sum to unity across 0 to 120 dB HL.</w:t>
      </w:r>
    </w:p>
    <w:p>
      <w:pPr>
        <w:pStyle w:val="Compact"/>
        <w:numPr>
          <w:ilvl w:val="0"/>
          <w:numId w:val="1001"/>
        </w:numPr>
      </w:pPr>
      <w:r>
        <w:t xml:space="preserve">Validated on 19,623 NHANES adult ears with participant-level splitting.</w:t>
      </w:r>
    </w:p>
    <w:p>
      <w:pPr>
        <w:pStyle w:val="Compact"/>
        <w:numPr>
          <w:ilvl w:val="0"/>
          <w:numId w:val="1001"/>
        </w:numPr>
      </w:pPr>
      <w:r>
        <w:t xml:space="preserve">Reference label shown to be a deterministic thresholding of its input.</w:t>
      </w:r>
    </w:p>
    <w:p>
      <w:pPr>
        <w:pStyle w:val="Compact"/>
        <w:numPr>
          <w:ilvl w:val="0"/>
          <w:numId w:val="1001"/>
        </w:numPr>
      </w:pPr>
      <w:r>
        <w:t xml:space="preserve">Open-source implementation with a REST API for EHR integration.</w:t>
      </w:r>
    </w:p>
    <w:bookmarkEnd w:id="44"/>
    <w:bookmarkStart w:id="45" w:name="credit-author-statement"/>
    <w:p>
      <w:pPr>
        <w:pStyle w:val="Heading1"/>
      </w:pPr>
      <w:r>
        <w:t xml:space="preserve">CRediT Author Statement</w:t>
      </w:r>
    </w:p>
    <w:p>
      <w:pPr>
        <w:pStyle w:val="FirstParagraph"/>
      </w:pPr>
      <w:r>
        <w:rPr>
          <w:b/>
          <w:bCs/>
        </w:rPr>
        <w:t xml:space="preserve">Sanyaolu Ameye:</w:t>
      </w:r>
      <w:r>
        <w:t xml:space="preserve"> </w:t>
      </w:r>
      <w:r>
        <w:t xml:space="preserve">Conceptualization, Methodology, Software, Validation, Formal analysis, Investigation, Data curation, Writing - original draft, Writing - review and editing, Visualization.</w:t>
      </w:r>
    </w:p>
    <w:bookmarkEnd w:id="45"/>
    <w:bookmarkStart w:id="46"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6"/>
    <w:bookmarkStart w:id="47"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7"/>
    <w:bookmarkStart w:id="48"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8"/>
    <w:bookmarkStart w:id="49"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9"/>
    <w:bookmarkStart w:id="82" w:name="references"/>
    <w:p>
      <w:pPr>
        <w:pStyle w:val="Heading1"/>
      </w:pPr>
      <w:r>
        <w:t xml:space="preserve">References</w:t>
      </w:r>
    </w:p>
    <w:bookmarkStart w:id="81" w:name="refs"/>
    <w:bookmarkStart w:id="50" w:name="ref-clark1981"/>
    <w:p>
      <w:pPr>
        <w:pStyle w:val="Bibliography"/>
      </w:pPr>
      <w:r>
        <w:t xml:space="preserve">[1]</w:t>
      </w:r>
      <w:r>
        <w:t xml:space="preserve"> </w:t>
      </w:r>
      <w:r>
        <w:t xml:space="preserve">	</w:t>
      </w:r>
      <w:r>
        <w:t xml:space="preserve">Clark J. Uses and abuses of hearing loss classification. ASHA 1981;23:493–500.</w:t>
      </w:r>
    </w:p>
    <w:bookmarkEnd w:id="50"/>
    <w:bookmarkStart w:id="51"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51"/>
    <w:bookmarkStart w:id="53"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2">
        <w:r>
          <w:rPr>
            <w:rStyle w:val="Hyperlink"/>
          </w:rPr>
          <w:t xml:space="preserve">https://doi.org/10.26599/joto.2025.9540005</w:t>
        </w:r>
      </w:hyperlink>
      <w:r>
        <w:t xml:space="preserve">.</w:t>
      </w:r>
    </w:p>
    <w:bookmarkEnd w:id="53"/>
    <w:bookmarkStart w:id="55" w:name="ref-saak2022"/>
    <w:p>
      <w:pPr>
        <w:pStyle w:val="Bibliography"/>
      </w:pPr>
      <w:r>
        <w:t xml:space="preserve">[4]</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[5]</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[6]</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[7]</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[8]</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[9]</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[10]</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[11]</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[12]</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[13]</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[14]</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[15]</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[16]</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[17]</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[18]</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2026-09-26T11:19:32Z</dcterms:created>
  <dcterms:modified xsi:type="dcterms:W3CDTF">2026-09-26T11:19:32Z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