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WHO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99.2% agreement for clear cases and 86.3% within 5 dB of a boundary.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and the probabilistic metrics are where the comparison carries information.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by object detection classify the same crisp severity levels without an inspectable decision</w:t>
      </w:r>
      <w:r>
        <w:t xml:space="preserve"> </w:t>
      </w:r>
      <w:r>
        <w:t xml:space="preserve">[3]</w:t>
      </w:r>
      <w:r>
        <w:t xml:space="preserve">; preclinical work in the same vein detects cochlear synaptopathy from murine auditory brainstem responses</w:t>
      </w:r>
      <w:r>
        <w:t xml:space="preserve"> </w:t>
      </w:r>
      <w:r>
        <w:t xml:space="preserve">[4]</w:t>
      </w:r>
      <w:r>
        <w:t xml:space="preserve">, a different task. Data-driven profiling recovers phenotypes without an interpretable decision</w:t>
      </w:r>
      <w:r>
        <w:t xml:space="preserve"> </w:t>
      </w:r>
      <w:r>
        <w:t xml:space="preserve">[5,6]</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[7]</w:t>
      </w:r>
      <w:r>
        <w:t xml:space="preserve"> </w:t>
      </w:r>
      <w:r>
        <w:t xml:space="preserve">states its rules in terms a clinician can read and modify. Fuzzy approaches have been applied across clinical diagnosis since their introduction</w:t>
      </w:r>
      <w:r>
        <w:t xml:space="preserve"> </w:t>
      </w:r>
      <w:r>
        <w:t xml:space="preserve">[8]</w:t>
      </w:r>
      <w:r>
        <w:t xml:space="preserve"> </w:t>
      </w:r>
      <w:r>
        <w:t xml:space="preserve">and to EEG-based dementia staging</w:t>
      </w:r>
      <w:r>
        <w:t xml:space="preserve"> </w:t>
      </w:r>
      <w:r>
        <w:t xml:space="preserve">[9]</w:t>
      </w:r>
      <w:r>
        <w:t xml:space="preserve">, but no published system integrates severity classification, configuration typing, asymmetry grading and temporal tracking in one inspectable framework validated on population-level audiometric data.</w:t>
      </w:r>
    </w:p>
    <w:p>
      <w:pPr>
        <w:pStyle w:val="BodyText"/>
      </w:pPr>
      <w:r>
        <w:t xml:space="preserve">This study develops such a framework and validates it on a large nationally representative cohort. The objectives were to construct severity membership functions forming a formal Ruspini partition; to validate the index on a held-out test set with a participant-level split; to benchmark its graded output against probabilistic multi-class models using proper scoring rules; to determine empirically how the width of the graded region affects agreement; and to establish how far the results depend on the classification schema rather than on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WHO’s own grade tables use five categories at 20 dB steps</w:t>
      </w:r>
      <w:r>
        <w:t xml:space="preserve"> </w:t>
      </w:r>
      <w:r>
        <w:t xml:space="preserve">[2,10]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[12]</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[13]</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[7]</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[14]</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[15]</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[16]</w:t>
      </w:r>
      <w:r>
        <w:t xml:space="preserve"> </w:t>
      </w:r>
      <w:r>
        <w:t xml:space="preserve">to FAI trajectories, is demonstrated on illustrative scenarios (Figure S2).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99.2% for clear cases (≥6 dB from a boundary) and 86.3%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0.978 for normal and 0.977 for mild, fell to 0.507 for moderate and recovered to 0.885 for moderately severe; macro-averaged sensitivity was 0.891 against the 96.9% overall figure, which the normal class, 89.1% of test ears, determines. Of 122 disagreements, 101 moved upward by one grade and 21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nearest boundary (Figure 2b): 86.3% within ±5 dB, 91.0% at 10 dB and 94.3% at 15 dB. Bland-Altman analysis (Figure 2a) compared the FAI with PTA-4 after a linear transfer fitted on the training partition mapped the index onto the decibel scale, FAI = 0.890 x PTA + 3.11 (r = 0.887). The sub-unity slope follows from centroid defuzzification, which returns the centre of mass of the aggregated output and so compresses the ends of the universe: mean difference +0.25 dB with 95% limits of agreement −11.2 to +11.7 dB, with a proportionate bias widening by 0.13 dB per decibel of mean level.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and the same model on all seven frequencies performed identically. The reference label is therefore not a prediction target but a deterministic thresholding of the pure-tone average, so agreement metrics cannot discriminate between models here: any model able to represent monotone thresholds recovers the label exactly, and residual differences measure how well each approximation fits a step function.</w:t>
      </w:r>
    </w:p>
    <w:p>
      <w:pPr>
        <w:pStyle w:val="BodyText"/>
      </w:pPr>
      <w:r>
        <w:t xml:space="preserve">Among the models that do not saturate, the FAI membership vector returned a Brier score of 0.0474, log loss 0.0805 and expected calibration error 0.0300, against 0.0479, 0.2771 and 0.0304 for gradient boosting on the richer seven-frequency input. The memberships were as well calibrated as gradient boosting and substantially better on log loss from less input, and their arg-max recovered the reference grade at kappa 0.9564, exceeding the 0.946 from the separately calibrated thresholds.</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because no interior optimum exists, so the fitted probabilities are exactly 0 and 1 rather than close to them. Because the label is a thresholding, any model able to represent monotone thresholds recovers it exactly and agreement metrics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so its contribution is not accuracy. Trapezoidal memberships express thresholds on a continuous quantity natively, whereas a tree ensemble must approximate that step function through axis-aligned splits on noisy inputs. The probabilistic properties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triage the FAI could refine referral pathways by flagging patients who straddle severity boundaries, so a borderline case is monitored rather than forced into a category that misstates the loss. Prescriptive methods such as NAL-NL2</w:t>
      </w:r>
      <w:r>
        <w:t xml:space="preserve"> </w:t>
      </w:r>
      <w:r>
        <w:t xml:space="preserve">[17]</w:t>
      </w:r>
      <w:r>
        <w:t xml:space="preserve"> </w:t>
      </w:r>
      <w:r>
        <w:t xml:space="preserve">and DSL</w:t>
      </w:r>
      <w:r>
        <w:t xml:space="preserve"> </w:t>
      </w:r>
      <w:r>
        <w:t xml:space="preserve">[18]</w:t>
      </w:r>
      <w:r>
        <w:t xml:space="preserve"> </w:t>
      </w:r>
      <w:r>
        <w:t xml:space="preserve">already derive frequency-specific gain from the full audiogram, so the index is not a fitting prescription: its contribution is automated triage and remote screening, and a configuration summary for notched or sloping patterns the PTA obscures. For ototoxicity monitoring, the temporal module flags sub-threshold FAI changes without a PTA boundary crossing, an early warning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[5,6]</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air-conduction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some configurations remain underrepresented, and extended high-frequency audiometry was not covered.</w:t>
      </w:r>
    </w:p>
    <w:p>
      <w:pPr>
        <w:pStyle w:val="BodyText"/>
      </w:pPr>
      <w:r>
        <w:t xml:space="preserve">Inter-aural asymmetry was decoupled from severity and now drives a referral recommendation instead. An ear with a pure-tone average of 55 dB could previously be reported as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calculator with a REST API for EHR integration has been deployed for clinical evaluation. Future work will validate the system prospectively, explore neuro-fuzzy approaches such as ANFIS</w:t>
      </w:r>
      <w:r>
        <w:t xml:space="preserve"> </w:t>
      </w:r>
      <w:r>
        <w:t xml:space="preserve">[19]</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4"/>
    <w:bookmarkStart w:id="45"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5"/>
    <w:bookmarkStart w:id="46"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6"/>
    <w:bookmarkStart w:id="47"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7"/>
    <w:bookmarkStart w:id="82" w:name="references"/>
    <w:p>
      <w:pPr>
        <w:pStyle w:val="Heading1"/>
      </w:pPr>
      <w:r>
        <w:t xml:space="preserve">References</w:t>
      </w:r>
    </w:p>
    <w:bookmarkStart w:id="81" w:name="refs"/>
    <w:bookmarkStart w:id="48" w:name="ref-clark1981"/>
    <w:p>
      <w:pPr>
        <w:pStyle w:val="Bibliography"/>
      </w:pPr>
      <w:r>
        <w:t xml:space="preserve">[1]</w:t>
      </w:r>
      <w:r>
        <w:t xml:space="preserve"> </w:t>
      </w:r>
      <w:r>
        <w:t xml:space="preserve">	</w:t>
      </w:r>
      <w:r>
        <w:t xml:space="preserve">Clark J. Uses and abuses of hearing loss classification. ASHA 1981;23:493–500.</w:t>
      </w:r>
    </w:p>
    <w:bookmarkEnd w:id="48"/>
    <w:bookmarkStart w:id="49"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49"/>
    <w:bookmarkStart w:id="51"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0">
        <w:r>
          <w:rPr>
            <w:rStyle w:val="Hyperlink"/>
          </w:rPr>
          <w:t xml:space="preserve">https://doi.org/10.26599/joto.2025.9540005</w:t>
        </w:r>
      </w:hyperlink>
      <w:r>
        <w:t xml:space="preserve">.</w:t>
      </w:r>
    </w:p>
    <w:bookmarkEnd w:id="51"/>
    <w:bookmarkStart w:id="53" w:name="ref-ceriani2025"/>
    <w:p>
      <w:pPr>
        <w:pStyle w:val="Bibliography"/>
      </w:pPr>
      <w:r>
        <w:t xml:space="preserve">[4]</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2">
        <w:r>
          <w:rPr>
            <w:rStyle w:val="Hyperlink"/>
          </w:rPr>
          <w:t xml:space="preserve">https://doi.org/10.1016/j.heares.2025.109328</w:t>
        </w:r>
      </w:hyperlink>
      <w:r>
        <w:t xml:space="preserve">.</w:t>
      </w:r>
    </w:p>
    <w:bookmarkEnd w:id="53"/>
    <w:bookmarkStart w:id="55" w:name="ref-saak2022"/>
    <w:p>
      <w:pPr>
        <w:pStyle w:val="Bibliography"/>
      </w:pPr>
      <w:r>
        <w:t xml:space="preserve">[5]</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[6]</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[7]</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[8]</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[9]</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[11]</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[12]</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[13]</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[14]</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[15]</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[16]</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[17]</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[18]</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[19]</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2026-09-25T20:05:13Z</dcterms:created>
  <dcterms:modified xsi:type="dcterms:W3CDTF">2026-09-25T20:05:13Z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