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21.png" ContentType="image/png"/>
  <Override PartName="/word/media/rId24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NHANES Audiometry 2017–2020: Complete Exploratory Data Analysis</w:t>
      </w:r>
    </w:p>
    <w:p>
      <w:pPr>
        <w:pStyle w:val="Subtitle"/>
      </w:pPr>
      <w:r>
        <w:t xml:space="preserve">Fuzzy Audiometric Index project — dataset characterisation</w:t>
      </w:r>
    </w:p>
    <w:p>
      <w:pPr>
        <w:pStyle w:val="Date"/>
      </w:pPr>
      <w:r>
        <w:t xml:space="preserve">2026-08-14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ata-source-and-files"/>
    <w:p>
      <w:pPr>
        <w:pStyle w:val="Heading1"/>
      </w:pPr>
      <w:r>
        <w:t xml:space="preserve">Data Source and Files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 file:</w:t>
      </w:r>
      <w:r>
        <w:t xml:space="preserve"> </w:t>
      </w:r>
      <w:r>
        <w:rPr>
          <w:rStyle w:val="VerbatimChar"/>
        </w:rPr>
        <w:t xml:space="preserve">P_AUX.xpt</w:t>
      </w:r>
      <w:r>
        <w:t xml:space="preserve"> </w:t>
      </w:r>
      <w:r>
        <w:t xml:space="preserve">— NHANES 2017–2020 (pre-pandemic) audiometry examination + hearing questionnaire,</w:t>
      </w:r>
      <w:r>
        <w:t xml:space="preserve"> </w:t>
      </w:r>
      <w:r>
        <w:rPr>
          <w:b/>
          <w:bCs/>
        </w:rPr>
        <w:t xml:space="preserve">5,147 participants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Demographic file:</w:t>
      </w:r>
      <w:r>
        <w:t xml:space="preserve"> </w:t>
      </w:r>
      <w:r>
        <w:rPr>
          <w:rStyle w:val="VerbatimChar"/>
        </w:rPr>
        <w:t xml:space="preserve">P_DEMO.xpt</w:t>
      </w:r>
      <w:r>
        <w:t xml:space="preserve"> </w:t>
      </w:r>
      <w:r>
        <w:t xml:space="preserve">(2017–2020 pre-pandemic combined release) — linked by</w:t>
      </w:r>
      <w:r>
        <w:t xml:space="preserve"> </w:t>
      </w:r>
      <w:r>
        <w:rPr>
          <w:rStyle w:val="VerbatimChar"/>
        </w:rPr>
        <w:t xml:space="preserve">SEQN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Frequencies tested:</w:t>
      </w:r>
      <w:r>
        <w:t xml:space="preserve"> </w:t>
      </w:r>
      <w:r>
        <w:t xml:space="preserve">500, 1000, 2000, 3000, 4000, 6000, 8000 Hz, air-conduction, both ears (14 threshold variables).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Additional data in file:</w:t>
      </w:r>
      <w:r>
        <w:t xml:space="preserve"> </w:t>
      </w:r>
      <w:r>
        <w:t xml:space="preserve">tympanometry, otoscopy, acoustic-reflex, hearing-questionnaire items.</w:t>
      </w:r>
    </w:p>
    <w:p>
      <w:pPr>
        <w:pStyle w:val="BlockText"/>
      </w:pPr>
      <w:r>
        <w:rPr>
          <w:b/>
          <w:bCs/>
        </w:rPr>
        <w:t xml:space="preserve">Protocol note (critical):</w:t>
      </w:r>
      <w:r>
        <w:t xml:space="preserve"> </w:t>
      </w:r>
      <w:r>
        <w:t xml:space="preserve">per NHANES protocol, audiometry in this cycle was administered to</w:t>
      </w:r>
      <w:r>
        <w:t xml:space="preserve"> </w:t>
      </w:r>
      <w:r>
        <w:rPr>
          <w:b/>
          <w:bCs/>
        </w:rPr>
        <w:t xml:space="preserve">children/adolescents aged 6–19 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adults aged ≥70 y</w:t>
      </w:r>
      <w:r>
        <w:t xml:space="preserve">. The file contains</w:t>
      </w:r>
      <w:r>
        <w:t xml:space="preserve"> </w:t>
      </w:r>
      <w:r>
        <w:rPr>
          <w:b/>
          <w:bCs/>
        </w:rPr>
        <w:t xml:space="preserve">no participants aged 20–69</w:t>
      </w:r>
      <w:r>
        <w:t xml:space="preserve">.</w:t>
      </w:r>
    </w:p>
    <w:bookmarkEnd w:id="9"/>
    <w:bookmarkStart w:id="10" w:name="data-dictionary-key-variables"/>
    <w:p>
      <w:pPr>
        <w:pStyle w:val="Heading1"/>
      </w:pPr>
      <w:r>
        <w:t xml:space="preserve">Data Dictionary (key variables)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8"/>
        <w:gridCol w:w="37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SEQN</w:t>
            </w:r>
          </w:p>
        </w:tc>
        <w:tc>
          <w:tcPr/>
          <w:p>
            <w:pPr>
              <w:pStyle w:val="Compact"/>
            </w:pPr>
            <w:r>
              <w:t xml:space="preserve">Participant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AUXU{500,1k,2k,3k,4k,6k,8k}{R,L}</w:t>
            </w:r>
          </w:p>
        </w:tc>
        <w:tc>
          <w:tcPr/>
          <w:p>
            <w:pPr>
              <w:pStyle w:val="Compact"/>
            </w:pPr>
            <w:r>
              <w:t xml:space="preserve">Air-conduction thresholds (dB HL) per 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AUXTMEP{R,L}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AUXTCOMR/L</w:t>
            </w:r>
          </w:p>
        </w:tc>
        <w:tc>
          <w:tcPr/>
          <w:p>
            <w:pPr>
              <w:pStyle w:val="Compact"/>
            </w:pPr>
            <w:r>
              <w:t xml:space="preserve">Tympanometric pressure /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AUATYMTR/L</w:t>
            </w:r>
          </w:p>
        </w:tc>
        <w:tc>
          <w:tcPr/>
          <w:p>
            <w:pPr>
              <w:pStyle w:val="Compact"/>
            </w:pPr>
            <w:r>
              <w:t xml:space="preserve">Tympanogram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AUXU1K2{R,L}</w:t>
            </w:r>
          </w:p>
        </w:tc>
        <w:tc>
          <w:tcPr/>
          <w:p>
            <w:pPr>
              <w:pStyle w:val="Compact"/>
            </w:pPr>
            <w:r>
              <w:t xml:space="preserve">1 kHz retest (QC)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AUQ010</w:t>
            </w:r>
          </w:p>
        </w:tc>
        <w:tc>
          <w:tcPr/>
          <w:p>
            <w:pPr>
              <w:pStyle w:val="Compact"/>
            </w:pPr>
            <w:r>
              <w:t xml:space="preserve">Hearing-aid use item (adult subgroup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AUQ540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AUQ580</w:t>
            </w:r>
          </w:p>
        </w:tc>
        <w:tc>
          <w:tcPr/>
          <w:p>
            <w:pPr>
              <w:pStyle w:val="Compact"/>
            </w:pPr>
            <w:r>
              <w:t xml:space="preserve">3+ months loud-noise exposure items (adult subgroup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RIDAGEYR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RIAGENDR</w:t>
            </w:r>
            <w:r>
              <w:t xml:space="preserve"> </w:t>
            </w:r>
            <w:r>
              <w:t xml:space="preserve">(P_DEMO)</w:t>
            </w:r>
          </w:p>
        </w:tc>
        <w:tc>
          <w:tcPr/>
          <w:p>
            <w:pPr>
              <w:pStyle w:val="Compact"/>
            </w:pPr>
            <w:r>
              <w:t xml:space="preserve">Age (years), sex</w:t>
            </w:r>
          </w:p>
        </w:tc>
      </w:tr>
    </w:tbl>
    <w:bookmarkEnd w:id="10"/>
    <w:bookmarkStart w:id="11" w:name="cleaning-pipeline"/>
    <w:p>
      <w:pPr>
        <w:pStyle w:val="Heading1"/>
      </w:pPr>
      <w:r>
        <w:t xml:space="preserve">Cleaning Pipeline</w:t>
      </w:r>
    </w:p>
    <w:p>
      <w:pPr>
        <w:pStyle w:val="FirstParagraph"/>
      </w:pPr>
      <w:r>
        <w:t xml:space="preserve">NHANES sentinel codes are stored as numeric values and</w:t>
      </w:r>
      <w:r>
        <w:t xml:space="preserve"> </w:t>
      </w:r>
      <w:r>
        <w:rPr>
          <w:b/>
          <w:bCs/>
        </w:rPr>
        <w:t xml:space="preserve">must be converted to missing</w:t>
      </w:r>
      <w:r>
        <w:t xml:space="preserve"> </w:t>
      </w:r>
      <w:r>
        <w:t xml:space="preserve">before any statistic: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666</w:t>
            </w:r>
          </w:p>
        </w:tc>
        <w:tc>
          <w:tcPr/>
          <w:p>
            <w:pPr>
              <w:pStyle w:val="Compact"/>
            </w:pPr>
            <w:r>
              <w:t xml:space="preserve">No response at maximum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777</w:t>
            </w:r>
          </w:p>
        </w:tc>
        <w:tc>
          <w:tcPr/>
          <w:p>
            <w:pPr>
              <w:pStyle w:val="Compact"/>
            </w:pPr>
            <w:r>
              <w:t xml:space="preserve">Refused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888</w:t>
            </w:r>
          </w:p>
        </w:tc>
        <w:tc>
          <w:tcPr/>
          <w:p>
            <w:pPr>
              <w:pStyle w:val="Compact"/>
            </w:pPr>
            <w:r>
              <w:t xml:space="preserve">Could not obtain test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999</w:t>
            </w:r>
          </w:p>
        </w:tc>
        <w:tc>
          <w:tcPr/>
          <w:p>
            <w:pPr>
              <w:pStyle w:val="Compact"/>
            </w:pPr>
            <w:r>
              <w:t xml:space="preserve">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SAS subnormal (&lt;1e−70)</w:t>
            </w:r>
          </w:p>
        </w:tc>
        <w:tc>
          <w:tcPr/>
          <w:p>
            <w:pPr>
              <w:pStyle w:val="Compact"/>
            </w:pPr>
            <w:r>
              <w:t xml:space="preserve">Implied missing</w:t>
            </w:r>
          </w:p>
        </w:tc>
      </w:tr>
    </w:tbl>
    <w:p>
      <w:pPr>
        <w:pStyle w:val="BodyText"/>
      </w:pPr>
      <w:r>
        <w:t xml:space="preserve">Valid thresholds were clipped to −10 to 120 dB HL. All statistics below use cleaned values.</w:t>
      </w:r>
    </w:p>
    <w:bookmarkEnd w:id="11"/>
    <w:bookmarkStart w:id="12" w:name="sample-flow"/>
    <w:p>
      <w:pPr>
        <w:pStyle w:val="Heading1"/>
      </w:pPr>
      <w:r>
        <w:t xml:space="preserve">Sample Flow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2"/>
        <w:gridCol w:w="3960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file</w:t>
            </w:r>
          </w:p>
        </w:tc>
        <w:tc>
          <w:tcPr/>
          <w:p>
            <w:pPr>
              <w:pStyle w:val="Compact"/>
            </w:pPr>
            <w:r>
              <w:t xml:space="preserve">5,147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With audiometry exam record</w:t>
            </w:r>
          </w:p>
        </w:tc>
        <w:tc>
          <w:tcPr/>
          <w:p>
            <w:pPr>
              <w:pStyle w:val="Compact"/>
            </w:pPr>
            <w:r>
              <w:t xml:space="preserve">5,147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 status</w:t>
            </w:r>
            <w:r>
              <w:t xml:space="preserve"> </w:t>
            </w:r>
            <w:r>
              <w:t xml:space="preserve">“complete”</w:t>
            </w:r>
          </w:p>
        </w:tc>
        <w:tc>
          <w:tcPr/>
          <w:p>
            <w:pPr>
              <w:pStyle w:val="Compact"/>
            </w:pPr>
            <w:r>
              <w:t xml:space="preserve">3,775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ears (all 7 freqs, no sentinels)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2,314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3,539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of which</w:t>
            </w:r>
            <w:r>
              <w:t xml:space="preserve"> </w:t>
            </w:r>
            <w:r>
              <w:rPr>
                <w:b/>
                <w:bCs/>
              </w:rPr>
              <w:t xml:space="preserve">adults ≥20 y</w:t>
            </w:r>
            <w:r>
              <w:t xml:space="preserve"> </w:t>
            </w:r>
            <w:r>
              <w:t xml:space="preserve">(i.e. ≥70 y per protocol)</w:t>
            </w:r>
          </w:p>
        </w:tc>
        <w:tc>
          <w:tcPr/>
          <w:p>
            <w:pPr>
              <w:pStyle w:val="Compact"/>
            </w:pPr>
            <w:r>
              <w:t xml:space="preserve">1,125</w:t>
            </w:r>
          </w:p>
        </w:tc>
        <w:tc>
          <w:tcPr/>
          <w:p>
            <w:pPr>
              <w:pStyle w:val="Compact"/>
            </w:pPr>
            <w:r>
              <w:t xml:space="preserve">1,980</w:t>
            </w:r>
          </w:p>
        </w:tc>
      </w:tr>
    </w:tbl>
    <w:bookmarkEnd w:id="12"/>
    <w:bookmarkStart w:id="16" w:name="demographics"/>
    <w:p>
      <w:pPr>
        <w:pStyle w:val="Heading1"/>
      </w:pPr>
      <w:r>
        <w:t xml:space="preserve">Demographics</w:t>
      </w:r>
    </w:p>
    <w:p>
      <w:pPr>
        <w:pStyle w:val="FirstParagraph"/>
      </w:pPr>
      <w:r>
        <w:rPr>
          <w:b/>
          <w:bCs/>
        </w:rPr>
        <w:t xml:space="preserve">Age (full file, n = 5,147 with audiometry):</w:t>
      </w:r>
      <w:r>
        <w:t xml:space="preserve"> </w:t>
      </w:r>
      <w:r>
        <w:t xml:space="preserve">mean 30.7 y, median 15.0 y, range 6.0–80.0 y.</w:t>
      </w:r>
    </w:p>
    <w:p>
      <w:pPr>
        <w:pStyle w:val="BodyText"/>
      </w:pPr>
      <w:r>
        <w:rPr>
          <w:b/>
          <w:bCs/>
        </w:rPr>
        <w:t xml:space="preserve">Age-band composition (protocol effect):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 band</w:t>
            </w:r>
          </w:p>
        </w:tc>
        <w:tc>
          <w:tcPr/>
          <w:p>
            <w:pPr>
              <w:pStyle w:val="Compact"/>
            </w:pPr>
            <w:r>
              <w:t xml:space="preserve">Participants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6–19</w:t>
            </w:r>
          </w:p>
        </w:tc>
        <w:tc>
          <w:tcPr/>
          <w:p>
            <w:pPr>
              <w:pStyle w:val="Compact"/>
            </w:pPr>
            <w:r>
              <w:t xml:space="preserve">3,654.0</w:t>
            </w:r>
          </w:p>
        </w:tc>
        <w:tc>
          <w:tcPr/>
          <w:p>
            <w:pPr>
              <w:pStyle w:val="Compact"/>
            </w:pPr>
            <w:r>
              <w:t xml:space="preserve">71.0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20–39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40–59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60–69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70–79</w:t>
            </w:r>
          </w:p>
        </w:tc>
        <w:tc>
          <w:tcPr/>
          <w:p>
            <w:pPr>
              <w:pStyle w:val="Compact"/>
            </w:pPr>
            <w:r>
              <w:t xml:space="preserve">917.0</w:t>
            </w:r>
          </w:p>
        </w:tc>
        <w:tc>
          <w:tcPr/>
          <w:p>
            <w:pPr>
              <w:pStyle w:val="Compact"/>
            </w:pPr>
            <w:r>
              <w:t xml:space="preserve">17.8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80+</w:t>
            </w:r>
          </w:p>
        </w:tc>
        <w:tc>
          <w:tcPr/>
          <w:p>
            <w:pPr>
              <w:pStyle w:val="Compact"/>
            </w:pPr>
            <w:r>
              <w:t xml:space="preserve">576.0</w:t>
            </w:r>
          </w:p>
        </w:tc>
        <w:tc>
          <w:tcPr/>
          <w:p>
            <w:pPr>
              <w:pStyle w:val="Compact"/>
            </w:pPr>
            <w:r>
              <w:t xml:space="preserve">11.2</w:t>
            </w:r>
          </w:p>
        </w:tc>
      </w:tr>
    </w:tbl>
    <w:p>
      <w:pPr>
        <w:pStyle w:val="CaptionedFigure"/>
      </w:pPr>
      <w:r>
        <w:drawing>
          <wp:inline>
            <wp:extent cx="5334000" cy="2902085"/>
            <wp:effectExtent b="0" l="0" r="0" t="0"/>
            <wp:docPr descr="Age distribution" title="" id="14" name="Picture"/>
            <a:graphic>
              <a:graphicData uri="http://schemas.openxmlformats.org/drawingml/2006/picture">
                <pic:pic>
                  <pic:nvPicPr>
                    <pic:cNvPr descr="figures/fig_eda01_age_hist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 distribution</w:t>
      </w:r>
    </w:p>
    <w:p>
      <w:pPr>
        <w:pStyle w:val="BodyText"/>
      </w:pPr>
      <w:r>
        <w:rPr>
          <w:b/>
          <w:bCs/>
        </w:rPr>
        <w:t xml:space="preserve">Sex:</w:t>
      </w:r>
      <w:r>
        <w:t xml:space="preserve"> </w:t>
      </w:r>
      <w:r>
        <w:t xml:space="preserve">full file 48.8% female; clean-ear set 49.9%; adult clean set 51.4%.</w:t>
      </w:r>
    </w:p>
    <w:p>
      <w:pPr>
        <w:pStyle w:val="BodyText"/>
      </w:pPr>
      <w:r>
        <w:rPr>
          <w:b/>
          <w:bCs/>
        </w:rPr>
        <w:t xml:space="preserve">Clean-ear set age:</w:t>
      </w:r>
      <w:r>
        <w:t xml:space="preserve"> </w:t>
      </w:r>
      <w:r>
        <w:t xml:space="preserve">mean 47.8 y (SD 31.6), median 70.0 — the complete-threshold subset skews older because older adults who completed all frequencies (and children) both contribute, while the 6–19 group remains the largest single band.</w:t>
      </w:r>
    </w:p>
    <w:bookmarkEnd w:id="16"/>
    <w:bookmarkStart w:id="20" w:name="threshold-distributions"/>
    <w:p>
      <w:pPr>
        <w:pStyle w:val="Heading1"/>
      </w:pPr>
      <w:r>
        <w:t xml:space="preserve">Threshold Distributions</w:t>
      </w:r>
    </w:p>
    <w:p>
      <w:pPr>
        <w:pStyle w:val="CaptionedFigure"/>
      </w:pPr>
      <w:r>
        <w:drawing>
          <wp:inline>
            <wp:extent cx="5334000" cy="2902085"/>
            <wp:effectExtent b="0" l="0" r="0" t="0"/>
            <wp:docPr descr="Threshold box plots by frequency" title="" id="18" name="Picture"/>
            <a:graphic>
              <a:graphicData uri="http://schemas.openxmlformats.org/drawingml/2006/picture">
                <pic:pic>
                  <pic:nvPicPr>
                    <pic:cNvPr descr="figures/fig_eda02_threshold_box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Threshold box plots by frequency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n (pooled)</w:t>
            </w:r>
          </w:p>
        </w:tc>
        <w:tc>
          <w:tcPr/>
          <w:p>
            <w:pPr>
              <w:pStyle w:val="Compact"/>
            </w:pPr>
            <w:r>
              <w:t xml:space="preserve">Mean (dB)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0.5k</w:t>
            </w:r>
          </w:p>
        </w:tc>
        <w:tc>
          <w:tcPr/>
          <w:p>
            <w:pPr>
              <w:pStyle w:val="Compact"/>
            </w:pPr>
            <w:r>
              <w:t xml:space="preserve">7,284</w:t>
            </w:r>
          </w:p>
        </w:tc>
        <w:tc>
          <w:tcPr/>
          <w:p>
            <w:pPr>
              <w:pStyle w:val="Compact"/>
            </w:pPr>
            <w:r>
              <w:t xml:space="preserve">14.3</w:t>
            </w:r>
          </w:p>
        </w:tc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1k</w:t>
            </w:r>
          </w:p>
        </w:tc>
        <w:tc>
          <w:tcPr/>
          <w:p>
            <w:pPr>
              <w:pStyle w:val="Compact"/>
            </w:pPr>
            <w:r>
              <w:t xml:space="preserve">7,291</w:t>
            </w:r>
          </w:p>
        </w:tc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2k</w:t>
            </w:r>
          </w:p>
        </w:tc>
        <w:tc>
          <w:tcPr/>
          <w:p>
            <w:pPr>
              <w:pStyle w:val="Compact"/>
            </w:pPr>
            <w:r>
              <w:t xml:space="preserve">7,373</w:t>
            </w:r>
          </w:p>
        </w:tc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19.7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3k</w:t>
            </w:r>
          </w:p>
        </w:tc>
        <w:tc>
          <w:tcPr/>
          <w:p>
            <w:pPr>
              <w:pStyle w:val="Compact"/>
            </w:pPr>
            <w:r>
              <w:t xml:space="preserve">7,054</w:t>
            </w:r>
          </w:p>
        </w:tc>
        <w:tc>
          <w:tcPr/>
          <w:p>
            <w:pPr>
              <w:pStyle w:val="Compact"/>
            </w:pPr>
            <w:r>
              <w:t xml:space="preserve">21.7</w:t>
            </w:r>
          </w:p>
        </w:tc>
        <w:tc>
          <w:tcPr/>
          <w:p>
            <w:pPr>
              <w:pStyle w:val="Compact"/>
            </w:pPr>
            <w:r>
              <w:t xml:space="preserve">23.0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4k</w:t>
            </w:r>
          </w:p>
        </w:tc>
        <w:tc>
          <w:tcPr/>
          <w:p>
            <w:pPr>
              <w:pStyle w:val="Compact"/>
            </w:pPr>
            <w:r>
              <w:t xml:space="preserve">7,349</w:t>
            </w:r>
          </w:p>
        </w:tc>
        <w:tc>
          <w:tcPr/>
          <w:p>
            <w:pPr>
              <w:pStyle w:val="Compact"/>
            </w:pPr>
            <w:r>
              <w:t xml:space="preserve">22.5</w:t>
            </w:r>
          </w:p>
        </w:tc>
        <w:tc>
          <w:tcPr/>
          <w:p>
            <w:pPr>
              <w:pStyle w:val="Compact"/>
            </w:pPr>
            <w:r>
              <w:t xml:space="preserve">25.3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6k</w:t>
            </w:r>
          </w:p>
        </w:tc>
        <w:tc>
          <w:tcPr/>
          <w:p>
            <w:pPr>
              <w:pStyle w:val="Compact"/>
            </w:pPr>
            <w:r>
              <w:t xml:space="preserve">7,245</w:t>
            </w:r>
          </w:p>
        </w:tc>
        <w:tc>
          <w:tcPr/>
          <w:p>
            <w:pPr>
              <w:pStyle w:val="Compact"/>
            </w:pPr>
            <w:r>
              <w:t xml:space="preserve">25.2</w:t>
            </w:r>
          </w:p>
        </w:tc>
        <w:tc>
          <w:tcPr/>
          <w:p>
            <w:pPr>
              <w:pStyle w:val="Compact"/>
            </w:pPr>
            <w:r>
              <w:t xml:space="preserve">25.9</w:t>
            </w:r>
          </w:p>
        </w:tc>
        <w:tc>
          <w:tcPr/>
          <w:p>
            <w:pPr>
              <w:pStyle w:val="Compact"/>
            </w:pPr>
            <w:r>
              <w:t xml:space="preserve">15.0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8k</w:t>
            </w:r>
          </w:p>
        </w:tc>
        <w:tc>
          <w:tcPr/>
          <w:p>
            <w:pPr>
              <w:pStyle w:val="Compact"/>
            </w:pPr>
            <w:r>
              <w:t xml:space="preserve">7,140</w:t>
            </w:r>
          </w:p>
        </w:tc>
        <w:tc>
          <w:tcPr/>
          <w:p>
            <w:pPr>
              <w:pStyle w:val="Compact"/>
            </w:pPr>
            <w:r>
              <w:t xml:space="preserve">23.3</w:t>
            </w:r>
          </w:p>
        </w:tc>
        <w:tc>
          <w:tcPr/>
          <w:p>
            <w:pPr>
              <w:pStyle w:val="Compact"/>
            </w:pPr>
            <w:r>
              <w:t xml:space="preserve">27.3</w:t>
            </w:r>
          </w:p>
        </w:tc>
        <w:tc>
          <w:tcPr/>
          <w:p>
            <w:pPr>
              <w:pStyle w:val="Compact"/>
            </w:pPr>
            <w:r>
              <w:t xml:space="preserve">10.0</w:t>
            </w:r>
          </w:p>
        </w:tc>
      </w:tr>
    </w:tbl>
    <w:p>
      <w:pPr>
        <w:pStyle w:val="BodyText"/>
      </w:pPr>
      <w:r>
        <w:t xml:space="preserve">Thresholds increase monotonically with frequency — the classic high-frequency loss pattern.</w:t>
      </w:r>
    </w:p>
    <w:bookmarkEnd w:id="20"/>
    <w:bookmarkStart w:id="27" w:name="pta-4-and-who-severity"/>
    <w:p>
      <w:pPr>
        <w:pStyle w:val="Heading1"/>
      </w:pPr>
      <w:r>
        <w:t xml:space="preserve">PTA-4 and WHO Severity</w:t>
      </w:r>
    </w:p>
    <w:p>
      <w:pPr>
        <w:pStyle w:val="FirstParagraph"/>
      </w:pPr>
      <w:r>
        <w:t xml:space="preserve">PTA-4 = mean of 500, 1000, 2000, 4000 Hz.</w:t>
      </w:r>
    </w:p>
    <w:p>
      <w:pPr>
        <w:pStyle w:val="CaptionedFigure"/>
      </w:pPr>
      <w:r>
        <w:drawing>
          <wp:inline>
            <wp:extent cx="5334000" cy="2902085"/>
            <wp:effectExtent b="0" l="0" r="0" t="0"/>
            <wp:docPr descr="PTA-4 — all clean ears" title="" id="22" name="Picture"/>
            <a:graphic>
              <a:graphicData uri="http://schemas.openxmlformats.org/drawingml/2006/picture">
                <pic:pic>
                  <pic:nvPicPr>
                    <pic:cNvPr descr="figures/fig_eda03_pta_all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PTA-4 — all clean ears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 (WHO)</w:t>
            </w:r>
          </w:p>
        </w:tc>
        <w:tc>
          <w:tcPr/>
          <w:p>
            <w:pPr>
              <w:pStyle w:val="Compact"/>
            </w:pPr>
            <w:r>
              <w:t xml:space="preserve">All clean ears</w:t>
            </w:r>
          </w:p>
        </w:tc>
        <w:tc>
          <w:tcPr/>
          <w:p>
            <w:pPr>
              <w:pStyle w:val="Compact"/>
            </w:pPr>
            <w:r>
              <w:t xml:space="preserve">Adults ≥20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62.8%</w:t>
            </w:r>
          </w:p>
        </w:tc>
        <w:tc>
          <w:tcPr/>
          <w:p>
            <w:pPr>
              <w:pStyle w:val="Compact"/>
            </w:pPr>
            <w:r>
              <w:t xml:space="preserve">37.5%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Mild</w:t>
            </w:r>
          </w:p>
        </w:tc>
        <w:tc>
          <w:tcPr/>
          <w:p>
            <w:pPr>
              <w:pStyle w:val="Compact"/>
            </w:pPr>
            <w:r>
              <w:t xml:space="preserve">22.9%</w:t>
            </w:r>
          </w:p>
        </w:tc>
        <w:tc>
          <w:tcPr/>
          <w:p>
            <w:pPr>
              <w:pStyle w:val="Compact"/>
            </w:pPr>
            <w:r>
              <w:t xml:space="preserve">38.3%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11.4%</w:t>
            </w:r>
          </w:p>
        </w:tc>
        <w:tc>
          <w:tcPr/>
          <w:p>
            <w:pPr>
              <w:pStyle w:val="Compact"/>
            </w:pPr>
            <w:r>
              <w:t xml:space="preserve">19.5%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Moderately Severe</w:t>
            </w:r>
          </w:p>
        </w:tc>
        <w:tc>
          <w:tcPr/>
          <w:p>
            <w:pPr>
              <w:pStyle w:val="Compact"/>
            </w:pPr>
            <w:r>
              <w:t xml:space="preserve">2.4%</w:t>
            </w:r>
          </w:p>
        </w:tc>
        <w:tc>
          <w:tcPr/>
          <w:p>
            <w:pPr>
              <w:pStyle w:val="Compact"/>
            </w:pPr>
            <w:r>
              <w:t xml:space="preserve">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Severe</w:t>
            </w:r>
          </w:p>
        </w:tc>
        <w:tc>
          <w:tcPr/>
          <w:p>
            <w:pPr>
              <w:pStyle w:val="Compact"/>
            </w:pPr>
            <w:r>
              <w:t xml:space="preserve">0.4%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Profound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</w:tr>
    </w:tbl>
    <w:p>
      <w:pPr>
        <w:pStyle w:val="CaptionedFigure"/>
      </w:pPr>
      <w:r>
        <w:drawing>
          <wp:inline>
            <wp:extent cx="5334000" cy="2902085"/>
            <wp:effectExtent b="0" l="0" r="0" t="0"/>
            <wp:docPr descr="PTA-4 — adults ≥20 y" title="" id="25" name="Picture"/>
            <a:graphic>
              <a:graphicData uri="http://schemas.openxmlformats.org/drawingml/2006/picture">
                <pic:pic>
                  <pic:nvPicPr>
                    <pic:cNvPr descr="figures/fig_eda04_pta_adul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PTA-4 — adults ≥20 y</w:t>
      </w:r>
    </w:p>
    <w:bookmarkEnd w:id="27"/>
    <w:bookmarkStart w:id="28" w:name="the-borderline-problem"/>
    <w:p>
      <w:pPr>
        <w:pStyle w:val="Heading1"/>
      </w:pPr>
      <w:r>
        <w:t xml:space="preserve">The Borderline Problem</w:t>
      </w:r>
    </w:p>
    <w:p>
      <w:pPr>
        <w:pStyle w:val="FirstParagraph"/>
      </w:pPr>
      <w:r>
        <w:t xml:space="preserve">Share of ears within ±5 dB of a WHO severity boundary: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 zone</w:t>
            </w:r>
          </w:p>
        </w:tc>
        <w:tc>
          <w:tcPr/>
          <w:p>
            <w:pPr>
              <w:pStyle w:val="Compact"/>
            </w:pPr>
            <w:r>
              <w:t xml:space="preserve">dB range</w:t>
            </w:r>
          </w:p>
        </w:tc>
        <w:tc>
          <w:tcPr/>
          <w:p>
            <w:pPr>
              <w:pStyle w:val="Compact"/>
            </w:pPr>
            <w:r>
              <w:t xml:space="preserve">All clean ears</w:t>
            </w:r>
          </w:p>
        </w:tc>
        <w:tc>
          <w:tcPr/>
          <w:p>
            <w:pPr>
              <w:pStyle w:val="Compact"/>
            </w:pPr>
            <w:r>
              <w:t xml:space="preserve">Adults ≥20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Normal–Mild</w:t>
            </w:r>
          </w:p>
        </w:tc>
        <w:tc>
          <w:tcPr/>
          <w:p>
            <w:pPr>
              <w:pStyle w:val="Compact"/>
            </w:pPr>
            <w:r>
              <w:t xml:space="preserve">20–30 dB</w:t>
            </w:r>
          </w:p>
        </w:tc>
        <w:tc>
          <w:tcPr/>
          <w:p>
            <w:pPr>
              <w:pStyle w:val="Compact"/>
            </w:pPr>
            <w:r>
              <w:t xml:space="preserve">20.6%</w:t>
            </w:r>
          </w:p>
        </w:tc>
        <w:tc>
          <w:tcPr/>
          <w:p>
            <w:pPr>
              <w:pStyle w:val="Compact"/>
            </w:pPr>
            <w:r>
              <w:t xml:space="preserve">32.0%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Mild–Moderate</w:t>
            </w:r>
          </w:p>
        </w:tc>
        <w:tc>
          <w:tcPr/>
          <w:p>
            <w:pPr>
              <w:pStyle w:val="Compact"/>
            </w:pPr>
            <w:r>
              <w:t xml:space="preserve">35–45 dB</w:t>
            </w:r>
          </w:p>
        </w:tc>
        <w:tc>
          <w:tcPr/>
          <w:p>
            <w:pPr>
              <w:pStyle w:val="Compact"/>
            </w:pPr>
            <w:r>
              <w:t xml:space="preserve">13.1%</w:t>
            </w:r>
          </w:p>
        </w:tc>
        <w:tc>
          <w:tcPr/>
          <w:p>
            <w:pPr>
              <w:pStyle w:val="Compact"/>
            </w:pPr>
            <w:r>
              <w:t xml:space="preserve">22.2%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Moderate–Mod-Sev</w:t>
            </w:r>
          </w:p>
        </w:tc>
        <w:tc>
          <w:tcPr/>
          <w:p>
            <w:pPr>
              <w:pStyle w:val="Compact"/>
            </w:pPr>
            <w:r>
              <w:t xml:space="preserve">50–60 dB</w:t>
            </w:r>
          </w:p>
        </w:tc>
        <w:tc>
          <w:tcPr/>
          <w:p>
            <w:pPr>
              <w:pStyle w:val="Compact"/>
            </w:pPr>
            <w:r>
              <w:t xml:space="preserve">4.7%</w:t>
            </w:r>
          </w:p>
        </w:tc>
        <w:tc>
          <w:tcPr/>
          <w:p>
            <w:pPr>
              <w:pStyle w:val="Compact"/>
            </w:pPr>
            <w:r>
              <w:t xml:space="preserve">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Mod-Sev–Severe</w:t>
            </w:r>
          </w:p>
        </w:tc>
        <w:tc>
          <w:tcPr/>
          <w:p>
            <w:pPr>
              <w:pStyle w:val="Compact"/>
            </w:pPr>
            <w:r>
              <w:t xml:space="preserve">65–75 dB</w:t>
            </w:r>
          </w:p>
        </w:tc>
        <w:tc>
          <w:tcPr/>
          <w:p>
            <w:pPr>
              <w:pStyle w:val="Compact"/>
            </w:pPr>
            <w:r>
              <w:t xml:space="preserve">0.7%</w:t>
            </w:r>
          </w:p>
        </w:tc>
        <w:tc>
          <w:tcPr/>
          <w:p>
            <w:pPr>
              <w:pStyle w:val="Compact"/>
            </w:pPr>
            <w:r>
              <w:t xml:space="preserve">1.1%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Severe–Profound</w:t>
            </w:r>
          </w:p>
        </w:tc>
        <w:tc>
          <w:tcPr/>
          <w:p>
            <w:pPr>
              <w:pStyle w:val="Compact"/>
            </w:pPr>
            <w:r>
              <w:t xml:space="preserve">85–95 dB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</w:tr>
    </w:tbl>
    <w:p>
      <w:pPr>
        <w:pStyle w:val="BodyText"/>
      </w:pPr>
      <w:r>
        <w:rPr>
          <w:b/>
          <w:bCs/>
        </w:rPr>
        <w:t xml:space="preserve">39.2%</w:t>
      </w:r>
      <w:r>
        <w:t xml:space="preserve"> </w:t>
      </w:r>
      <w:r>
        <w:t xml:space="preserve">of all clean ears and</w:t>
      </w:r>
      <w:r>
        <w:t xml:space="preserve"> </w:t>
      </w:r>
      <w:r>
        <w:rPr>
          <w:b/>
          <w:bCs/>
        </w:rPr>
        <w:t xml:space="preserve">63.6%</w:t>
      </w:r>
      <w:r>
        <w:t xml:space="preserve"> </w:t>
      </w:r>
      <w:r>
        <w:t xml:space="preserve">of adult ears fall within ±5 dB of a boundary — the population where crisp classification is least reliable.</w:t>
      </w:r>
    </w:p>
    <w:bookmarkEnd w:id="28"/>
    <w:bookmarkStart w:id="32" w:name="audiogram-configuration"/>
    <w:p>
      <w:pPr>
        <w:pStyle w:val="Heading1"/>
      </w:pPr>
      <w:r>
        <w:t xml:space="preserve">Audiogram Configuration</w:t>
      </w:r>
    </w:p>
    <w:p>
      <w:pPr>
        <w:pStyle w:val="FirstParagraph"/>
      </w:pPr>
      <w:r>
        <w:t xml:space="preserve">Slope = threshold(4 kHz) − threshold(500 Hz).</w:t>
      </w:r>
    </w:p>
    <w:p>
      <w:pPr>
        <w:pStyle w:val="CaptionedFigure"/>
      </w:pPr>
      <w:r>
        <w:drawing>
          <wp:inline>
            <wp:extent cx="5334000" cy="2188422"/>
            <wp:effectExtent b="0" l="0" r="0" t="0"/>
            <wp:docPr descr="Configuration distribution" title="" id="30" name="Picture"/>
            <a:graphic>
              <a:graphicData uri="http://schemas.openxmlformats.org/drawingml/2006/picture">
                <pic:pic>
                  <pic:nvPicPr>
                    <pic:cNvPr descr="figures/fig_eda05_config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84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Configuration distribution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All clean ears</w:t>
            </w:r>
          </w:p>
        </w:tc>
        <w:tc>
          <w:tcPr/>
          <w:p>
            <w:pPr>
              <w:pStyle w:val="Compact"/>
            </w:pPr>
            <w:r>
              <w:t xml:space="preserve">Adults ≥20 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Flat</w:t>
            </w:r>
          </w:p>
        </w:tc>
        <w:tc>
          <w:tcPr/>
          <w:p>
            <w:pPr>
              <w:pStyle w:val="Compact"/>
            </w:pPr>
            <w:r>
              <w:t xml:space="preserve">43.0%</w:t>
            </w:r>
          </w:p>
        </w:tc>
        <w:tc>
          <w:tcPr/>
          <w:p>
            <w:pPr>
              <w:pStyle w:val="Compact"/>
            </w:pPr>
            <w:r>
              <w:t xml:space="preserve">22.0%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Gently Sloping</w:t>
            </w:r>
          </w:p>
        </w:tc>
        <w:tc>
          <w:tcPr/>
          <w:p>
            <w:pPr>
              <w:pStyle w:val="Compact"/>
            </w:pPr>
            <w:r>
              <w:t xml:space="preserve">19.4%</w:t>
            </w:r>
          </w:p>
        </w:tc>
        <w:tc>
          <w:tcPr/>
          <w:p>
            <w:pPr>
              <w:pStyle w:val="Compact"/>
            </w:pPr>
            <w:r>
              <w:t xml:space="preserve">29.7%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Steeply Sloping</w:t>
            </w:r>
          </w:p>
        </w:tc>
        <w:tc>
          <w:tcPr/>
          <w:p>
            <w:pPr>
              <w:pStyle w:val="Compact"/>
            </w:pPr>
            <w:r>
              <w:t xml:space="preserve">18.1%</w:t>
            </w:r>
          </w:p>
        </w:tc>
        <w:tc>
          <w:tcPr/>
          <w:p>
            <w:pPr>
              <w:pStyle w:val="Compact"/>
            </w:pPr>
            <w:r>
              <w:t xml:space="preserve">31.8%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Precipitous</w:t>
            </w:r>
          </w:p>
        </w:tc>
        <w:tc>
          <w:tcPr/>
          <w:p>
            <w:pPr>
              <w:pStyle w:val="Compact"/>
            </w:pPr>
            <w:r>
              <w:t xml:space="preserve">7.5%</w:t>
            </w:r>
          </w:p>
        </w:tc>
        <w:tc>
          <w:tcPr/>
          <w:p>
            <w:pPr>
              <w:pStyle w:val="Compact"/>
            </w:pPr>
            <w:r>
              <w:t xml:space="preserve">13.4%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Rising</w:t>
            </w:r>
          </w:p>
        </w:tc>
        <w:tc>
          <w:tcPr/>
          <w:p>
            <w:pPr>
              <w:pStyle w:val="Compact"/>
            </w:pPr>
            <w:r>
              <w:t xml:space="preserve">12.0%</w:t>
            </w:r>
          </w:p>
        </w:tc>
        <w:tc>
          <w:tcPr/>
          <w:p>
            <w:pPr>
              <w:pStyle w:val="Compact"/>
            </w:pPr>
            <w:r>
              <w:t xml:space="preserve">3.1%</w:t>
            </w:r>
          </w:p>
        </w:tc>
      </w:tr>
    </w:tbl>
    <w:bookmarkEnd w:id="32"/>
    <w:bookmarkStart w:id="36" w:name="inter-aural-asymmetry"/>
    <w:p>
      <w:pPr>
        <w:pStyle w:val="Heading1"/>
      </w:pPr>
      <w:r>
        <w:t xml:space="preserve">Inter-Aural Asymmetry</w:t>
      </w:r>
    </w:p>
    <w:p>
      <w:pPr>
        <w:pStyle w:val="FirstParagraph"/>
      </w:pPr>
      <w:r>
        <w:t xml:space="preserve">Bilateral participants only (n = 1,225); |PTA-4 R − PTA-4 L|:</w:t>
      </w:r>
    </w:p>
    <w:p>
      <w:pPr>
        <w:pStyle w:val="Compact"/>
        <w:numPr>
          <w:ilvl w:val="0"/>
          <w:numId w:val="1002"/>
        </w:numPr>
      </w:pPr>
      <w:r>
        <w:t xml:space="preserve">Symmetric (≤15 dB): 94.0%</w:t>
      </w:r>
    </w:p>
    <w:p>
      <w:pPr>
        <w:pStyle w:val="Compact"/>
        <w:numPr>
          <w:ilvl w:val="0"/>
          <w:numId w:val="1002"/>
        </w:numPr>
      </w:pPr>
      <w:r>
        <w:t xml:space="preserve">Mildly asymmetric (16–30 dB): 5.3%</w:t>
      </w:r>
    </w:p>
    <w:p>
      <w:pPr>
        <w:pStyle w:val="Compact"/>
        <w:numPr>
          <w:ilvl w:val="0"/>
          <w:numId w:val="1002"/>
        </w:numPr>
      </w:pPr>
      <w:r>
        <w:t xml:space="preserve">Moderately asymmetric (31–45 dB): 0.6%</w:t>
      </w:r>
    </w:p>
    <w:p>
      <w:pPr>
        <w:pStyle w:val="Compact"/>
        <w:numPr>
          <w:ilvl w:val="0"/>
          <w:numId w:val="1002"/>
        </w:numPr>
      </w:pPr>
      <w:r>
        <w:t xml:space="preserve">Severely asymmetric (&gt;45 dB): 0.2%</w:t>
      </w:r>
    </w:p>
    <w:p>
      <w:pPr>
        <w:pStyle w:val="FirstParagraph"/>
      </w:pPr>
      <w:r>
        <w:t xml:space="preserve">Mean asymmetry 5.6 dB, median 3.8 dB.</w:t>
      </w:r>
    </w:p>
    <w:p>
      <w:pPr>
        <w:pStyle w:val="CaptionedFigure"/>
      </w:pPr>
      <w:r>
        <w:drawing>
          <wp:inline>
            <wp:extent cx="5334000" cy="2631872"/>
            <wp:effectExtent b="0" l="0" r="0" t="0"/>
            <wp:docPr descr="Inter-aural asymmetry" title="" id="34" name="Picture"/>
            <a:graphic>
              <a:graphicData uri="http://schemas.openxmlformats.org/drawingml/2006/picture">
                <pic:pic>
                  <pic:nvPicPr>
                    <pic:cNvPr descr="figures/fig_eda06_asymmetry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1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Inter-aural asymmetry</w:t>
      </w:r>
    </w:p>
    <w:bookmarkEnd w:id="36"/>
    <w:bookmarkStart w:id="40" w:name="inter-frequency-correlations"/>
    <w:p>
      <w:pPr>
        <w:pStyle w:val="Heading1"/>
      </w:pPr>
      <w:r>
        <w:t xml:space="preserve">Inter-Frequency Correlations</w:t>
      </w:r>
    </w:p>
    <w:p>
      <w:pPr>
        <w:pStyle w:val="CaptionedFigure"/>
      </w:pPr>
      <w:r>
        <w:drawing>
          <wp:inline>
            <wp:extent cx="5334000" cy="4694700"/>
            <wp:effectExtent b="0" l="0" r="0" t="0"/>
            <wp:docPr descr="Correlation matrix" title="" id="38" name="Picture"/>
            <a:graphic>
              <a:graphicData uri="http://schemas.openxmlformats.org/drawingml/2006/picture">
                <pic:pic>
                  <pic:nvPicPr>
                    <pic:cNvPr descr="figures/fig_eda07_cor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4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Correlation matrix</w:t>
      </w:r>
    </w:p>
    <w:p>
      <w:pPr>
        <w:pStyle w:val="BodyText"/>
      </w:pPr>
      <w:r>
        <w:t xml:space="preserve">Adjacent-frequency correlations are high (mean r = 0.88); the 500 Hz–8 kHz correlation is moderate (r = 0.55) — frequency-specific information is partly independent of the PTA average.</w:t>
      </w:r>
    </w:p>
    <w:bookmarkEnd w:id="40"/>
    <w:bookmarkStart w:id="44" w:name="missing-data-patterns"/>
    <w:p>
      <w:pPr>
        <w:pStyle w:val="Heading1"/>
      </w:pPr>
      <w:r>
        <w:t xml:space="preserve">Missing Data Patterns</w:t>
      </w:r>
    </w:p>
    <w:p>
      <w:pPr>
        <w:pStyle w:val="CaptionedFigure"/>
      </w:pPr>
      <w:r>
        <w:drawing>
          <wp:inline>
            <wp:extent cx="5334000" cy="2902085"/>
            <wp:effectExtent b="0" l="0" r="0" t="0"/>
            <wp:docPr descr="Missing/sentinel share by age band" title="" id="42" name="Picture"/>
            <a:graphic>
              <a:graphicData uri="http://schemas.openxmlformats.org/drawingml/2006/picture">
                <pic:pic>
                  <pic:nvPicPr>
                    <pic:cNvPr descr="figures/fig_eda08_missing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0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Missing/sentinel share by age band</w:t>
      </w:r>
    </w:p>
    <w:p>
      <w:pPr>
        <w:pStyle w:val="BodyText"/>
      </w:pPr>
      <w:r>
        <w:t xml:space="preserve">Older participants have far higher missing/sentinel rates at high frequencies — the reason the clean-ear set (all 7 frequencies required) skews younger per participant even though adult ears dominate the ear count.</w:t>
      </w:r>
    </w:p>
    <w:bookmarkEnd w:id="44"/>
    <w:bookmarkStart w:id="45" w:name="adult-only-20-y-subset-decision-notes"/>
    <w:p>
      <w:pPr>
        <w:pStyle w:val="Heading1"/>
      </w:pPr>
      <w:r>
        <w:t xml:space="preserve">Adult-Only (≥20 y) Subset — Decision Notes</w:t>
      </w:r>
    </w:p>
    <w:p>
      <w:pPr>
        <w:pStyle w:val="Compact"/>
        <w:numPr>
          <w:ilvl w:val="0"/>
          <w:numId w:val="1003"/>
        </w:numPr>
      </w:pPr>
      <w:r>
        <w:t xml:space="preserve">Because the protocol tested only 6–19 and ≥70,</w:t>
      </w:r>
      <w:r>
        <w:t xml:space="preserve"> </w:t>
      </w:r>
      <w:r>
        <w:rPr>
          <w:b/>
          <w:bCs/>
        </w:rPr>
        <w:t xml:space="preserve">“adults ≥20”</w:t>
      </w:r>
      <w:r>
        <w:rPr>
          <w:b/>
          <w:bCs/>
        </w:rPr>
        <w:t xml:space="preserve"> </w:t>
      </w:r>
      <w:r>
        <w:rPr>
          <w:b/>
          <w:bCs/>
        </w:rPr>
        <w:t xml:space="preserve">is exactly the ≥70 subgroup</w:t>
      </w:r>
      <w:r>
        <w:t xml:space="preserve">: 1,125 participants, 1,980 clean ears.</w:t>
      </w:r>
    </w:p>
    <w:p>
      <w:pPr>
        <w:pStyle w:val="Compact"/>
        <w:numPr>
          <w:ilvl w:val="0"/>
          <w:numId w:val="1003"/>
        </w:numPr>
      </w:pPr>
      <w:r>
        <w:t xml:space="preserve">Adult clean-ear age: mean 75.7 (SD 3.8), median 76.0.</w:t>
      </w:r>
    </w:p>
    <w:p>
      <w:pPr>
        <w:pStyle w:val="Compact"/>
        <w:numPr>
          <w:ilvl w:val="0"/>
          <w:numId w:val="1003"/>
        </w:numPr>
      </w:pPr>
      <w:r>
        <w:t xml:space="preserve">Adult severity: Normal 37.5%; Mild 38.3%; Moderate 19.5%; Moderately Severe 4.2%; Severe 0.5%; Profound 0.1%.</w:t>
      </w:r>
    </w:p>
    <w:p>
      <w:pPr>
        <w:pStyle w:val="Compact"/>
        <w:numPr>
          <w:ilvl w:val="0"/>
          <w:numId w:val="1003"/>
        </w:numPr>
      </w:pPr>
      <w:r>
        <w:t xml:space="preserve">Borderline share: 63.6%; configuration: Flat 22.0%, Gently Sloping 29.7%, Steeply Sloping 31.8%, Precipitous 13.4%, Rising 3.1%.</w:t>
      </w:r>
    </w:p>
    <w:p>
      <w:pPr>
        <w:pStyle w:val="Compact"/>
        <w:numPr>
          <w:ilvl w:val="0"/>
          <w:numId w:val="1003"/>
        </w:numPr>
      </w:pPr>
      <w:r>
        <w:t xml:space="preserve">The FIS membership functions were optimised on the full training set (all ages); an adults-only analysis re-runs validation on this subset with the deployed parameters, or can re-optimise parameters on adult training data (larger change).</w:t>
      </w:r>
    </w:p>
    <w:bookmarkEnd w:id="45"/>
    <w:bookmarkStart w:id="46" w:name="key-takeaways"/>
    <w:p>
      <w:pPr>
        <w:pStyle w:val="Heading1"/>
      </w:pPr>
      <w:r>
        <w:t xml:space="preserve">Key Takeaways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cohort is bimodal by design</w:t>
      </w:r>
      <w:r>
        <w:t xml:space="preserve"> </w:t>
      </w:r>
      <w:r>
        <w:t xml:space="preserve">(6–19 and ≥70); any</w:t>
      </w:r>
      <w:r>
        <w:t xml:space="preserve"> </w:t>
      </w:r>
      <w:r>
        <w:t xml:space="preserve">“general adult population”</w:t>
      </w:r>
      <w:r>
        <w:t xml:space="preserve"> </w:t>
      </w:r>
      <w:r>
        <w:t xml:space="preserve">framing is incorrect for this cycle.</w:t>
      </w:r>
    </w:p>
    <w:p>
      <w:pPr>
        <w:pStyle w:val="Compact"/>
        <w:numPr>
          <w:ilvl w:val="0"/>
          <w:numId w:val="1004"/>
        </w:numPr>
      </w:pPr>
      <w:r>
        <w:t xml:space="preserve">~</w:t>
      </w:r>
      <w:r>
        <w:rPr>
          <w:b/>
          <w:bCs/>
        </w:rPr>
        <w:t xml:space="preserve">39.2%</w:t>
      </w:r>
      <w:r>
        <w:t xml:space="preserve"> </w:t>
      </w:r>
      <w:r>
        <w:t xml:space="preserve">of ears sit within ±5 dB of a severity boundary — the core motivation for graded fuzzy classification.</w:t>
      </w:r>
    </w:p>
    <w:p>
      <w:pPr>
        <w:pStyle w:val="Compact"/>
        <w:numPr>
          <w:ilvl w:val="0"/>
          <w:numId w:val="1004"/>
        </w:numPr>
      </w:pPr>
      <w:r>
        <w:t xml:space="preserve">High-frequency thresholds are frequently missing in older adults; clean-ear selection (all 7 frequencies) is not age-neutral.</w:t>
      </w:r>
    </w:p>
    <w:p>
      <w:pPr>
        <w:pStyle w:val="Compact"/>
        <w:numPr>
          <w:ilvl w:val="0"/>
          <w:numId w:val="1004"/>
        </w:numPr>
      </w:pPr>
      <w:r>
        <w:t xml:space="preserve">Configurations are predominantly flat/gently sloping in the full set; the adult subset shifts toward steeper slopes.</w:t>
      </w:r>
    </w:p>
    <w:p>
      <w:pPr>
        <w:pStyle w:val="Compact"/>
        <w:numPr>
          <w:ilvl w:val="0"/>
          <w:numId w:val="1004"/>
        </w:numPr>
      </w:pPr>
      <w:r>
        <w:t xml:space="preserve">Inter-frequency correlations justify frequency-resolved (fuzzy) rather than PTA-only representation.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NHANES Audiometry 2017–2020: Complete Exploratory Data Analysis</dc:title>
  <dc:creator/>
  <cp:keywords/>
  <dcterms:created xsi:type="dcterms:W3CDTF">2026-08-14T07:53:56Z</dcterms:created>
  <dcterms:modified xsi:type="dcterms:W3CDTF">2026-08-14T07:53:56Z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2026-08-14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Fuzzy Audiometric Index project — dataset characterisation</vt:lpwstr>
  </property>
  <property fmtid="{D5CDD505-2E9C-101B-9397-08002B2CF9AE}" pid="9" name="toc-title">
    <vt:lpwstr>Table of contents</vt:lpwstr>
  </property>
</Properties>
</file>