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 Demographic and Audiometric Characteristics of the NHANES Cohort</w:t>
      </w:r>
    </w:p>
    <w:p>
      <w:pPr>
        <w:pStyle w:val="BodyText"/>
      </w:pPr>
      <w:r>
        <w:t xml:space="preserve">Characteristic | Training (n=1,584 ears) | Test (n=396 ears) |</w:t>
      </w:r>
      <w:r>
        <w:br/>
      </w:r>
      <w:r>
        <w:t xml:space="preserve">Participants (n) | 1,044 | 362 |</w:t>
      </w:r>
      <w:r>
        <w:br/>
      </w:r>
      <w:r>
        <w:t xml:space="preserve">Age (years), mean (SD) | 75.7 (3.7) | 75.8 (3.8) |</w:t>
      </w:r>
      <w:r>
        <w:br/>
      </w:r>
      <w:r>
        <w:t xml:space="preserve">Age (years), median (IQR) | 76 (72–80) | 76 (72–80) |</w:t>
      </w:r>
      <w:r>
        <w:br/>
      </w:r>
      <w:r>
        <w:t xml:space="preserve">Aged 70–79 years | 68.2% | 66.7% |</w:t>
      </w:r>
      <w:r>
        <w:br/>
      </w:r>
      <w:r>
        <w:t xml:space="preserve">Aged ≥80 years | 31.8% | 33.3% |</w:t>
      </w:r>
      <w:r>
        <w:br/>
      </w:r>
      <w:r>
        <w:t xml:space="preserve">Female sex | 53.2% | 53.5% |</w:t>
      </w:r>
      <w:r>
        <w:br/>
      </w:r>
      <w:r>
        <w:t xml:space="preserve">Mean PTA-4 (dB HL) | 31.5 (13.2) | 32.1 (13.3) |</w:t>
      </w:r>
      <w:r>
        <w:br/>
      </w:r>
      <w:r>
        <w:t xml:space="preserve">Normal | 37.9% | 35.6% |</w:t>
      </w:r>
      <w:r>
        <w:br/>
      </w:r>
      <w:r>
        <w:t xml:space="preserve">Mild | 38.3% | 38.1% |</w:t>
      </w:r>
      <w:r>
        <w:br/>
      </w:r>
      <w:r>
        <w:t xml:space="preserve">Moderate | 19.0% | 21.5% |</w:t>
      </w:r>
      <w:r>
        <w:br/>
      </w:r>
      <w:r>
        <w:t xml:space="preserve">Moderately Severe | 4.2% | 4.0% |</w:t>
      </w:r>
      <w:r>
        <w:br/>
      </w:r>
      <w:r>
        <w:t xml:space="preserve">Severe | 0.4% | 0.8% |</w:t>
      </w:r>
      <w:r>
        <w:br/>
      </w:r>
      <w:r>
        <w:t xml:space="preserve">Profound | 0.1% | 0.0% |</w:t>
      </w:r>
    </w:p>
    <w:p>
      <w:pPr>
        <w:pStyle w:val="BodyText"/>
      </w:pPr>
      <w:r>
        <w:rPr>
          <w:b/>
          <w:bCs/>
        </w:rPr>
        <w:t xml:space="preserve">Table 2. Classification Performance on Held-Out Test Set</w:t>
      </w:r>
    </w:p>
    <w:p>
      <w:pPr>
        <w:pStyle w:val="BodyText"/>
      </w:pPr>
      <w:r>
        <w:t xml:space="preserve">Metric | FAI (Fuzzy) | PTA-4 (WHO) | XGBoost | Random Forest |</w:t>
      </w:r>
      <w:r>
        <w:br/>
      </w:r>
      <w:r>
        <w:t xml:space="preserve">Weighted κ vs. Reference | 0.68 | 1.00* | 0.98 | 0.98 |</w:t>
      </w:r>
      <w:r>
        <w:br/>
      </w:r>
      <w:r>
        <w:t xml:space="preserve">Overall Agreement | 70.4% | 100%* | 96.7% | 96.0% |</w:t>
      </w:r>
      <w:r>
        <w:br/>
      </w:r>
      <w:r>
        <w:t xml:space="preserve">Borderline Agreement (±5 dB) | 58.7% | 100%* | 94.7% | 93.4% |</w:t>
      </w:r>
      <w:r>
        <w:br/>
      </w:r>
      <w:r>
        <w:t xml:space="preserve">Clear-case Agreement | 88.2% | 100%* | 100% | 100% |</w:t>
      </w:r>
      <w:r>
        <w:br/>
      </w:r>
      <w:r>
        <w:t xml:space="preserve">Spearman ρ vs. PTA-4 | 0.83 | 1.00 | 1.00 | 1.00 |</w:t>
      </w:r>
      <w:r>
        <w:br/>
      </w:r>
      <w:r>
        <w:t xml:space="preserve">MAE vs. PTA-4 (dB) | 10.5 | 0.0* | 0.5 | 0.8 |</w:t>
      </w:r>
    </w:p>
    <w:p>
      <w:pPr>
        <w:pStyle w:val="BodyText"/>
      </w:pPr>
      <w:r>
        <w:t xml:space="preserve">PTA-4 is the reference standard; metrics reflect definitional agreement.</w:t>
      </w:r>
    </w:p>
    <w:p>
      <w:pPr>
        <w:pStyle w:val="BodyText"/>
      </w:pPr>
      <w:r>
        <w:rPr>
          <w:b/>
          <w:bCs/>
        </w:rPr>
        <w:t xml:space="preserve">Table 3. Configuration Distribution in the NHANES Cohort (Exploratory)</w:t>
      </w:r>
    </w:p>
    <w:p>
      <w:pPr>
        <w:pStyle w:val="BodyText"/>
      </w:pPr>
      <w:r>
        <w:t xml:space="preserve">Configuration | Prevalence (%) | Slope Range |</w:t>
      </w:r>
      <w:r>
        <w:br/>
      </w:r>
      <w:r>
        <w:t xml:space="preserve">Flat | 22.0% | −5 to 12 dB |</w:t>
      </w:r>
      <w:r>
        <w:br/>
      </w:r>
      <w:r>
        <w:t xml:space="preserve">Gently Sloping | 29.7% | 12–28 dB |</w:t>
      </w:r>
      <w:r>
        <w:br/>
      </w:r>
      <w:r>
        <w:t xml:space="preserve">Steeply Sloping | 31.8% | 28–45 dB |</w:t>
      </w:r>
      <w:r>
        <w:br/>
      </w:r>
      <w:r>
        <w:t xml:space="preserve">Precipitous | 13.4% | &gt;45 dB |</w:t>
      </w:r>
      <w:r>
        <w:br/>
      </w:r>
      <w:r>
        <w:t xml:space="preserve">Rising | 3.1% | &lt;−5 dB |</w:t>
      </w:r>
    </w:p>
    <w:p>
      <w:pPr>
        <w:pStyle w:val="BodyText"/>
      </w:pPr>
      <w:r>
        <w:rPr>
          <w:b/>
          <w:bCs/>
        </w:rPr>
        <w:t xml:space="preserve">Table 4. Fuzzy vs. Crisp Classification at the Normal–Mild Boundary</w:t>
      </w:r>
    </w:p>
    <w:p>
      <w:pPr>
        <w:pStyle w:val="BodyText"/>
      </w:pPr>
      <w:r>
        <w:t xml:space="preserve">PTA-4 (dB) | WHO Grade | FAI Score | FAI Grade | Key Memberships |</w:t>
      </w:r>
      <w:r>
        <w:br/>
      </w:r>
      <w:r>
        <w:t xml:space="preserve">24 | Normal | 9.3 | Normal | Normal μ=0.29, Mild μ=0.00 |</w:t>
      </w:r>
      <w:r>
        <w:br/>
      </w:r>
      <w:r>
        <w:t xml:space="preserve">26 | Mild | 9.3 | Normal | Normal μ=0.15, Mild μ=0.00 |</w:t>
      </w:r>
      <w:r>
        <w:br/>
      </w:r>
      <w:r>
        <w:t xml:space="preserve">27 | Mild | 14.8 | Normal | Normal μ=0.07, Mild μ=0.25 |</w:t>
      </w:r>
      <w:r>
        <w:br/>
      </w:r>
      <w:r>
        <w:t xml:space="preserve">28 | Mild | 17.8 | Normal | Normal μ=0.00, Mild μ=0.50 |</w:t>
      </w:r>
      <w:r>
        <w:br/>
      </w:r>
      <w:r>
        <w:t xml:space="preserve">30 | Mild | 20.4 | Mild | Normal μ=0.00, Mild μ=1.00 |</w:t>
      </w:r>
    </w:p>
    <w:p>
      <w:pPr>
        <w:pStyle w:val="BodyText"/>
      </w:pPr>
      <w:r>
        <w:rPr>
          <w:b/>
          <w:bCs/>
        </w:rPr>
        <w:t xml:space="preserve">Table 5. Optimised trapezoidal membership function parameters (a, b, c, d) for the six hearing loss severity categories.</w:t>
      </w:r>
    </w:p>
    <w:p>
      <w:pPr>
        <w:pStyle w:val="BodyText"/>
      </w:pPr>
      <w:r>
        <w:t xml:space="preserve">Category | a | b | c | d |</w:t>
      </w:r>
      <w:r>
        <w:br/>
      </w:r>
      <w:r>
        <w:t xml:space="preserve">Normal | 0.0 | 0.0 | 14.3 | 28.0 |</w:t>
      </w:r>
      <w:r>
        <w:br/>
      </w:r>
      <w:r>
        <w:t xml:space="preserve">Mild | 26.0 | 30.0 | 39.3 | 44.0 |</w:t>
      </w:r>
      <w:r>
        <w:br/>
      </w:r>
      <w:r>
        <w:t xml:space="preserve">Moderate | 41.0 | 45.0 | 53.6 | 59.0 |</w:t>
      </w:r>
      <w:r>
        <w:br/>
      </w:r>
      <w:r>
        <w:t xml:space="preserve">Moderately Severe | 56.0 | 60.0 | 67.9 | 74.0 |</w:t>
      </w:r>
      <w:r>
        <w:br/>
      </w:r>
      <w:r>
        <w:t xml:space="preserve">Severe | 71.0 | 75.0 | 85.4 | 94.0 |</w:t>
      </w:r>
      <w:r>
        <w:br/>
      </w:r>
      <w:r>
        <w:t xml:space="preserve">Profound | 91.9 | 94.4 | 103.5 | 120.0 |</w:t>
      </w:r>
    </w:p>
    <w:p>
      <w:pPr>
        <w:pStyle w:val="BodyText"/>
      </w:pPr>
      <w:r>
        <w:rPr>
          <w:b/>
          <w:bCs/>
        </w:rPr>
        <w:t xml:space="preserve">Table 6. Comparator models evaluated on the held-out test set.</w:t>
      </w:r>
    </w:p>
    <w:p>
      <w:pPr>
        <w:pStyle w:val="BodyText"/>
      </w:pPr>
      <w:r>
        <w:t xml:space="preserve">Model | Description | Target |</w:t>
      </w:r>
      <w:r>
        <w:br/>
      </w:r>
      <w:r>
        <w:t xml:space="preserve">PTA-4 (WHO) | Pure-tone average of 0.5, 1, 2, 4 kHz; classified using WHO crisp thresholds (25/40/55/70/90 dB) | Severity grade |</w:t>
      </w:r>
      <w:r>
        <w:br/>
      </w:r>
      <w:r>
        <w:t xml:space="preserve">XGBoost | Gradient-boosted regression trees (learning rate 0.1, max depth 6, 100 estimators); input = 7 frequency thresholds; output = continuous PTA-4 estimate | PTA-4 (continuous) |</w:t>
      </w:r>
      <w:r>
        <w:br/>
      </w:r>
      <w:r>
        <w:t xml:space="preserve">Random Forest | 1,000 regression trees (max depth 10, min samples split 5); input = 7 frequency thresholds; output = continuous PTA-4 estimate | PTA-4 (continuous) |</w:t>
      </w:r>
    </w:p>
    <w:p>
      <w:pPr>
        <w:pStyle w:val="BodyText"/>
      </w:pPr>
      <w:r>
        <w:rPr>
          <w:b/>
          <w:bCs/>
        </w:rPr>
        <w:t xml:space="preserve">Table 7. Table (context: Classification Accuracy)</w:t>
      </w:r>
    </w:p>
    <w:p>
      <w:pPr>
        <w:pStyle w:val="BodyText"/>
      </w:pPr>
      <w:r>
        <w:t xml:space="preserve">Method | vs. Reference κ | Borderline Agreement (±5 dB) | Clear-case Agreement |</w:t>
      </w:r>
      <w:r>
        <w:br/>
      </w:r>
      <w:r>
        <w:t xml:space="preserve">FAI (fuzzy) | 0.68 | 58.7% | 88.2% |</w:t>
      </w:r>
      <w:r>
        <w:br/>
      </w:r>
      <w:r>
        <w:t xml:space="preserve">PTA-4 (WHO) | 1.00* | 100%* | 100%* |</w:t>
      </w:r>
      <w:r>
        <w:br/>
      </w:r>
      <w:r>
        <w:t xml:space="preserve">XGBoost | 0.98 | 94.7% | 100% |</w:t>
      </w:r>
      <w:r>
        <w:br/>
      </w:r>
      <w:r>
        <w:t xml:space="preserve">Random Forest | 0.98 | 93.4% | 100% |</w:t>
      </w:r>
    </w:p>
    <w:p>
      <w:pPr>
        <w:pStyle w:val="BodyText"/>
      </w:pPr>
      <w:r>
        <w:t xml:space="preserve">PTA-4 is the reference standard; its agreement is definitional. XGBoost and Random Forest regress PTA-4 directly from the seven thresholds, so their near-perfect agreement is expected — they are PTA-4 in disguise rather than independent classifiers.</w:t>
      </w:r>
    </w:p>
    <w:p>
      <w:pPr>
        <w:pStyle w:val="BodyText"/>
      </w:pPr>
      <w:r>
        <w:rPr>
          <w:b/>
          <w:bCs/>
        </w:rPr>
        <w:t xml:space="preserve">Table 8. Classification at the normal/mild boundary: crisp labels versus graded fuzzy output across the 24–30 dB HL range.</w:t>
      </w:r>
    </w:p>
    <w:p>
      <w:pPr>
        <w:pStyle w:val="BodyText"/>
      </w:pPr>
      <w:r>
        <w:t xml:space="preserve">PTA-4 | Crisp Label | Fuzzy Label | FAI Score | Normal μ | Mild μ |</w:t>
      </w:r>
      <w:r>
        <w:br/>
      </w:r>
      <w:r>
        <w:t xml:space="preserve">24 dB | Normal | Normal | 9.3 | 0.29 | 0.00 |</w:t>
      </w:r>
      <w:r>
        <w:br/>
      </w:r>
      <w:r>
        <w:t xml:space="preserve">26 dB | Mild | Normal | 9.3 | 0.15 | 0.00 |</w:t>
      </w:r>
      <w:r>
        <w:br/>
      </w:r>
      <w:r>
        <w:t xml:space="preserve">27 dB | Mild | Normal | 14.8 | 0.07 | 0.25 |</w:t>
      </w:r>
      <w:r>
        <w:br/>
      </w:r>
      <w:r>
        <w:t xml:space="preserve">28 dB | Mild | Normal | 17.8 | 0.00 | 0.50 |</w:t>
      </w:r>
      <w:r>
        <w:br/>
      </w:r>
      <w:r>
        <w:t xml:space="preserve">30 dB | Mild | Mild | 20.4 | 0.00 | 1.00 |</w:t>
      </w:r>
    </w:p>
    <w:p>
      <w:pPr>
        <w:pStyle w:val="BodyText"/>
      </w:pPr>
      <w:r>
        <w:rPr>
          <w:b/>
          <w:bCs/>
        </w:rPr>
        <w:t xml:space="preserve">Table 9. Summary of the four clinical case studies (A–D).</w:t>
      </w:r>
    </w:p>
    <w:p>
      <w:pPr>
        <w:pStyle w:val="BodyText"/>
      </w:pPr>
      <w:r>
        <w:t xml:space="preserve">Case | PTA-4 | WHO Grade | FAI | Configuration | Key Finding |</w:t>
      </w:r>
      <w:r>
        <w:br/>
      </w:r>
      <w:r>
        <w:t xml:space="preserve">A | 27.5 dB | Mild | 16.5 | Precipitous (shape rules) | Borderline membership (Normal 0.04, Mild 0.38) |</w:t>
      </w:r>
      <w:r>
        <w:br/>
      </w:r>
      <w:r>
        <w:t xml:space="preserve">B | 23.0 dB | Normal | 16.4 | Precipitous (shape rules) | 25 dB notch at 4 kHz masked by PTA |</w:t>
      </w:r>
      <w:r>
        <w:br/>
      </w:r>
      <w:r>
        <w:t xml:space="preserve">C | 33.8 dB | Mild | 20.4 | Sloping | Frequency-resolved severity preserved |</w:t>
      </w:r>
      <w:r>
        <w:br/>
      </w:r>
      <w:r>
        <w:t xml:space="preserve">D | 53.8/28.8 dB | Mod/Mild | 56.5 composite | Precipitous | Asymmetry upgrade; inter-aural modulation |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/>
  <cp:keywords/>
  <dcterms:created xsi:type="dcterms:W3CDTF">2026-08-14T08:21:55Z</dcterms:created>
  <dcterms:modified xsi:type="dcterms:W3CDTF">2026-08-14T08:21:55Z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