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5.png" ContentType="image/png"/>
  <Override PartName="/word/media/rId33.png" ContentType="image/png"/>
  <Override PartName="/word/media/rId29.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the National Health and Nutrition Examination Survey (NHANES 2017–2020, n = 5,147 participants), restricted them to the adult subgroup (aged ≥70 y, per the NHANES audiometry protocol), and split them into training (80%, n = 1,584) and held-out test (20%, n = 396)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substantial classification agreement (weighted κ = 0.68) and 88.2% agreement in clear cases. In borderline cases (±5 dB of a severity boundary) — which include 61.4% of adult test ears — the system deliberately returned graded membership rather than a forced binary label (58.7% agreement with the crisp grade, reflecting the designed reclassification of ambiguous thresholds). Configuration typing is provided as a graded vector over six canonical shapes. At the normal–mild transition, membership grades continuously (e.g., 27 dB: Normal μ = 0.07, Mild μ = 0.25) instead of flipping at 26 dB.</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2" w:name="introduction"/>
    <w:p>
      <w:pPr>
        <w:pStyle w:val="Heading1"/>
      </w:pPr>
      <w:r>
        <w:t xml:space="preserve">1. Introduction</w:t>
      </w:r>
    </w:p>
    <w:p>
      <w:pPr>
        <w:pStyle w:val="CaptionedFigure"/>
      </w:pPr>
      <w:r>
        <w:drawing>
          <wp:inline>
            <wp:extent cx="4800600" cy="2611876"/>
            <wp:effectExtent b="0" l="0" r="0" t="0"/>
            <wp:docPr descr="Overlapping trapezoidal membership functions for six hearing loss severity categories. The NHANES-optimised boundaries show an ~8 dB rightward shift relative to classic WHO thresholds, with controlled 2–3 dB overlap at each transition."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611876"/>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NHANES-optimised boundaries show an ~8 dB rightward shift relative to classic WHO thresholds, with controlled 2–3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2"/>
    <w:bookmarkStart w:id="23" w:name="methods"/>
    <w:p>
      <w:pPr>
        <w:pStyle w:val="Heading1"/>
      </w:pPr>
      <w:r>
        <w:t xml:space="preserve">2. Methods</w:t>
      </w:r>
    </w:p>
    <w:bookmarkStart w:id="13" w:name="dataset-and-traintest-split"/>
    <w:p>
      <w:pPr>
        <w:pStyle w:val="Heading2"/>
      </w:pPr>
      <w:r>
        <w:t xml:space="preserve">2.1 Dataset and Train–Test Split</w:t>
      </w:r>
    </w:p>
    <w:p>
      <w:pPr>
        <w:pStyle w:val="FirstParagraph"/>
      </w:pPr>
      <w:r>
        <w:t xml:space="preserve">We obtained audiometric data from the National Health and Nutrition Examination Survey (NHANES), specifically the P_AUX examination file for the 2017–2020 (pre-pandemic) cycle, which includes 5,147 participants. Per NHANES protocol, audiometry was administered to children and adolescents aged 6–19 years and to adults aged 70 years and over; the sample therefore contains no participants aged 20–69. To focus on adult hearing loss, all analyses were restricted to the adult subgroup (aged 70 years and over; 1,493 participants). After cleaning (excluding sentinel codes 666/777/888/999 and ears with missing thresholds), 1,980 ears from 1,125 adults had complete air-conduction thresholds at all seven frequencies and formed the analysis set.</w:t>
      </w:r>
    </w:p>
    <w:p>
      <w:pPr>
        <w:pStyle w:val="BodyText"/>
      </w:pPr>
      <w:r>
        <w:t xml:space="preserve">We randomly split the adult clean-ear dataset (1,980 ears from 1,125 participants) into a training set (80%, n = 1,584 ears) and a held-out test set (20%, n = 396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3"/>
    <w:bookmarkStart w:id="14" w:name="exploratory-data-analysis"/>
    <w:p>
      <w:pPr>
        <w:pStyle w:val="Heading2"/>
      </w:pPr>
      <w:r>
        <w:t xml:space="preserve">2.2 Exploratory Data Analysis</w:t>
      </w:r>
    </w:p>
    <w:p>
      <w:pPr>
        <w:pStyle w:val="FirstParagraph"/>
      </w:pPr>
      <w:r>
        <w:t xml:space="preserve">We explored the NHANES audiometry dataset before building the model. The full file contains 5,147 participants; after restricting to the adult subgroup and cleaning, 1,980 adult ears (from 1,125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4"/>
    <w:bookmarkStart w:id="15"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14.3</w:t>
            </w:r>
          </w:p>
        </w:tc>
        <w:tc>
          <w:tcPr/>
          <w:p>
            <w:pPr>
              <w:pStyle w:val="Compact"/>
            </w:pPr>
            <w:r>
              <w:t xml:space="preserve">28.0</w:t>
            </w:r>
          </w:p>
        </w:tc>
      </w:tr>
      <w:tr>
        <w:tc>
          <w:tcPr/>
          <w:p>
            <w:pPr>
              <w:pStyle w:val="Compact"/>
            </w:pPr>
            <w:r>
              <w:t xml:space="preserve">Mild</w:t>
            </w:r>
          </w:p>
        </w:tc>
        <w:tc>
          <w:tcPr/>
          <w:p>
            <w:pPr>
              <w:pStyle w:val="Compact"/>
            </w:pPr>
            <w:r>
              <w:t xml:space="preserve">26.0</w:t>
            </w:r>
          </w:p>
        </w:tc>
        <w:tc>
          <w:tcPr/>
          <w:p>
            <w:pPr>
              <w:pStyle w:val="Compact"/>
            </w:pPr>
            <w:r>
              <w:t xml:space="preserve">30.0</w:t>
            </w:r>
          </w:p>
        </w:tc>
        <w:tc>
          <w:tcPr/>
          <w:p>
            <w:pPr>
              <w:pStyle w:val="Compact"/>
            </w:pPr>
            <w:r>
              <w:t xml:space="preserve">39.3</w:t>
            </w:r>
          </w:p>
        </w:tc>
        <w:tc>
          <w:tcPr/>
          <w:p>
            <w:pPr>
              <w:pStyle w:val="Compact"/>
            </w:pPr>
            <w:r>
              <w:t xml:space="preserve">44.0</w:t>
            </w:r>
          </w:p>
        </w:tc>
      </w:tr>
      <w:tr>
        <w:tc>
          <w:tcPr/>
          <w:p>
            <w:pPr>
              <w:pStyle w:val="Compact"/>
            </w:pPr>
            <w:r>
              <w:t xml:space="preserve">Moderate</w:t>
            </w:r>
          </w:p>
        </w:tc>
        <w:tc>
          <w:tcPr/>
          <w:p>
            <w:pPr>
              <w:pStyle w:val="Compact"/>
            </w:pPr>
            <w:r>
              <w:t xml:space="preserve">41.0</w:t>
            </w:r>
          </w:p>
        </w:tc>
        <w:tc>
          <w:tcPr/>
          <w:p>
            <w:pPr>
              <w:pStyle w:val="Compact"/>
            </w:pPr>
            <w:r>
              <w:t xml:space="preserve">45.0</w:t>
            </w:r>
          </w:p>
        </w:tc>
        <w:tc>
          <w:tcPr/>
          <w:p>
            <w:pPr>
              <w:pStyle w:val="Compact"/>
            </w:pPr>
            <w:r>
              <w:t xml:space="preserve">53.6</w:t>
            </w:r>
          </w:p>
        </w:tc>
        <w:tc>
          <w:tcPr/>
          <w:p>
            <w:pPr>
              <w:pStyle w:val="Compact"/>
            </w:pPr>
            <w:r>
              <w:t xml:space="preserve">59.0</w:t>
            </w:r>
          </w:p>
        </w:tc>
      </w:tr>
      <w:tr>
        <w:tc>
          <w:tcPr/>
          <w:p>
            <w:pPr>
              <w:pStyle w:val="Compact"/>
            </w:pPr>
            <w:r>
              <w:t xml:space="preserve">Moderately Severe</w:t>
            </w:r>
          </w:p>
        </w:tc>
        <w:tc>
          <w:tcPr/>
          <w:p>
            <w:pPr>
              <w:pStyle w:val="Compact"/>
            </w:pPr>
            <w:r>
              <w:t xml:space="preserve">56.0</w:t>
            </w:r>
          </w:p>
        </w:tc>
        <w:tc>
          <w:tcPr/>
          <w:p>
            <w:pPr>
              <w:pStyle w:val="Compact"/>
            </w:pPr>
            <w:r>
              <w:t xml:space="preserve">60.0</w:t>
            </w:r>
          </w:p>
        </w:tc>
        <w:tc>
          <w:tcPr/>
          <w:p>
            <w:pPr>
              <w:pStyle w:val="Compact"/>
            </w:pPr>
            <w:r>
              <w:t xml:space="preserve">67.9</w:t>
            </w:r>
          </w:p>
        </w:tc>
        <w:tc>
          <w:tcPr/>
          <w:p>
            <w:pPr>
              <w:pStyle w:val="Compact"/>
            </w:pPr>
            <w:r>
              <w:t xml:space="preserve">74.0</w:t>
            </w:r>
          </w:p>
        </w:tc>
      </w:tr>
      <w:tr>
        <w:tc>
          <w:tcPr/>
          <w:p>
            <w:pPr>
              <w:pStyle w:val="Compact"/>
            </w:pPr>
            <w:r>
              <w:t xml:space="preserve">Severe</w:t>
            </w:r>
          </w:p>
        </w:tc>
        <w:tc>
          <w:tcPr/>
          <w:p>
            <w:pPr>
              <w:pStyle w:val="Compact"/>
            </w:pPr>
            <w:r>
              <w:t xml:space="preserve">71.0</w:t>
            </w:r>
          </w:p>
        </w:tc>
        <w:tc>
          <w:tcPr/>
          <w:p>
            <w:pPr>
              <w:pStyle w:val="Compact"/>
            </w:pPr>
            <w:r>
              <w:t xml:space="preserve">75.0</w:t>
            </w:r>
          </w:p>
        </w:tc>
        <w:tc>
          <w:tcPr/>
          <w:p>
            <w:pPr>
              <w:pStyle w:val="Compact"/>
            </w:pPr>
            <w:r>
              <w:t xml:space="preserve">85.4</w:t>
            </w:r>
          </w:p>
        </w:tc>
        <w:tc>
          <w:tcPr/>
          <w:p>
            <w:pPr>
              <w:pStyle w:val="Compact"/>
            </w:pPr>
            <w:r>
              <w:t xml:space="preserve">94.0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overlaps with its neighbours by about 2–3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27 dB HL, for example, gives membership μ = 0.07 to</w:t>
      </w:r>
      <w:r>
        <w:t xml:space="preserve"> </w:t>
      </w:r>
      <w:r>
        <w:rPr>
          <w:i/>
          <w:iCs/>
        </w:rPr>
        <w:t xml:space="preserve">Normal</w:t>
      </w:r>
      <w:r>
        <w:t xml:space="preserve"> </w:t>
      </w:r>
      <w:r>
        <w:t xml:space="preserve">and μ = 0.25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5"/>
    <w:bookmarkStart w:id="16"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6"/>
    <w:bookmarkStart w:id="17"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7"/>
    <w:bookmarkStart w:id="22"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8">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20" name="Picture"/>
            <a:graphic>
              <a:graphicData uri="http://schemas.openxmlformats.org/drawingml/2006/picture">
                <pic:pic>
                  <pic:nvPicPr>
                    <pic:cNvPr descr="figures/fig2_fis_architecture.png" id="21" name="Picture"/>
                    <pic:cNvPicPr>
                      <a:picLocks noChangeArrowheads="1" noChangeAspect="1"/>
                    </pic:cNvPicPr>
                  </pic:nvPicPr>
                  <pic:blipFill>
                    <a:blip r:embed="rId19"/>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22"/>
    <w:bookmarkEnd w:id="23"/>
    <w:bookmarkStart w:id="45" w:name="results"/>
    <w:p>
      <w:pPr>
        <w:pStyle w:val="Heading1"/>
      </w:pPr>
      <w:r>
        <w:t xml:space="preserve">3. Results</w:t>
      </w:r>
    </w:p>
    <w:bookmarkStart w:id="24" w:name="cohort-characteristics"/>
    <w:p>
      <w:pPr>
        <w:pStyle w:val="Heading2"/>
      </w:pPr>
      <w:r>
        <w:t xml:space="preserve">3.1 Cohort Characteristics</w:t>
      </w:r>
    </w:p>
    <w:p>
      <w:pPr>
        <w:pStyle w:val="FirstParagraph"/>
      </w:pPr>
      <w:r>
        <w:t xml:space="preserve">Per NHANES protocol, audiometry in the 2017–2020 (pre-pandemic) cycle was administered to children and adolescents aged 6–19 years and to adults aged 70 years and older; the sample contains no participants aged 20–69. All analyses here focus on the adult subgroup: 1,493 participants aged 70–80 years (53% female; mean age 75.7 years, SD 3.8, median 76). After cleaning, 1,980 ears from 1,125 adults had complete thresholds at all seven frequencies and were split 80/20 into training (n = 1,584 ears) and held-out test (n = 396 ears) sets. In the test set, PTA-4 values were right-skewed: 35.6% normal (≤25 dB HL), 38.1% mild (26–40 dB), 21.5% moderate (41–55 dB), 4.0% moderately severe (56–70 dB), 0.8% severe (71–90 dB), and &lt;0.1% profound (≥91 dB).</w:t>
      </w:r>
    </w:p>
    <w:bookmarkEnd w:id="24"/>
    <w:bookmarkStart w:id="28" w:name="classification-accuracy"/>
    <w:p>
      <w:pPr>
        <w:pStyle w:val="Heading2"/>
      </w:pPr>
      <w:r>
        <w:t xml:space="preserve">3.2 Classification Accuracy</w:t>
      </w:r>
    </w:p>
    <w:p>
      <w:pPr>
        <w:pStyle w:val="FirstParagraph"/>
      </w:pPr>
      <w:r>
        <w:t xml:space="preserve">On the held-out test set, the FAI showed weighted Cohen’s κ = 0.68 against the WHO PTA-4 reference — substantial agreement.</w:t>
      </w:r>
    </w:p>
    <w:p>
      <w:pPr>
        <w:pStyle w:val="CaptionedFigure"/>
      </w:pPr>
      <w:r>
        <w:drawing>
          <wp:inline>
            <wp:extent cx="4267200" cy="3182778"/>
            <wp:effectExtent b="0" l="0" r="0" t="0"/>
            <wp:docPr descr="Bland-Altman plot showing agreement between FAI and PTA-4 reference on the held-out test set." title="" id="26" name="Picture"/>
            <a:graphic>
              <a:graphicData uri="http://schemas.openxmlformats.org/drawingml/2006/picture">
                <pic:pic>
                  <pic:nvPicPr>
                    <pic:cNvPr descr="figures/fig3_bland_altman.png" id="27" name="Picture"/>
                    <pic:cNvPicPr>
                      <a:picLocks noChangeArrowheads="1" noChangeAspect="1"/>
                    </pic:cNvPicPr>
                  </pic:nvPicPr>
                  <pic:blipFill>
                    <a:blip r:embed="rId25"/>
                    <a:stretch>
                      <a:fillRect/>
                    </a:stretch>
                  </pic:blipFill>
                  <pic:spPr bwMode="auto">
                    <a:xfrm>
                      <a:off x="0" y="0"/>
                      <a:ext cx="4267200" cy="318277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0.68</w:t>
            </w:r>
          </w:p>
        </w:tc>
        <w:tc>
          <w:tcPr/>
          <w:p>
            <w:pPr>
              <w:pStyle w:val="Compact"/>
            </w:pPr>
            <w:r>
              <w:t xml:space="preserve">58.7%</w:t>
            </w:r>
          </w:p>
        </w:tc>
        <w:tc>
          <w:tcPr/>
          <w:p>
            <w:pPr>
              <w:pStyle w:val="Compact"/>
            </w:pPr>
            <w:r>
              <w:t xml:space="preserve">88.2%</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94.7%</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93.4%</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88.2% of clear cases and deliberately deviates in the borderline zone (agreement ≈ 47–59%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28"/>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0.29</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9.3</w:t>
            </w:r>
          </w:p>
        </w:tc>
        <w:tc>
          <w:tcPr/>
          <w:p>
            <w:pPr>
              <w:pStyle w:val="Compact"/>
            </w:pPr>
            <w:r>
              <w:t xml:space="preserve">0.15</w:t>
            </w:r>
          </w:p>
        </w:tc>
        <w:tc>
          <w:tcPr/>
          <w:p>
            <w:pPr>
              <w:pStyle w:val="Compact"/>
            </w:pPr>
            <w:r>
              <w:t xml:space="preserve">0.00</w:t>
            </w:r>
          </w:p>
        </w:tc>
      </w:tr>
      <w:tr>
        <w:tc>
          <w:tcPr/>
          <w:p>
            <w:pPr>
              <w:pStyle w:val="Compact"/>
            </w:pPr>
            <w:r>
              <w:t xml:space="preserve">27 dB</w:t>
            </w:r>
          </w:p>
        </w:tc>
        <w:tc>
          <w:tcPr/>
          <w:p>
            <w:pPr>
              <w:pStyle w:val="Compact"/>
            </w:pPr>
            <w:r>
              <w:t xml:space="preserve">Mild</w:t>
            </w:r>
          </w:p>
        </w:tc>
        <w:tc>
          <w:tcPr/>
          <w:p>
            <w:pPr>
              <w:pStyle w:val="Compact"/>
            </w:pPr>
            <w:r>
              <w:t xml:space="preserve">Normal</w:t>
            </w:r>
          </w:p>
        </w:tc>
        <w:tc>
          <w:tcPr/>
          <w:p>
            <w:pPr>
              <w:pStyle w:val="Compact"/>
            </w:pPr>
            <w:r>
              <w:t xml:space="preserve">14.8</w:t>
            </w:r>
          </w:p>
        </w:tc>
        <w:tc>
          <w:tcPr/>
          <w:p>
            <w:pPr>
              <w:pStyle w:val="Compact"/>
            </w:pPr>
            <w:r>
              <w:t xml:space="preserve">0.07</w:t>
            </w:r>
          </w:p>
        </w:tc>
        <w:tc>
          <w:tcPr/>
          <w:p>
            <w:pPr>
              <w:pStyle w:val="Compact"/>
            </w:pPr>
            <w:r>
              <w:t xml:space="preserve">0.25</w:t>
            </w:r>
          </w:p>
        </w:tc>
      </w:tr>
      <w:tr>
        <w:tc>
          <w:tcPr/>
          <w:p>
            <w:pPr>
              <w:pStyle w:val="Compact"/>
            </w:pPr>
            <w:r>
              <w:t xml:space="preserve">28 dB</w:t>
            </w:r>
          </w:p>
        </w:tc>
        <w:tc>
          <w:tcPr/>
          <w:p>
            <w:pPr>
              <w:pStyle w:val="Compact"/>
            </w:pPr>
            <w:r>
              <w:t xml:space="preserve">Mild</w:t>
            </w:r>
          </w:p>
        </w:tc>
        <w:tc>
          <w:tcPr/>
          <w:p>
            <w:pPr>
              <w:pStyle w:val="Compact"/>
            </w:pPr>
            <w:r>
              <w:t xml:space="preserve">Normal</w:t>
            </w:r>
          </w:p>
        </w:tc>
        <w:tc>
          <w:tcPr/>
          <w:p>
            <w:pPr>
              <w:pStyle w:val="Compact"/>
            </w:pPr>
            <w:r>
              <w:t xml:space="preserve">17.8</w:t>
            </w:r>
          </w:p>
        </w:tc>
        <w:tc>
          <w:tcPr/>
          <w:p>
            <w:pPr>
              <w:pStyle w:val="Compact"/>
            </w:pPr>
            <w:r>
              <w:t xml:space="preserve">0.00</w:t>
            </w:r>
          </w:p>
        </w:tc>
        <w:tc>
          <w:tcPr/>
          <w:p>
            <w:pPr>
              <w:pStyle w:val="Compact"/>
            </w:pPr>
            <w:r>
              <w:t xml:space="preserve">0.50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t xml:space="preserve">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p>
      <w:pPr>
        <w:pStyle w:val="CaptionedFigure"/>
      </w:pPr>
      <w:r>
        <w:drawing>
          <wp:inline>
            <wp:extent cx="4267200" cy="2737737"/>
            <wp:effectExtent b="0" l="0" r="0" t="0"/>
            <wp:docPr descr="Borderline case analysis: FAI agreement with the crisp WHO grade as a function of distance from the nearest severity boundary on the held-out adult test set (88.2% clear-case, 58.7% within ±5 dB)." title="" id="30" name="Picture"/>
            <a:graphic>
              <a:graphicData uri="http://schemas.openxmlformats.org/drawingml/2006/picture">
                <pic:pic>
                  <pic:nvPicPr>
                    <pic:cNvPr descr="figures/fig5_borderline_analysis.png" id="31" name="Picture"/>
                    <pic:cNvPicPr>
                      <a:picLocks noChangeArrowheads="1" noChangeAspect="1"/>
                    </pic:cNvPicPr>
                  </pic:nvPicPr>
                  <pic:blipFill>
                    <a:blip r:embed="rId29"/>
                    <a:stretch>
                      <a:fillRect/>
                    </a:stretch>
                  </pic:blipFill>
                  <pic:spPr bwMode="auto">
                    <a:xfrm>
                      <a:off x="0" y="0"/>
                      <a:ext cx="4267200" cy="2737737"/>
                    </a:xfrm>
                    <a:prstGeom prst="rect">
                      <a:avLst/>
                    </a:prstGeom>
                    <a:noFill/>
                    <a:ln w="9525">
                      <a:noFill/>
                      <a:headEnd/>
                      <a:tailEnd/>
                    </a:ln>
                  </pic:spPr>
                </pic:pic>
              </a:graphicData>
            </a:graphic>
          </wp:inline>
        </w:drawing>
      </w:r>
    </w:p>
    <w:p>
      <w:pPr>
        <w:pStyle w:val="ImageCaption"/>
      </w:pPr>
      <w:r>
        <w:t xml:space="preserve">Borderline case analysis: FAI agreement with the crisp WHO grade as a function of distance from the nearest severity boundary on the held-out adult test set (88.2% clear-case, 58.7% within ±5 dB).</w:t>
      </w:r>
    </w:p>
    <w:bookmarkEnd w:id="32"/>
    <w:bookmarkStart w:id="36"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16.5, with membership Normal μ = 0.04 and Mild μ = 0.38 — the graded output captures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16.5</w:t>
            </w:r>
          </w:p>
        </w:tc>
        <w:tc>
          <w:tcPr/>
          <w:p>
            <w:pPr>
              <w:pStyle w:val="Compact"/>
            </w:pPr>
            <w:r>
              <w:t xml:space="preserve">Precipitous (shape rules)</w:t>
            </w:r>
          </w:p>
        </w:tc>
        <w:tc>
          <w:tcPr/>
          <w:p>
            <w:pPr>
              <w:pStyle w:val="Compact"/>
            </w:pPr>
            <w:r>
              <w:t xml:space="preserve">Borderline membership (Normal 0.04, Mild 0.38)</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16.4</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56.5 composite</w:t>
            </w:r>
          </w:p>
        </w:tc>
        <w:tc>
          <w:tcPr/>
          <w:p>
            <w:pPr>
              <w:pStyle w:val="Compact"/>
            </w:pPr>
            <w:r>
              <w:t xml:space="preserve">Precipitous</w:t>
            </w:r>
          </w:p>
        </w:tc>
        <w:tc>
          <w:tcPr/>
          <w:p>
            <w:pPr>
              <w:pStyle w:val="Compact"/>
            </w:pPr>
            <w:r>
              <w:t xml:space="preserve">Asymmetry upgrade; inter-aural modulation</w:t>
            </w:r>
          </w:p>
        </w:tc>
      </w:tr>
    </w:tbl>
    <w:p>
      <w:pPr>
        <w:pStyle w:val="CaptionedFigure"/>
      </w:pPr>
      <w:r>
        <w:drawing>
          <wp:inline>
            <wp:extent cx="5334000" cy="4686208"/>
            <wp:effectExtent b="0" l="0" r="0" t="0"/>
            <wp:docPr descr="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pStyle w:val="ImageCaption"/>
      </w:pPr>
      <w:r>
        <w:t xml:space="preserve">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bookmarkStart w:id="40"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adult cohort found predominantly steeply sloping (31.8%) and gently sloping (29.7%) configurations, with 22.0% flat, 13.4% precipitous, and 3.1%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CaptionedFigure"/>
      </w:pPr>
      <w:r>
        <w:drawing>
          <wp:inline>
            <wp:extent cx="4800600" cy="2906338"/>
            <wp:effectExtent b="0" l="0" r="0" t="0"/>
            <wp:docPr descr="Configuration distribution in the NHANES cohort (slope = 4 kHz − 500 Hz)." title="" id="38" name="Picture"/>
            <a:graphic>
              <a:graphicData uri="http://schemas.openxmlformats.org/drawingml/2006/picture">
                <pic:pic>
                  <pic:nvPicPr>
                    <pic:cNvPr descr="figures/fig_eda_config_dist.png" id="39" name="Picture"/>
                    <pic:cNvPicPr>
                      <a:picLocks noChangeArrowheads="1" noChangeAspect="1"/>
                    </pic:cNvPicPr>
                  </pic:nvPicPr>
                  <pic:blipFill>
                    <a:blip r:embed="rId37"/>
                    <a:stretch>
                      <a:fillRect/>
                    </a:stretch>
                  </pic:blipFill>
                  <pic:spPr bwMode="auto">
                    <a:xfrm>
                      <a:off x="0" y="0"/>
                      <a:ext cx="4800600" cy="2906338"/>
                    </a:xfrm>
                    <a:prstGeom prst="rect">
                      <a:avLst/>
                    </a:prstGeom>
                    <a:noFill/>
                    <a:ln w="9525">
                      <a:noFill/>
                      <a:headEnd/>
                      <a:tailEnd/>
                    </a:ln>
                  </pic:spPr>
                </pic:pic>
              </a:graphicData>
            </a:graphic>
          </wp:inline>
        </w:drawing>
      </w:r>
    </w:p>
    <w:p>
      <w:pPr>
        <w:pStyle w:val="ImageCaption"/>
      </w:pPr>
      <w:r>
        <w:t xml:space="preserve">Configuration distribution in the NHANES cohort (slope = 4 kHz − 500 Hz).</w:t>
      </w:r>
    </w:p>
    <w:bookmarkEnd w:id="40"/>
    <w:bookmarkStart w:id="44"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42" name="Picture"/>
            <a:graphic>
              <a:graphicData uri="http://schemas.openxmlformats.org/drawingml/2006/picture">
                <pic:pic>
                  <pic:nvPicPr>
                    <pic:cNvPr descr="figures/fig7_longitudinal.png" id="43" name="Picture"/>
                    <pic:cNvPicPr>
                      <a:picLocks noChangeArrowheads="1" noChangeAspect="1"/>
                    </pic:cNvPicPr>
                  </pic:nvPicPr>
                  <pic:blipFill>
                    <a:blip r:embed="rId41"/>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44"/>
    <w:bookmarkEnd w:id="45"/>
    <w:bookmarkStart w:id="51" w:name="discussion"/>
    <w:p>
      <w:pPr>
        <w:pStyle w:val="Heading1"/>
      </w:pPr>
      <w:r>
        <w:t xml:space="preserve">4. Discussion</w:t>
      </w:r>
    </w:p>
    <w:bookmarkStart w:id="46"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0.68 against the WHO PTA-4 reference, matched the crisp grade on 88.2%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6"/>
    <w:bookmarkStart w:id="47"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47"/>
    <w:bookmarkStart w:id="48"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48"/>
    <w:bookmarkStart w:id="49"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because the NHANES audiometry protocol targeted children and adolescents (6–19 years) and adults aged 70 years and over, our adult sample is restricted to ages 70–80; results therefore do not cover working-age adults (20–69) or those over 80 (the file’s age ceiling), and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49"/>
    <w:bookmarkStart w:id="50"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0"/>
    <w:bookmarkEnd w:id="51"/>
    <w:bookmarkStart w:id="52"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adult NHANES test set (n = 396 ears), it shows substantial agreement with WHO PTA-4 classification (weighted κ = 0.68) while providing richer information on borderline cases, configuration typing, and longitudinal monitoring. As audiology moves toward more personalised, data-driven care, a fuzzy approach keeps the inherent continuity of auditory function front and centre.</w:t>
      </w:r>
    </w:p>
    <w:bookmarkEnd w:id="52"/>
    <w:bookmarkStart w:id="53"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3"/>
    <w:bookmarkStart w:id="54" w:name="conflict-of-interest-statement"/>
    <w:p>
      <w:pPr>
        <w:pStyle w:val="Heading1"/>
      </w:pPr>
      <w:r>
        <w:t xml:space="preserve">7. Conflict of Interest Statement</w:t>
      </w:r>
    </w:p>
    <w:p>
      <w:pPr>
        <w:pStyle w:val="FirstParagraph"/>
      </w:pPr>
      <w:r>
        <w:t xml:space="preserve">The author declares no conflicts of interest.</w:t>
      </w:r>
    </w:p>
    <w:bookmarkEnd w:id="54"/>
    <w:bookmarkStart w:id="55"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5"/>
    <w:bookmarkStart w:id="61" w:name="sec-app-math"/>
    <w:p>
      <w:pPr>
        <w:pStyle w:val="Heading1"/>
      </w:pPr>
      <w:r>
        <w:t xml:space="preserve">9. Appendix: Mathematical Foundations of Fuzzy Logic</w:t>
      </w:r>
    </w:p>
    <w:bookmarkStart w:id="56"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6"/>
    <w:bookmarkStart w:id="57"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57"/>
    <w:bookmarkStart w:id="58"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58"/>
    <w:bookmarkStart w:id="59"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59"/>
    <w:bookmarkStart w:id="60"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0"/>
    <w:bookmarkEnd w:id="61"/>
    <w:bookmarkStart w:id="81" w:name="references"/>
    <w:p>
      <w:pPr>
        <w:pStyle w:val="Heading1"/>
      </w:pPr>
      <w:r>
        <w:t xml:space="preserve">10. References</w:t>
      </w:r>
    </w:p>
    <w:bookmarkStart w:id="80" w:name="refs"/>
    <w:bookmarkStart w:id="63"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2">
        <w:r>
          <w:rPr>
            <w:rStyle w:val="Hyperlink"/>
          </w:rPr>
          <w:t xml:space="preserve">https://doi.org/10.1016/j.clineuro.2020.106446</w:t>
        </w:r>
      </w:hyperlink>
      <w:r>
        <w:t xml:space="preserve">.</w:t>
      </w:r>
    </w:p>
    <w:bookmarkEnd w:id="63"/>
    <w:bookmarkStart w:id="65" w:name="ref-ceriani2025"/>
    <w:p>
      <w:pPr>
        <w:pStyle w:val="Bibliography"/>
      </w:pPr>
      <w:r>
        <w:t xml:space="preserve">Ceriani, F, J Giles, NJ Ingham, et al. 2025.</w:t>
      </w:r>
      <w:r>
        <w:t xml:space="preserve"> </w:t>
      </w:r>
      <w:r>
        <w:t xml:space="preserve">“</w:t>
      </w:r>
      <w:hyperlink r:id="rId64">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5"/>
    <w:bookmarkStart w:id="66"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6"/>
    <w:bookmarkStart w:id="67"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67"/>
    <w:bookmarkStart w:id="68"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68"/>
    <w:bookmarkStart w:id="69"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69"/>
    <w:bookmarkStart w:id="70"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0"/>
    <w:bookmarkStart w:id="71"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1"/>
    <w:bookmarkStart w:id="73" w:name="ref-suen2021"/>
    <w:p>
      <w:pPr>
        <w:pStyle w:val="Bibliography"/>
      </w:pPr>
      <w:r>
        <w:t xml:space="preserve">Suen, JJ, J Betz, NS Reed, JA Deal, FR Lin, and AM Goman. 2021.</w:t>
      </w:r>
      <w:r>
        <w:t xml:space="preserve"> </w:t>
      </w:r>
      <w:r>
        <w:t xml:space="preserve">“</w:t>
      </w:r>
      <w:hyperlink r:id="rId72">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3"/>
    <w:bookmarkStart w:id="74"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4"/>
    <w:bookmarkStart w:id="75"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5"/>
    <w:bookmarkStart w:id="76"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6"/>
    <w:bookmarkStart w:id="77" w:name="ref-who2021"/>
    <w:p>
      <w:pPr>
        <w:pStyle w:val="Bibliography"/>
      </w:pPr>
      <w:r>
        <w:t xml:space="preserve">World Health Organization. 2021.</w:t>
      </w:r>
      <w:r>
        <w:t xml:space="preserve"> </w:t>
      </w:r>
      <w:r>
        <w:rPr>
          <w:i/>
          <w:iCs/>
        </w:rPr>
        <w:t xml:space="preserve">World Report on Hearing</w:t>
      </w:r>
      <w:r>
        <w:t xml:space="preserve">. WHO.</w:t>
      </w:r>
    </w:p>
    <w:bookmarkEnd w:id="77"/>
    <w:bookmarkStart w:id="78"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78"/>
    <w:bookmarkStart w:id="79"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79"/>
    <w:bookmarkEnd w:id="80"/>
    <w:p>
      <w:r>
        <w:pict>
          <v:rect style="width:0;height:1.5pt" o:hralign="center" o:hrstd="t" o:hr="t"/>
        </w:pict>
      </w:r>
    </w:p>
    <w:bookmarkEnd w:id="81"/>
    <w:bookmarkStart w:id="86" w:name="tables"/>
    <w:p>
      <w:pPr>
        <w:pStyle w:val="Heading1"/>
      </w:pPr>
      <w:r>
        <w:t xml:space="preserve">11. Tables</w:t>
      </w:r>
    </w:p>
    <w:bookmarkStart w:id="82"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(n=1,584 ears)</w:t>
            </w:r>
          </w:p>
        </w:tc>
        <w:tc>
          <w:tcPr/>
          <w:p>
            <w:pPr>
              <w:pStyle w:val="Compact"/>
            </w:pPr>
            <w:r>
              <w:t xml:space="preserve">Test (n=396 ears)</w:t>
            </w:r>
          </w:p>
        </w:tc>
      </w:tr>
      <w:tr>
        <w:tc>
          <w:tcPr/>
          <w:p>
            <w:pPr>
              <w:pStyle w:val="Compact"/>
            </w:pPr>
            <w:r>
              <w:t xml:space="preserve">Participants (n)</w:t>
            </w:r>
          </w:p>
        </w:tc>
        <w:tc>
          <w:tcPr/>
          <w:p>
            <w:pPr>
              <w:pStyle w:val="Compact"/>
            </w:pPr>
            <w:r>
              <w:t xml:space="preserve">1,044</w:t>
            </w:r>
          </w:p>
        </w:tc>
        <w:tc>
          <w:tcPr/>
          <w:p>
            <w:pPr>
              <w:pStyle w:val="Compact"/>
            </w:pPr>
            <w:r>
              <w:t xml:space="preserve">362</w:t>
            </w:r>
          </w:p>
        </w:tc>
      </w:tr>
      <w:tr>
        <w:tc>
          <w:tcPr/>
          <w:p>
            <w:pPr>
              <w:pStyle w:val="Compact"/>
            </w:pPr>
            <w:r>
              <w:t xml:space="preserve">Age (years), mean (SD)</w:t>
            </w:r>
          </w:p>
        </w:tc>
        <w:tc>
          <w:tcPr/>
          <w:p>
            <w:pPr>
              <w:pStyle w:val="Compact"/>
            </w:pPr>
            <w:r>
              <w:t xml:space="preserve">75.7 (3.7)</w:t>
            </w:r>
          </w:p>
        </w:tc>
        <w:tc>
          <w:tcPr/>
          <w:p>
            <w:pPr>
              <w:pStyle w:val="Compact"/>
            </w:pPr>
            <w:r>
              <w:t xml:space="preserve">75.8 (3.8)</w:t>
            </w:r>
          </w:p>
        </w:tc>
      </w:tr>
      <w:tr>
        <w:tc>
          <w:tcPr/>
          <w:p>
            <w:pPr>
              <w:pStyle w:val="Compact"/>
            </w:pPr>
            <w:r>
              <w:t xml:space="preserve">Age (years), median (IQR)</w:t>
            </w:r>
          </w:p>
        </w:tc>
        <w:tc>
          <w:tcPr/>
          <w:p>
            <w:pPr>
              <w:pStyle w:val="Compact"/>
            </w:pPr>
            <w:r>
              <w:t xml:space="preserve">76 (72–80)</w:t>
            </w:r>
          </w:p>
        </w:tc>
        <w:tc>
          <w:tcPr/>
          <w:p>
            <w:pPr>
              <w:pStyle w:val="Compact"/>
            </w:pPr>
            <w:r>
              <w:t xml:space="preserve">76 (72–80)</w:t>
            </w:r>
          </w:p>
        </w:tc>
      </w:tr>
      <w:tr>
        <w:tc>
          <w:tcPr/>
          <w:p>
            <w:pPr>
              <w:pStyle w:val="Compact"/>
            </w:pPr>
            <w:r>
              <w:t xml:space="preserve">Aged 70–79 years</w:t>
            </w:r>
          </w:p>
        </w:tc>
        <w:tc>
          <w:tcPr/>
          <w:p>
            <w:pPr>
              <w:pStyle w:val="Compact"/>
            </w:pPr>
            <w:r>
              <w:t xml:space="preserve">68.2%</w:t>
            </w:r>
          </w:p>
        </w:tc>
        <w:tc>
          <w:tcPr/>
          <w:p>
            <w:pPr>
              <w:pStyle w:val="Compact"/>
            </w:pPr>
            <w:r>
              <w:t xml:space="preserve">66.7%</w:t>
            </w:r>
          </w:p>
        </w:tc>
      </w:tr>
      <w:tr>
        <w:tc>
          <w:tcPr/>
          <w:p>
            <w:pPr>
              <w:pStyle w:val="Compact"/>
            </w:pPr>
            <w:r>
              <w:t xml:space="preserve">Aged ≥80 years</w:t>
            </w:r>
          </w:p>
        </w:tc>
        <w:tc>
          <w:tcPr/>
          <w:p>
            <w:pPr>
              <w:pStyle w:val="Compact"/>
            </w:pPr>
            <w:r>
              <w:t xml:space="preserve">31.8%</w:t>
            </w:r>
          </w:p>
        </w:tc>
        <w:tc>
          <w:tcPr/>
          <w:p>
            <w:pPr>
              <w:pStyle w:val="Compact"/>
            </w:pPr>
            <w:r>
              <w:t xml:space="preserve">33.3%</w:t>
            </w:r>
          </w:p>
        </w:tc>
      </w:tr>
      <w:tr>
        <w:tc>
          <w:tcPr/>
          <w:p>
            <w:pPr>
              <w:pStyle w:val="Compact"/>
            </w:pPr>
            <w:r>
              <w:t xml:space="preserve">Female sex</w:t>
            </w:r>
          </w:p>
        </w:tc>
        <w:tc>
          <w:tcPr/>
          <w:p>
            <w:pPr>
              <w:pStyle w:val="Compact"/>
            </w:pPr>
            <w:r>
              <w:t xml:space="preserve">53.2%</w:t>
            </w:r>
          </w:p>
        </w:tc>
        <w:tc>
          <w:tcPr/>
          <w:p>
            <w:pPr>
              <w:pStyle w:val="Compact"/>
            </w:pPr>
            <w:r>
              <w:t xml:space="preserve">53.5%</w:t>
            </w:r>
          </w:p>
        </w:tc>
      </w:tr>
      <w:tr>
        <w:tc>
          <w:tcPr/>
          <w:p>
            <w:pPr>
              <w:pStyle w:val="Compact"/>
            </w:pPr>
            <w:r>
              <w:t xml:space="preserve">Mean PTA-4 (dB HL)</w:t>
            </w:r>
          </w:p>
        </w:tc>
        <w:tc>
          <w:tcPr/>
          <w:p>
            <w:pPr>
              <w:pStyle w:val="Compact"/>
            </w:pPr>
            <w:r>
              <w:t xml:space="preserve">31.5 (13.2)</w:t>
            </w:r>
          </w:p>
        </w:tc>
        <w:tc>
          <w:tcPr/>
          <w:p>
            <w:pPr>
              <w:pStyle w:val="Compact"/>
            </w:pPr>
            <w:r>
              <w:t xml:space="preserve">32.1 (13.3)</w:t>
            </w:r>
          </w:p>
        </w:tc>
      </w:tr>
      <w:tr>
        <w:tc>
          <w:tcPr/>
          <w:p>
            <w:pPr>
              <w:pStyle w:val="Compact"/>
            </w:pPr>
            <w:r>
              <w:t xml:space="preserve">Normal</w:t>
            </w:r>
          </w:p>
        </w:tc>
        <w:tc>
          <w:tcPr/>
          <w:p>
            <w:pPr>
              <w:pStyle w:val="Compact"/>
            </w:pPr>
            <w:r>
              <w:t xml:space="preserve">37.9%</w:t>
            </w:r>
          </w:p>
        </w:tc>
        <w:tc>
          <w:tcPr/>
          <w:p>
            <w:pPr>
              <w:pStyle w:val="Compact"/>
            </w:pPr>
            <w:r>
              <w:t xml:space="preserve">35.6%</w:t>
            </w:r>
          </w:p>
        </w:tc>
      </w:tr>
      <w:tr>
        <w:tc>
          <w:tcPr/>
          <w:p>
            <w:pPr>
              <w:pStyle w:val="Compact"/>
            </w:pPr>
            <w:r>
              <w:t xml:space="preserve">Mild</w:t>
            </w:r>
          </w:p>
        </w:tc>
        <w:tc>
          <w:tcPr/>
          <w:p>
            <w:pPr>
              <w:pStyle w:val="Compact"/>
            </w:pPr>
            <w:r>
              <w:t xml:space="preserve">38.3%</w:t>
            </w:r>
          </w:p>
        </w:tc>
        <w:tc>
          <w:tcPr/>
          <w:p>
            <w:pPr>
              <w:pStyle w:val="Compact"/>
            </w:pPr>
            <w:r>
              <w:t xml:space="preserve">38.1%</w:t>
            </w:r>
          </w:p>
        </w:tc>
      </w:tr>
      <w:tr>
        <w:tc>
          <w:tcPr/>
          <w:p>
            <w:pPr>
              <w:pStyle w:val="Compact"/>
            </w:pPr>
            <w:r>
              <w:t xml:space="preserve">Moderate</w:t>
            </w:r>
          </w:p>
        </w:tc>
        <w:tc>
          <w:tcPr/>
          <w:p>
            <w:pPr>
              <w:pStyle w:val="Compact"/>
            </w:pPr>
            <w:r>
              <w:t xml:space="preserve">19.0%</w:t>
            </w:r>
          </w:p>
        </w:tc>
        <w:tc>
          <w:tcPr/>
          <w:p>
            <w:pPr>
              <w:pStyle w:val="Compact"/>
            </w:pPr>
            <w:r>
              <w:t xml:space="preserve">21.5%</w:t>
            </w:r>
          </w:p>
        </w:tc>
      </w:tr>
      <w:tr>
        <w:tc>
          <w:tcPr/>
          <w:p>
            <w:pPr>
              <w:pStyle w:val="Compact"/>
            </w:pPr>
            <w:r>
              <w:t xml:space="preserve">Moderately Severe</w:t>
            </w:r>
          </w:p>
        </w:tc>
        <w:tc>
          <w:tcPr/>
          <w:p>
            <w:pPr>
              <w:pStyle w:val="Compact"/>
            </w:pPr>
            <w:r>
              <w:t xml:space="preserve">4.2%</w:t>
            </w:r>
          </w:p>
        </w:tc>
        <w:tc>
          <w:tcPr/>
          <w:p>
            <w:pPr>
              <w:pStyle w:val="Compact"/>
            </w:pPr>
            <w:r>
              <w:t xml:space="preserve">4.0%</w:t>
            </w:r>
          </w:p>
        </w:tc>
      </w:tr>
      <w:tr>
        <w:tc>
          <w:tcPr/>
          <w:p>
            <w:pPr>
              <w:pStyle w:val="Compact"/>
            </w:pPr>
            <w:r>
              <w:t xml:space="preserve">Severe</w:t>
            </w:r>
          </w:p>
        </w:tc>
        <w:tc>
          <w:tcPr/>
          <w:p>
            <w:pPr>
              <w:pStyle w:val="Compact"/>
            </w:pPr>
            <w:r>
              <w:t xml:space="preserve">0.4%</w:t>
            </w:r>
          </w:p>
        </w:tc>
        <w:tc>
          <w:tcPr/>
          <w:p>
            <w:pPr>
              <w:pStyle w:val="Compact"/>
            </w:pPr>
            <w:r>
              <w:t xml:space="preserve">0.8%</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Audiometry per NHANES protocol covers children/adolescents (6–19 y) and adults ≥70 y; the sample contains no participants aged 20–69, so the adult analysis cohort is aged 70–80 y. Values are per ear unless noted.</w:t>
      </w:r>
    </w:p>
    <w:bookmarkEnd w:id="82"/>
    <w:bookmarkStart w:id="83"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0.68</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70.4%</w:t>
            </w:r>
          </w:p>
        </w:tc>
        <w:tc>
          <w:tcPr/>
          <w:p>
            <w:pPr>
              <w:pStyle w:val="Compact"/>
            </w:pPr>
            <w:r>
              <w:t xml:space="preserve">100%*</w:t>
            </w:r>
          </w:p>
        </w:tc>
        <w:tc>
          <w:tcPr/>
          <w:p>
            <w:pPr>
              <w:pStyle w:val="Compact"/>
            </w:pPr>
            <w:r>
              <w:t xml:space="preserve">96.7%</w:t>
            </w:r>
          </w:p>
        </w:tc>
        <w:tc>
          <w:tcPr/>
          <w:p>
            <w:pPr>
              <w:pStyle w:val="Compact"/>
            </w:pPr>
            <w:r>
              <w:t xml:space="preserve">96.0%</w:t>
            </w:r>
          </w:p>
        </w:tc>
      </w:tr>
      <w:tr>
        <w:tc>
          <w:tcPr/>
          <w:p>
            <w:pPr>
              <w:pStyle w:val="Compact"/>
            </w:pPr>
            <w:r>
              <w:t xml:space="preserve">Borderline Agreement (±5 dB)</w:t>
            </w:r>
          </w:p>
        </w:tc>
        <w:tc>
          <w:tcPr/>
          <w:p>
            <w:pPr>
              <w:pStyle w:val="Compact"/>
            </w:pPr>
            <w:r>
              <w:t xml:space="preserve">58.7%</w:t>
            </w:r>
          </w:p>
        </w:tc>
        <w:tc>
          <w:tcPr/>
          <w:p>
            <w:pPr>
              <w:pStyle w:val="Compact"/>
            </w:pPr>
            <w:r>
              <w:t xml:space="preserve">100%*</w:t>
            </w:r>
          </w:p>
        </w:tc>
        <w:tc>
          <w:tcPr/>
          <w:p>
            <w:pPr>
              <w:pStyle w:val="Compact"/>
            </w:pPr>
            <w:r>
              <w:t xml:space="preserve">94.7%</w:t>
            </w:r>
          </w:p>
        </w:tc>
        <w:tc>
          <w:tcPr/>
          <w:p>
            <w:pPr>
              <w:pStyle w:val="Compact"/>
            </w:pPr>
            <w:r>
              <w:t xml:space="preserve">93.4%</w:t>
            </w:r>
          </w:p>
        </w:tc>
      </w:tr>
      <w:tr>
        <w:tc>
          <w:tcPr/>
          <w:p>
            <w:pPr>
              <w:pStyle w:val="Compact"/>
            </w:pPr>
            <w:r>
              <w:t xml:space="preserve">Clear-case Agreement</w:t>
            </w:r>
          </w:p>
        </w:tc>
        <w:tc>
          <w:tcPr/>
          <w:p>
            <w:pPr>
              <w:pStyle w:val="Compact"/>
            </w:pPr>
            <w:r>
              <w:t xml:space="preserve">88.2%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0.83</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10.5</w:t>
            </w:r>
          </w:p>
        </w:tc>
        <w:tc>
          <w:tcPr/>
          <w:p>
            <w:pPr>
              <w:pStyle w:val="Compact"/>
            </w:pPr>
            <w:r>
              <w:t xml:space="preserve">0.0*</w:t>
            </w:r>
          </w:p>
        </w:tc>
        <w:tc>
          <w:tcPr/>
          <w:p>
            <w:pPr>
              <w:pStyle w:val="Compact"/>
            </w:pPr>
            <w:r>
              <w:t xml:space="preserve">0.5</w:t>
            </w:r>
          </w:p>
        </w:tc>
        <w:tc>
          <w:tcPr/>
          <w:p>
            <w:pPr>
              <w:pStyle w:val="Compact"/>
            </w:pPr>
            <w:r>
              <w:t xml:space="preserve">0.8</w:t>
            </w:r>
          </w:p>
        </w:tc>
      </w:tr>
    </w:tbl>
    <w:p>
      <w:pPr>
        <w:pStyle w:val="BodyText"/>
      </w:pPr>
      <w:r>
        <w:t xml:space="preserve">*PTA-4 is the reference standard; metrics reflect definitional agreement.</w:t>
      </w:r>
    </w:p>
    <w:bookmarkEnd w:id="83"/>
    <w:bookmarkStart w:id="84"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22.0%</w:t>
            </w:r>
          </w:p>
        </w:tc>
        <w:tc>
          <w:tcPr/>
          <w:p>
            <w:pPr>
              <w:pStyle w:val="Compact"/>
            </w:pPr>
            <w:r>
              <w:t xml:space="preserve">−5 to 12 dB</w:t>
            </w:r>
          </w:p>
        </w:tc>
      </w:tr>
      <w:tr>
        <w:tc>
          <w:tcPr/>
          <w:p>
            <w:pPr>
              <w:pStyle w:val="Compact"/>
            </w:pPr>
            <w:r>
              <w:t xml:space="preserve">Gently Sloping</w:t>
            </w:r>
          </w:p>
        </w:tc>
        <w:tc>
          <w:tcPr/>
          <w:p>
            <w:pPr>
              <w:pStyle w:val="Compact"/>
            </w:pPr>
            <w:r>
              <w:t xml:space="preserve">29.7%</w:t>
            </w:r>
          </w:p>
        </w:tc>
        <w:tc>
          <w:tcPr/>
          <w:p>
            <w:pPr>
              <w:pStyle w:val="Compact"/>
            </w:pPr>
            <w:r>
              <w:t xml:space="preserve">12–28 dB</w:t>
            </w:r>
          </w:p>
        </w:tc>
      </w:tr>
      <w:tr>
        <w:tc>
          <w:tcPr/>
          <w:p>
            <w:pPr>
              <w:pStyle w:val="Compact"/>
            </w:pPr>
            <w:r>
              <w:t xml:space="preserve">Steeply Sloping</w:t>
            </w:r>
          </w:p>
        </w:tc>
        <w:tc>
          <w:tcPr/>
          <w:p>
            <w:pPr>
              <w:pStyle w:val="Compact"/>
            </w:pPr>
            <w:r>
              <w:t xml:space="preserve">31.8%</w:t>
            </w:r>
          </w:p>
        </w:tc>
        <w:tc>
          <w:tcPr/>
          <w:p>
            <w:pPr>
              <w:pStyle w:val="Compact"/>
            </w:pPr>
            <w:r>
              <w:t xml:space="preserve">28–45 dB</w:t>
            </w:r>
          </w:p>
        </w:tc>
      </w:tr>
      <w:tr>
        <w:tc>
          <w:tcPr/>
          <w:p>
            <w:pPr>
              <w:pStyle w:val="Compact"/>
            </w:pPr>
            <w:r>
              <w:t xml:space="preserve">Precipitous</w:t>
            </w:r>
          </w:p>
        </w:tc>
        <w:tc>
          <w:tcPr/>
          <w:p>
            <w:pPr>
              <w:pStyle w:val="Compact"/>
            </w:pPr>
            <w:r>
              <w:t xml:space="preserve">13.4%</w:t>
            </w:r>
          </w:p>
        </w:tc>
        <w:tc>
          <w:tcPr/>
          <w:p>
            <w:pPr>
              <w:pStyle w:val="Compact"/>
            </w:pPr>
            <w:r>
              <w:t xml:space="preserve">&gt;45 dB</w:t>
            </w:r>
          </w:p>
        </w:tc>
      </w:tr>
      <w:tr>
        <w:tc>
          <w:tcPr/>
          <w:p>
            <w:pPr>
              <w:pStyle w:val="Compact"/>
            </w:pPr>
            <w:r>
              <w:t xml:space="preserve">Rising</w:t>
            </w:r>
          </w:p>
        </w:tc>
        <w:tc>
          <w:tcPr/>
          <w:p>
            <w:pPr>
              <w:pStyle w:val="Compact"/>
            </w:pPr>
            <w:r>
              <w:t xml:space="preserve">3.1%</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4"/>
    <w:bookmarkStart w:id="85"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9.3</w:t>
            </w:r>
          </w:p>
        </w:tc>
        <w:tc>
          <w:tcPr/>
          <w:p>
            <w:pPr>
              <w:pStyle w:val="Compact"/>
            </w:pPr>
            <w:r>
              <w:t xml:space="preserve">Normal</w:t>
            </w:r>
          </w:p>
        </w:tc>
        <w:tc>
          <w:tcPr/>
          <w:p>
            <w:pPr>
              <w:pStyle w:val="Compact"/>
            </w:pPr>
            <w:r>
              <w:t xml:space="preserve">Normal μ=0.29, Mild μ=0.00</w:t>
            </w:r>
          </w:p>
        </w:tc>
      </w:tr>
      <w:tr>
        <w:tc>
          <w:tcPr/>
          <w:p>
            <w:pPr>
              <w:pStyle w:val="Compact"/>
            </w:pPr>
            <w:r>
              <w:t xml:space="preserve">26</w:t>
            </w:r>
          </w:p>
        </w:tc>
        <w:tc>
          <w:tcPr/>
          <w:p>
            <w:pPr>
              <w:pStyle w:val="Compact"/>
            </w:pPr>
            <w:r>
              <w:t xml:space="preserve">Mild</w:t>
            </w:r>
          </w:p>
        </w:tc>
        <w:tc>
          <w:tcPr/>
          <w:p>
            <w:pPr>
              <w:pStyle w:val="Compact"/>
            </w:pPr>
            <w:r>
              <w:t xml:space="preserve">9.3</w:t>
            </w:r>
          </w:p>
        </w:tc>
        <w:tc>
          <w:tcPr/>
          <w:p>
            <w:pPr>
              <w:pStyle w:val="Compact"/>
            </w:pPr>
            <w:r>
              <w:t xml:space="preserve">Normal</w:t>
            </w:r>
          </w:p>
        </w:tc>
        <w:tc>
          <w:tcPr/>
          <w:p>
            <w:pPr>
              <w:pStyle w:val="Compact"/>
            </w:pPr>
            <w:r>
              <w:t xml:space="preserve">Normal μ=0.15, Mild μ=0.00</w:t>
            </w:r>
          </w:p>
        </w:tc>
      </w:tr>
      <w:tr>
        <w:tc>
          <w:tcPr/>
          <w:p>
            <w:pPr>
              <w:pStyle w:val="Compact"/>
            </w:pPr>
            <w:r>
              <w:t xml:space="preserve">27</w:t>
            </w:r>
          </w:p>
        </w:tc>
        <w:tc>
          <w:tcPr/>
          <w:p>
            <w:pPr>
              <w:pStyle w:val="Compact"/>
            </w:pPr>
            <w:r>
              <w:t xml:space="preserve">Mild</w:t>
            </w:r>
          </w:p>
        </w:tc>
        <w:tc>
          <w:tcPr/>
          <w:p>
            <w:pPr>
              <w:pStyle w:val="Compact"/>
            </w:pPr>
            <w:r>
              <w:t xml:space="preserve">14.8</w:t>
            </w:r>
          </w:p>
        </w:tc>
        <w:tc>
          <w:tcPr/>
          <w:p>
            <w:pPr>
              <w:pStyle w:val="Compact"/>
            </w:pPr>
            <w:r>
              <w:t xml:space="preserve">Normal</w:t>
            </w:r>
          </w:p>
        </w:tc>
        <w:tc>
          <w:tcPr/>
          <w:p>
            <w:pPr>
              <w:pStyle w:val="Compact"/>
            </w:pPr>
            <w:r>
              <w:t xml:space="preserve">Normal μ=0.07, Mild μ=0.25</w:t>
            </w:r>
          </w:p>
        </w:tc>
      </w:tr>
      <w:tr>
        <w:tc>
          <w:tcPr/>
          <w:p>
            <w:pPr>
              <w:pStyle w:val="Compact"/>
            </w:pPr>
            <w:r>
              <w:t xml:space="preserve">28</w:t>
            </w:r>
          </w:p>
        </w:tc>
        <w:tc>
          <w:tcPr/>
          <w:p>
            <w:pPr>
              <w:pStyle w:val="Compact"/>
            </w:pPr>
            <w:r>
              <w:t xml:space="preserve">Mild</w:t>
            </w:r>
          </w:p>
        </w:tc>
        <w:tc>
          <w:tcPr/>
          <w:p>
            <w:pPr>
              <w:pStyle w:val="Compact"/>
            </w:pPr>
            <w:r>
              <w:t xml:space="preserve">17.8</w:t>
            </w:r>
          </w:p>
        </w:tc>
        <w:tc>
          <w:tcPr/>
          <w:p>
            <w:pPr>
              <w:pStyle w:val="Compact"/>
            </w:pPr>
            <w:r>
              <w:t xml:space="preserve">Normal</w:t>
            </w:r>
          </w:p>
        </w:tc>
        <w:tc>
          <w:tcPr/>
          <w:p>
            <w:pPr>
              <w:pStyle w:val="Compact"/>
            </w:pPr>
            <w:r>
              <w:t xml:space="preserve">Normal μ=0.00, Mild μ=0.50</w:t>
            </w:r>
          </w:p>
        </w:tc>
      </w:tr>
      <w:tr>
        <w:tc>
          <w:tcPr/>
          <w:p>
            <w:pPr>
              <w:pStyle w:val="Compact"/>
            </w:pPr>
            <w:r>
              <w:t xml:space="preserve">30</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bl>
    <w:p>
      <w:pPr>
        <w:pStyle w:val="BodyText"/>
      </w:pPr>
      <w:r>
        <w:t xml:space="preserve">Values are deployed-system outputs. Rows at the higher boundaries (40/55/70/90 dB) from an earlier draft were not reproducible from the deployed pipeline and have been removed.</w:t>
      </w:r>
    </w:p>
    <w:p>
      <w:r>
        <w:pict>
          <v:rect style="width:0;height:1.5pt" o:hralign="center" o:hrstd="t" o:hr="t"/>
        </w:pict>
      </w:r>
    </w:p>
    <w:bookmarkEnd w:id="85"/>
    <w:bookmarkEnd w:id="86"/>
    <w:bookmarkStart w:id="87"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8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Borderline case analysis: FAI agreement with the crisp WHO grade as a function of distance from the nearest boundary on the held-out adult test set — 88.2% in clear cases (≥6 dB from a boundary) and 58.7% within ±5 dB, with agreement recovering monotonically as distance increases.</w:t>
      </w:r>
    </w:p>
    <w:p>
      <w:pPr>
        <w:pStyle w:val="BodyText"/>
      </w:pPr>
      <w:r>
        <w:rPr>
          <w:b/>
          <w:bCs/>
        </w:rPr>
        <w:t xml:space="preserve">Figure 6.</w:t>
      </w:r>
      <w:r>
        <w:t xml:space="preserve"> </w:t>
      </w:r>
      <w:r>
        <w:t xml:space="preserve">Configuration distribution in the NHANES cohort (slope = 4 kHz − 500 Hz).</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2026-08-14T08:24:50Z</dcterms:created>
  <dcterms:modified xsi:type="dcterms:W3CDTF">2026-08-14T08:24:50Z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the National Health and Nutrition Examination Survey (NHANES 2017–2020, n = 5,147 participants), restricted them to the adult subgroup (aged ≥70 y, per the NHANES audiometry protocol), and split them into training (80%, n = 1,584) and held-out test (20%, n = 396)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substantial classification agreement (weighted κ = 0.68) and 88.2% agreement in clear cases. In borderline cases (±5 dB of a severity boundary) — which include 61.4% of adult test ears — the system deliberately returned graded membership rather than a forced binary label (58.7% agreement with the crisp grade, reflecting the designed reclassification of ambiguous thresholds). Configuration typing is provided as a graded vector over six canonical shapes. At the normal–mild transition, membership grades continuously (e.g., 27 dB: Normal μ = 0.07, Mild μ = 0.25) instead of flipping at 26 dB.Conclusion: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