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0.png" ContentType="image/png"/>
  <Override PartName="/word/media/rId27.png" ContentType="image/png"/>
  <Override PartName="/word/media/rId33.png" ContentType="image/png"/>
  <Override PartName="/word/media/rId4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Objectives:</w:t>
      </w:r>
      <w:r>
        <w:t xml:space="preserve"> </w:t>
      </w:r>
      <w:r>
        <w:t xml:space="preserve">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pStyle w:val="Abstract"/>
      </w:pPr>
      <w:r>
        <w:rPr>
          <w:b/>
          <w:bCs/>
        </w:rPr>
        <w:t xml:space="preserve">Design:</w:t>
      </w:r>
      <w:r>
        <w:t xml:space="preserve"> </w:t>
      </w:r>
      <w:r>
        <w:t xml:space="preserve">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pStyle w:val="Abstract"/>
      </w:pPr>
      <w:r>
        <w:rPr>
          <w:b/>
          <w:bCs/>
        </w:rPr>
        <w:t xml:space="preserve">Study Sample:</w:t>
      </w:r>
      <w:r>
        <w:t xml:space="preserve"> </w:t>
      </w:r>
      <w:r>
        <w:t xml:space="preserve">Cross-sectional audiometric data from the National Health and Nutrition Examination Survey (NHANES 2017–2020, n = 5,147), restricted to adults aged 70 years and over (n = 1,493) and split into training (80%, n = 1,584) and held-out test (20%, n = 396) ears.</w:t>
      </w:r>
    </w:p>
    <w:p>
      <w:pPr>
        <w:pStyle w:val="Abstract"/>
      </w:pPr>
      <w:r>
        <w:rPr>
          <w:b/>
          <w:bCs/>
        </w:rPr>
        <w:t xml:space="preserve">Results:</w:t>
      </w:r>
      <w:r>
        <w:t xml:space="preserve"> </w:t>
      </w:r>
      <w:r>
        <w:t xml:space="preserve">FAI showed substantial agreement with WHO PTA-4 classification (weighted κ = 0.68). Agreement was 88.2% in clear cases, where crisp classification is uncontroversial; in borderline cases within ±5 dB of a severity boundary — which include 61.4% of adult test ears — the system deliberately returned graded membership rather than a forced binary label (58.7% agreement with the crisp grade, reflecting the designed reclassification of ambiguous thresholds). At the normal–mild transition, membership grades continuously (e.g., 27 dB: Normal μ = 0.07, Mild μ = 0.25) instead of flipping at 26 dB.</w:t>
      </w:r>
    </w:p>
    <w:p>
      <w:pPr>
        <w:pStyle w:val="Abstract"/>
      </w:pPr>
      <w:r>
        <w:rPr>
          <w:b/>
          <w:bCs/>
        </w:rPr>
        <w:t xml:space="preserve">Conclusions:</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13" w:name="introduction"/>
    <w:p>
      <w:pPr>
        <w:pStyle w:val="Heading1"/>
      </w:pPr>
      <w:r>
        <w:t xml:space="preserve">1. Introduction</w:t>
      </w:r>
    </w:p>
    <w:tbl>
      <w:tblPr>
        <w:tblStyle w:val="Table"/>
        <w:tblW w:type="pct" w:w="5000"/>
        <w:tblLayout w:type="fixed"/>
        <w:tblLook w:firstRow="0" w:lastRow="0" w:firstColumn="0" w:lastColumn="0" w:noHBand="0" w:noVBand="0" w:val="0000"/>
      </w:tblPr>
      <w:tblGrid>
        <w:gridCol w:w="7920"/>
      </w:tblGrid>
      <w:tr>
        <w:tc>
          <w:tcPr/>
          <w:bookmarkStart w:id="12" w:name="fig-1"/>
          <w:p>
            <w:pPr>
              <w:pStyle w:val="Compact"/>
              <w:jc w:val="center"/>
            </w:pPr>
            <w:r>
              <w:drawing>
                <wp:inline>
                  <wp:extent cx="4800600" cy="2611876"/>
                  <wp:effectExtent b="0" l="0" r="0" t="0"/>
                  <wp:docPr descr="" title="" id="10" name="Picture"/>
                  <a:graphic>
                    <a:graphicData uri="http://schemas.openxmlformats.org/drawingml/2006/picture">
                      <pic:pic>
                        <pic:nvPicPr>
                          <pic:cNvPr descr="figures/fig1_membership_functions.png" id="11" name="Picture"/>
                          <pic:cNvPicPr>
                            <a:picLocks noChangeArrowheads="1" noChangeAspect="1"/>
                          </pic:cNvPicPr>
                        </pic:nvPicPr>
                        <pic:blipFill>
                          <a:blip r:embed="rId9"/>
                          <a:stretch>
                            <a:fillRect/>
                          </a:stretch>
                        </pic:blipFill>
                        <pic:spPr bwMode="auto">
                          <a:xfrm>
                            <a:off x="0" y="0"/>
                            <a:ext cx="4800600" cy="26118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Overlapping trapezoidal membership functions for six hearing loss severity categories. The NHANES-optimised boundaries show an ~8 dB rightward shift relative to classic WHO thresholds, with controlled 2–3 dB overlap at each transition.</w:t>
            </w:r>
          </w:p>
          <w:bookmarkEnd w:id="12"/>
        </w:tc>
      </w:tr>
    </w:tbl>
    <w:p>
      <w:pPr>
        <w:pStyle w:val="BodyText"/>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(Miller and Polansky 2004)</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 Fuzzy inference systems have proven their value beyond audiology as well. Amezquita-Sanchez et al.</w:t>
      </w:r>
      <w:r>
        <w:t xml:space="preserve"> </w:t>
      </w:r>
      <w:r>
        <w:t xml:space="preserve">(Amezquita-Sanchez et al. 2021)</w:t>
      </w:r>
      <w:r>
        <w:t xml:space="preserve"> </w:t>
      </w:r>
      <w:r>
        <w:t xml:space="preserve">used dispersion entropy features and a fuzzy logic system to automate the classification of dementia stages from electroencephalograms.</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w:t>
      </w:r>
      <w:r>
        <w:t xml:space="preserve">Chen et al.</w:t>
      </w:r>
      <w:r>
        <w:t xml:space="preserve"> </w:t>
      </w:r>
      <w:r>
        <w:t xml:space="preserve">2017)</w:t>
      </w:r>
      <w:r>
        <w:t xml:space="preserve"> </w:t>
      </w:r>
      <w:r>
        <w:t xml:space="preserve">reported 91% accuracy with a Mamdani-type system using frequency-specific inputs. Zadoush et al.</w:t>
      </w:r>
      <w:r>
        <w:t xml:space="preserve"> </w:t>
      </w:r>
      <w:r>
        <w:t xml:space="preserve">(</w:t>
      </w:r>
      <w:r>
        <w:t xml:space="preserve">Zadoush et al.</w:t>
      </w:r>
      <w:r>
        <w:t xml:space="preserve"> </w:t>
      </w:r>
      <w:r>
        <w:t xml:space="preserve">2020)</w:t>
      </w:r>
      <w:r>
        <w:t xml:space="preserve"> </w:t>
      </w:r>
      <w:r>
        <w:t xml:space="preserve">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13"/>
    <w:bookmarkStart w:id="25" w:name="methods"/>
    <w:p>
      <w:pPr>
        <w:pStyle w:val="Heading1"/>
      </w:pPr>
      <w:r>
        <w:t xml:space="preserve">2. Methods</w:t>
      </w:r>
    </w:p>
    <w:bookmarkStart w:id="14" w:name="dataset-and-traintest-split"/>
    <w:p>
      <w:pPr>
        <w:pStyle w:val="Heading2"/>
      </w:pPr>
      <w:r>
        <w:t xml:space="preserve">2.1 Dataset and Train–Test Split</w:t>
      </w:r>
    </w:p>
    <w:p>
      <w:pPr>
        <w:pStyle w:val="FirstParagraph"/>
      </w:pPr>
      <w:r>
        <w:t xml:space="preserve">We obtained audiometric data from the National Health and Nutrition Examination Survey (NHANES), specifically the P_AUX examination file for the 2017–2020 (pre-pandemic) cycle, which includes 5,147 participants. Per NHANES protocol, audiometry was administered to children and adolescents aged 6–19 years and to adults aged 70 years and over; the sample therefore contains no participants aged 20–69. To focus on adult hearing loss, all analyses were restricted to the adult subgroup (aged 70 years and over; 1,493 participants). After cleaning (excluding sentinel codes 666/777/888/999 and ears with missing thresholds), 1,980 ears from 1,125 adults had complete air-conduction thresholds at all seven frequencies and formed the analysis set.</w:t>
      </w:r>
    </w:p>
    <w:p>
      <w:pPr>
        <w:pStyle w:val="BodyText"/>
      </w:pPr>
      <w:r>
        <w:t xml:space="preserve">We randomly split the adult clean-ear dataset (1,980 ears from 1,125 participants) into a training set (80%, n = 1,584 ears) and a held-out test set (20%, n = 396 ears).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14"/>
    <w:bookmarkStart w:id="15" w:name="exploratory-data-analysis"/>
    <w:p>
      <w:pPr>
        <w:pStyle w:val="Heading2"/>
      </w:pPr>
      <w:r>
        <w:t xml:space="preserve">2.2 Exploratory Data Analysis</w:t>
      </w:r>
    </w:p>
    <w:p>
      <w:pPr>
        <w:pStyle w:val="FirstParagraph"/>
      </w:pPr>
      <w:r>
        <w:t xml:space="preserve">We explored the NHANES audiometry dataset before building the model. The full file contains 5,147 participants; after restricting to the adult subgroup and cleaning, 1,980 adult ears (from 1,125 participants) had complete data, with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About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 and the analysis repository (https://github.com/ameye/fuzzy-audiogram).</w:t>
      </w:r>
    </w:p>
    <w:bookmarkEnd w:id="15"/>
    <w:bookmarkStart w:id="16"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0.0</w:t>
            </w:r>
          </w:p>
        </w:tc>
        <w:tc>
          <w:tcPr/>
          <w:p>
            <w:pPr>
              <w:pStyle w:val="Compact"/>
            </w:pPr>
            <w:r>
              <w:t xml:space="preserve">14.3</w:t>
            </w:r>
          </w:p>
        </w:tc>
        <w:tc>
          <w:tcPr/>
          <w:p>
            <w:pPr>
              <w:pStyle w:val="Compact"/>
            </w:pPr>
            <w:r>
              <w:t xml:space="preserve">28.0</w:t>
            </w:r>
          </w:p>
        </w:tc>
      </w:tr>
      <w:tr>
        <w:tc>
          <w:tcPr/>
          <w:p>
            <w:pPr>
              <w:pStyle w:val="Compact"/>
            </w:pPr>
            <w:r>
              <w:t xml:space="preserve">Mild</w:t>
            </w:r>
          </w:p>
        </w:tc>
        <w:tc>
          <w:tcPr/>
          <w:p>
            <w:pPr>
              <w:pStyle w:val="Compact"/>
            </w:pPr>
            <w:r>
              <w:t xml:space="preserve">26.0</w:t>
            </w:r>
          </w:p>
        </w:tc>
        <w:tc>
          <w:tcPr/>
          <w:p>
            <w:pPr>
              <w:pStyle w:val="Compact"/>
            </w:pPr>
            <w:r>
              <w:t xml:space="preserve">30.0</w:t>
            </w:r>
          </w:p>
        </w:tc>
        <w:tc>
          <w:tcPr/>
          <w:p>
            <w:pPr>
              <w:pStyle w:val="Compact"/>
            </w:pPr>
            <w:r>
              <w:t xml:space="preserve">39.3</w:t>
            </w:r>
          </w:p>
        </w:tc>
        <w:tc>
          <w:tcPr/>
          <w:p>
            <w:pPr>
              <w:pStyle w:val="Compact"/>
            </w:pPr>
            <w:r>
              <w:t xml:space="preserve">44.0</w:t>
            </w:r>
          </w:p>
        </w:tc>
      </w:tr>
      <w:tr>
        <w:tc>
          <w:tcPr/>
          <w:p>
            <w:pPr>
              <w:pStyle w:val="Compact"/>
            </w:pPr>
            <w:r>
              <w:t xml:space="preserve">Moderate</w:t>
            </w:r>
          </w:p>
        </w:tc>
        <w:tc>
          <w:tcPr/>
          <w:p>
            <w:pPr>
              <w:pStyle w:val="Compact"/>
            </w:pPr>
            <w:r>
              <w:t xml:space="preserve">41.0</w:t>
            </w:r>
          </w:p>
        </w:tc>
        <w:tc>
          <w:tcPr/>
          <w:p>
            <w:pPr>
              <w:pStyle w:val="Compact"/>
            </w:pPr>
            <w:r>
              <w:t xml:space="preserve">45.0</w:t>
            </w:r>
          </w:p>
        </w:tc>
        <w:tc>
          <w:tcPr/>
          <w:p>
            <w:pPr>
              <w:pStyle w:val="Compact"/>
            </w:pPr>
            <w:r>
              <w:t xml:space="preserve">53.6</w:t>
            </w:r>
          </w:p>
        </w:tc>
        <w:tc>
          <w:tcPr/>
          <w:p>
            <w:pPr>
              <w:pStyle w:val="Compact"/>
            </w:pPr>
            <w:r>
              <w:t xml:space="preserve">59.0</w:t>
            </w:r>
          </w:p>
        </w:tc>
      </w:tr>
      <w:tr>
        <w:tc>
          <w:tcPr/>
          <w:p>
            <w:pPr>
              <w:pStyle w:val="Compact"/>
            </w:pPr>
            <w:r>
              <w:t xml:space="preserve">Moderately Severe</w:t>
            </w:r>
          </w:p>
        </w:tc>
        <w:tc>
          <w:tcPr/>
          <w:p>
            <w:pPr>
              <w:pStyle w:val="Compact"/>
            </w:pPr>
            <w:r>
              <w:t xml:space="preserve">56.0</w:t>
            </w:r>
          </w:p>
        </w:tc>
        <w:tc>
          <w:tcPr/>
          <w:p>
            <w:pPr>
              <w:pStyle w:val="Compact"/>
            </w:pPr>
            <w:r>
              <w:t xml:space="preserve">60.0</w:t>
            </w:r>
          </w:p>
        </w:tc>
        <w:tc>
          <w:tcPr/>
          <w:p>
            <w:pPr>
              <w:pStyle w:val="Compact"/>
            </w:pPr>
            <w:r>
              <w:t xml:space="preserve">67.9</w:t>
            </w:r>
          </w:p>
        </w:tc>
        <w:tc>
          <w:tcPr/>
          <w:p>
            <w:pPr>
              <w:pStyle w:val="Compact"/>
            </w:pPr>
            <w:r>
              <w:t xml:space="preserve">74.0</w:t>
            </w:r>
          </w:p>
        </w:tc>
      </w:tr>
      <w:tr>
        <w:tc>
          <w:tcPr/>
          <w:p>
            <w:pPr>
              <w:pStyle w:val="Compact"/>
            </w:pPr>
            <w:r>
              <w:t xml:space="preserve">Severe</w:t>
            </w:r>
          </w:p>
        </w:tc>
        <w:tc>
          <w:tcPr/>
          <w:p>
            <w:pPr>
              <w:pStyle w:val="Compact"/>
            </w:pPr>
            <w:r>
              <w:t xml:space="preserve">71.0</w:t>
            </w:r>
          </w:p>
        </w:tc>
        <w:tc>
          <w:tcPr/>
          <w:p>
            <w:pPr>
              <w:pStyle w:val="Compact"/>
            </w:pPr>
            <w:r>
              <w:t xml:space="preserve">75.0</w:t>
            </w:r>
          </w:p>
        </w:tc>
        <w:tc>
          <w:tcPr/>
          <w:p>
            <w:pPr>
              <w:pStyle w:val="Compact"/>
            </w:pPr>
            <w:r>
              <w:t xml:space="preserve">85.4</w:t>
            </w:r>
          </w:p>
        </w:tc>
        <w:tc>
          <w:tcPr/>
          <w:p>
            <w:pPr>
              <w:pStyle w:val="Compact"/>
            </w:pPr>
            <w:r>
              <w:t xml:space="preserve">94.0</w:t>
            </w:r>
          </w:p>
        </w:tc>
      </w:tr>
      <w:tr>
        <w:tc>
          <w:tcPr/>
          <w:p>
            <w:pPr>
              <w:pStyle w:val="Compact"/>
            </w:pPr>
            <w:r>
              <w:t xml:space="preserve">Profound</w:t>
            </w:r>
          </w:p>
        </w:tc>
        <w:tc>
          <w:tcPr/>
          <w:p>
            <w:pPr>
              <w:pStyle w:val="Compact"/>
            </w:pPr>
            <w:r>
              <w:t xml:space="preserve">91.9</w:t>
            </w:r>
          </w:p>
        </w:tc>
        <w:tc>
          <w:tcPr/>
          <w:p>
            <w:pPr>
              <w:pStyle w:val="Compact"/>
            </w:pPr>
            <w:r>
              <w:t xml:space="preserve">94.4</w:t>
            </w:r>
          </w:p>
        </w:tc>
        <w:tc>
          <w:tcPr/>
          <w:p>
            <w:pPr>
              <w:pStyle w:val="Compact"/>
            </w:pPr>
            <w:r>
              <w:t xml:space="preserve">103.5</w:t>
            </w:r>
          </w:p>
        </w:tc>
        <w:tc>
          <w:tcPr/>
          <w:p>
            <w:pPr>
              <w:pStyle w:val="Compact"/>
            </w:pPr>
            <w:r>
              <w:t xml:space="preserve">120.0</w:t>
            </w:r>
          </w:p>
        </w:tc>
      </w:tr>
    </w:tbl>
    <w:p>
      <w:pPr>
        <w:pStyle w:val="BodyText"/>
      </w:pPr>
      <w:r>
        <w:t xml:space="preserve">Each category overlaps with its neighbours by about 2–3 dB at the classic WHO boundaries, which gives smooth transitions while keeping the fuzzy zone smaller than the ±5–10 dB test–retest variability of audiometry</w:t>
      </w:r>
      <w:r>
        <w:t xml:space="preserve"> </w:t>
      </w:r>
      <w:r>
        <w:t xml:space="preserve">(Miller and Polansky 2004)</w:t>
      </w:r>
      <w:r>
        <w:t xml:space="preserve">. A threshold of 27 dB HL, for example, gives membership μ = 0.07 to</w:t>
      </w:r>
      <w:r>
        <w:t xml:space="preserve"> </w:t>
      </w:r>
      <w:r>
        <w:rPr>
          <w:i/>
          <w:iCs/>
        </w:rPr>
        <w:t xml:space="preserve">Normal</w:t>
      </w:r>
      <w:r>
        <w:t xml:space="preserve"> </w:t>
      </w:r>
      <w:r>
        <w:t xml:space="preserve">and μ = 0.25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9</w:t>
        </w:r>
      </w:hyperlink>
      <w:r>
        <w:t xml:space="preserve">.</w:t>
      </w:r>
    </w:p>
    <w:bookmarkEnd w:id="16"/>
    <w:bookmarkStart w:id="17" w:name="fuzzy-inference-system"/>
    <w:p>
      <w:pPr>
        <w:pStyle w:val="Heading2"/>
      </w:pPr>
      <w:r>
        <w:t xml:space="preserve">2.4 Fuzzy Inference System</w:t>
      </w:r>
    </w:p>
    <w:p>
      <w:pPr>
        <w:pStyle w:val="FirstParagraph"/>
      </w:pPr>
      <w:r>
        <w:t xml:space="preserve">We built a Mamdani-type fuzzy inference system with 48 expert-derived rules organised into four groups:</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pStyle w:val="BodyText"/>
      </w:pPr>
      <w:r>
        <w:t xml:space="preserve">The system also outputs a configuration vector (membership degrees for each of six canonical shapes), an asymmetry index (0–100), and a linguistic summary with associated firing strength.</w:t>
      </w:r>
    </w:p>
    <w:bookmarkEnd w:id="17"/>
    <w:bookmarkStart w:id="18"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regression trees (learning rate 0.1, max depth 6, 100 estimators); input = 7 frequency thresholds; output = continuous PTA-4 estimate</w:t>
            </w:r>
          </w:p>
        </w:tc>
        <w:tc>
          <w:tcPr/>
          <w:p>
            <w:pPr>
              <w:pStyle w:val="Compact"/>
            </w:pPr>
            <w:r>
              <w:t xml:space="preserve">PTA-4 (continuous)</w:t>
            </w:r>
          </w:p>
        </w:tc>
      </w:tr>
      <w:tr>
        <w:tc>
          <w:tcPr/>
          <w:p>
            <w:pPr>
              <w:pStyle w:val="Compact"/>
            </w:pPr>
            <w:r>
              <w:t xml:space="preserve">Random Forest</w:t>
            </w:r>
          </w:p>
        </w:tc>
        <w:tc>
          <w:tcPr/>
          <w:p>
            <w:pPr>
              <w:pStyle w:val="Compact"/>
            </w:pPr>
            <w:r>
              <w:t xml:space="preserve">1,000 regression trees (max depth 10, min samples split 5); input = 7 frequency thresholds; output = continuous PTA-4 estimate</w:t>
            </w:r>
          </w:p>
        </w:tc>
        <w:tc>
          <w:tcPr/>
          <w:p>
            <w:pPr>
              <w:pStyle w:val="Compact"/>
            </w:pPr>
            <w:r>
              <w:t xml:space="preserve">PTA-4 (continuous)</w:t>
            </w:r>
          </w:p>
        </w:tc>
      </w:tr>
    </w:tbl>
    <w:p>
      <w:pPr>
        <w:pStyle w:val="BodyText"/>
      </w:pPr>
      <w:r>
        <w:t xml:space="preserve">All comparators were evaluated on the held-out test set.</w:t>
      </w:r>
    </w:p>
    <w:bookmarkEnd w:id="18"/>
    <w:bookmarkStart w:id="24"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Source code is at</w:t>
      </w:r>
      <w:r>
        <w:t xml:space="preserve"> </w:t>
      </w:r>
      <w:hyperlink r:id="rId19">
        <w:r>
          <w:rPr>
            <w:rStyle w:val="Hyperlink"/>
          </w:rPr>
          <w:t xml:space="preserve">https://github.com/ameye/fuzzy-audiogram</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2"/>
          <w:p>
            <w:pPr>
              <w:pStyle w:val="Compact"/>
              <w:jc w:val="center"/>
            </w:pPr>
            <w:r>
              <w:drawing>
                <wp:inline>
                  <wp:extent cx="5067300" cy="2509902"/>
                  <wp:effectExtent b="0" l="0" r="0" t="0"/>
                  <wp:docPr descr="" title="" id="21" name="Picture"/>
                  <a:graphic>
                    <a:graphicData uri="http://schemas.openxmlformats.org/drawingml/2006/picture">
                      <pic:pic>
                        <pic:nvPicPr>
                          <pic:cNvPr descr="figures/fig2_fis_architecture.png" id="22" name="Picture"/>
                          <pic:cNvPicPr>
                            <a:picLocks noChangeArrowheads="1" noChangeAspect="1"/>
                          </pic:cNvPicPr>
                        </pic:nvPicPr>
                        <pic:blipFill>
                          <a:blip r:embed="rId20"/>
                          <a:stretch>
                            <a:fillRect/>
                          </a:stretch>
                        </pic:blipFill>
                        <pic:spPr bwMode="auto">
                          <a:xfrm>
                            <a:off x="0" y="0"/>
                            <a:ext cx="5067300" cy="2509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Mamdani fuzzy inference system architecture. Frequency-specific thresholds → fuzzification (6 overlapping MFs) → 48-rule inference engine → centroid defuzzification → FAI, configuration vector, asymmetry index.</w:t>
            </w:r>
          </w:p>
          <w:bookmarkEnd w:id="23"/>
        </w:tc>
      </w:tr>
    </w:tbl>
    <w:bookmarkEnd w:id="24"/>
    <w:bookmarkEnd w:id="25"/>
    <w:bookmarkStart w:id="48" w:name="results"/>
    <w:p>
      <w:pPr>
        <w:pStyle w:val="Heading1"/>
      </w:pPr>
      <w:r>
        <w:t xml:space="preserve">3. Results</w:t>
      </w:r>
    </w:p>
    <w:bookmarkStart w:id="26" w:name="cohort-characteristics"/>
    <w:p>
      <w:pPr>
        <w:pStyle w:val="Heading2"/>
      </w:pPr>
      <w:r>
        <w:t xml:space="preserve">3.1 Cohort Characteristics</w:t>
      </w:r>
    </w:p>
    <w:p>
      <w:pPr>
        <w:pStyle w:val="FirstParagraph"/>
      </w:pPr>
      <w:r>
        <w:t xml:space="preserve">Per NHANES protocol, audiometry in the 2017–2020 (pre-pandemic) cycle was administered to children and adolescents aged 6–19 years and to adults aged 70 years and older; the sample contains no participants aged 20–69. All analyses here focus on the adult subgroup: 1,493 participants aged 70–80 years (53% female; mean age 75.7 years, SD 3.8, median 76). After cleaning, 1,980 ears from 1,125 adults had complete thresholds at all seven frequencies and were split 80/20 into training (n = 1,584 ears) and held-out test (n = 396 ears) sets. In the test set, PTA-4 values were right-skewed: 35.6% normal (≤25 dB HL), 38.1% mild (26–40 dB), 21.5% moderate (41–55 dB), 4.0% moderately severe (56–70 dB), 0.8% severe (71–90 dB), and &lt;0.1% profound (≥91 dB).</w:t>
      </w:r>
    </w:p>
    <w:bookmarkEnd w:id="26"/>
    <w:bookmarkStart w:id="31" w:name="classification-accuracy"/>
    <w:p>
      <w:pPr>
        <w:pStyle w:val="Heading2"/>
      </w:pPr>
      <w:r>
        <w:t xml:space="preserve">3.2 Classification Accuracy</w:t>
      </w:r>
    </w:p>
    <w:p>
      <w:pPr>
        <w:pStyle w:val="FirstParagraph"/>
      </w:pPr>
      <w:r>
        <w:t xml:space="preserve">On the held-out test set, the FAI showed weighted Cohen’s κ = 0.68 against the WHO PTA-4 reference — substantial agreement.</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4800600" cy="1891145"/>
                  <wp:effectExtent b="0" l="0" r="0" t="0"/>
                  <wp:docPr descr="" title="" id="28" name="Picture"/>
                  <a:graphic>
                    <a:graphicData uri="http://schemas.openxmlformats.org/drawingml/2006/picture">
                      <pic:pic>
                        <pic:nvPicPr>
                          <pic:cNvPr descr="figures/fig3_fai_agreement.png" id="29" name="Picture"/>
                          <pic:cNvPicPr>
                            <a:picLocks noChangeArrowheads="1" noChangeAspect="1"/>
                          </pic:cNvPicPr>
                        </pic:nvPicPr>
                        <pic:blipFill>
                          <a:blip r:embed="rId27"/>
                          <a:stretch>
                            <a:fillRect/>
                          </a:stretch>
                        </pic:blipFill>
                        <pic:spPr bwMode="auto">
                          <a:xfrm>
                            <a:off x="0" y="0"/>
                            <a:ext cx="4800600" cy="18911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Bland-Altman plot showing agreement between FAI and PTA-4 reference on the held-out test set.</w:t>
            </w:r>
          </w:p>
          <w:bookmarkEnd w:id="30"/>
        </w:tc>
      </w:tr>
    </w:tbl>
    <w:p>
      <w:pPr>
        <w:pStyle w:val="BodyText"/>
      </w:pPr>
      <w:r>
        <w:t xml:space="preserve"> </w:t>
      </w:r>
    </w:p>
    <w:tbl>
      <w:tblPr>
        <w:tblStyle w:val="Table"/>
        <w:tblW w:type="pct" w:w="5000"/>
        <w:tblLayout w:type="fixed"/>
        <w:tblLook w:firstRow="1" w:lastRow="0" w:firstColumn="0" w:lastColumn="0" w:noHBand="0" w:noVBand="0" w:val="0020"/>
      </w:tblPr>
      <w:tblGrid>
        <w:gridCol w:w="960"/>
        <w:gridCol w:w="2280"/>
        <w:gridCol w:w="2280"/>
        <w:gridCol w:w="240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Agreement (±5 dB)</w:t>
            </w:r>
          </w:p>
        </w:tc>
        <w:tc>
          <w:tcPr/>
          <w:p>
            <w:pPr>
              <w:pStyle w:val="Compact"/>
            </w:pPr>
            <w:r>
              <w:t xml:space="preserve">Clear-case Agreement</w:t>
            </w:r>
          </w:p>
        </w:tc>
      </w:tr>
      <w:tr>
        <w:tc>
          <w:tcPr/>
          <w:p>
            <w:pPr>
              <w:pStyle w:val="Compact"/>
            </w:pPr>
            <w:r>
              <w:t xml:space="preserve">FAI (fuzzy)</w:t>
            </w:r>
          </w:p>
        </w:tc>
        <w:tc>
          <w:tcPr/>
          <w:p>
            <w:pPr>
              <w:pStyle w:val="Compact"/>
            </w:pPr>
            <w:r>
              <w:t xml:space="preserve">0.68</w:t>
            </w:r>
          </w:p>
        </w:tc>
        <w:tc>
          <w:tcPr/>
          <w:p>
            <w:pPr>
              <w:pStyle w:val="Compact"/>
            </w:pPr>
            <w:r>
              <w:t xml:space="preserve">58.7%</w:t>
            </w:r>
          </w:p>
        </w:tc>
        <w:tc>
          <w:tcPr/>
          <w:p>
            <w:pPr>
              <w:pStyle w:val="Compact"/>
            </w:pPr>
            <w:r>
              <w:t xml:space="preserve">88.2%</w:t>
            </w:r>
          </w:p>
        </w:tc>
      </w:tr>
      <w:tr>
        <w:tc>
          <w:tcPr/>
          <w:p>
            <w:pPr>
              <w:pStyle w:val="Compact"/>
            </w:pPr>
            <w:r>
              <w:t xml:space="preserve">PTA-4 (WHO)</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XGBoost</w:t>
            </w:r>
          </w:p>
        </w:tc>
        <w:tc>
          <w:tcPr/>
          <w:p>
            <w:pPr>
              <w:pStyle w:val="Compact"/>
            </w:pPr>
            <w:r>
              <w:t xml:space="preserve">0.98</w:t>
            </w:r>
          </w:p>
        </w:tc>
        <w:tc>
          <w:tcPr/>
          <w:p>
            <w:pPr>
              <w:pStyle w:val="Compact"/>
            </w:pPr>
            <w:r>
              <w:t xml:space="preserve">94.7%</w:t>
            </w:r>
          </w:p>
        </w:tc>
        <w:tc>
          <w:tcPr/>
          <w:p>
            <w:pPr>
              <w:pStyle w:val="Compact"/>
            </w:pPr>
            <w:r>
              <w:t xml:space="preserve">100%</w:t>
            </w:r>
          </w:p>
        </w:tc>
      </w:tr>
      <w:tr>
        <w:tc>
          <w:tcPr/>
          <w:p>
            <w:pPr>
              <w:pStyle w:val="Compact"/>
            </w:pPr>
            <w:r>
              <w:t xml:space="preserve">Random Forest</w:t>
            </w:r>
          </w:p>
        </w:tc>
        <w:tc>
          <w:tcPr/>
          <w:p>
            <w:pPr>
              <w:pStyle w:val="Compact"/>
            </w:pPr>
            <w:r>
              <w:t xml:space="preserve">0.98</w:t>
            </w:r>
          </w:p>
        </w:tc>
        <w:tc>
          <w:tcPr/>
          <w:p>
            <w:pPr>
              <w:pStyle w:val="Compact"/>
            </w:pPr>
            <w:r>
              <w:t xml:space="preserve">93.4%</w:t>
            </w:r>
          </w:p>
        </w:tc>
        <w:tc>
          <w:tcPr/>
          <w:p>
            <w:pPr>
              <w:pStyle w:val="Compact"/>
            </w:pPr>
            <w:r>
              <w:t xml:space="preserve">100%</w:t>
            </w:r>
          </w:p>
        </w:tc>
      </w:tr>
    </w:tbl>
    <w:p>
      <w:pPr>
        <w:pStyle w:val="BodyText"/>
      </w:pPr>
      <w:r>
        <w:t xml:space="preserve">*PTA-4 is the reference standard; its agreement is definitional. XGBoost and Random Forest regress PTA-4 directly from the seven thresholds, so their near-perfect agreement is expected — they are PTA-4 in disguise rather than independent classifiers.</w:t>
      </w:r>
    </w:p>
    <w:p>
      <w:pPr>
        <w:pStyle w:val="BodyText"/>
      </w:pPr>
      <w:r>
        <w:t xml:space="preserve">The fuzzy system’s value does not lie in mimicking the crisp grade: it matches the WHO reference on 88.2% of clear cases and deliberately deviates in the borderline zone (agreement ≈ 47–59%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bookmarkEnd w:id="31"/>
    <w:bookmarkStart w:id="32"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9.3</w:t>
            </w:r>
          </w:p>
        </w:tc>
        <w:tc>
          <w:tcPr/>
          <w:p>
            <w:pPr>
              <w:pStyle w:val="Compact"/>
            </w:pPr>
            <w:r>
              <w:t xml:space="preserve">0.29</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Normal</w:t>
            </w:r>
          </w:p>
        </w:tc>
        <w:tc>
          <w:tcPr/>
          <w:p>
            <w:pPr>
              <w:pStyle w:val="Compact"/>
            </w:pPr>
            <w:r>
              <w:t xml:space="preserve">9.3</w:t>
            </w:r>
          </w:p>
        </w:tc>
        <w:tc>
          <w:tcPr/>
          <w:p>
            <w:pPr>
              <w:pStyle w:val="Compact"/>
            </w:pPr>
            <w:r>
              <w:t xml:space="preserve">0.15</w:t>
            </w:r>
          </w:p>
        </w:tc>
        <w:tc>
          <w:tcPr/>
          <w:p>
            <w:pPr>
              <w:pStyle w:val="Compact"/>
            </w:pPr>
            <w:r>
              <w:t xml:space="preserve">0.00</w:t>
            </w:r>
          </w:p>
        </w:tc>
      </w:tr>
      <w:tr>
        <w:tc>
          <w:tcPr/>
          <w:p>
            <w:pPr>
              <w:pStyle w:val="Compact"/>
            </w:pPr>
            <w:r>
              <w:t xml:space="preserve">27 dB</w:t>
            </w:r>
          </w:p>
        </w:tc>
        <w:tc>
          <w:tcPr/>
          <w:p>
            <w:pPr>
              <w:pStyle w:val="Compact"/>
            </w:pPr>
            <w:r>
              <w:t xml:space="preserve">Mild</w:t>
            </w:r>
          </w:p>
        </w:tc>
        <w:tc>
          <w:tcPr/>
          <w:p>
            <w:pPr>
              <w:pStyle w:val="Compact"/>
            </w:pPr>
            <w:r>
              <w:t xml:space="preserve">Normal</w:t>
            </w:r>
          </w:p>
        </w:tc>
        <w:tc>
          <w:tcPr/>
          <w:p>
            <w:pPr>
              <w:pStyle w:val="Compact"/>
            </w:pPr>
            <w:r>
              <w:t xml:space="preserve">14.8</w:t>
            </w:r>
          </w:p>
        </w:tc>
        <w:tc>
          <w:tcPr/>
          <w:p>
            <w:pPr>
              <w:pStyle w:val="Compact"/>
            </w:pPr>
            <w:r>
              <w:t xml:space="preserve">0.07</w:t>
            </w:r>
          </w:p>
        </w:tc>
        <w:tc>
          <w:tcPr/>
          <w:p>
            <w:pPr>
              <w:pStyle w:val="Compact"/>
            </w:pPr>
            <w:r>
              <w:t xml:space="preserve">0.25</w:t>
            </w:r>
          </w:p>
        </w:tc>
      </w:tr>
      <w:tr>
        <w:tc>
          <w:tcPr/>
          <w:p>
            <w:pPr>
              <w:pStyle w:val="Compact"/>
            </w:pPr>
            <w:r>
              <w:t xml:space="preserve">28 dB</w:t>
            </w:r>
          </w:p>
        </w:tc>
        <w:tc>
          <w:tcPr/>
          <w:p>
            <w:pPr>
              <w:pStyle w:val="Compact"/>
            </w:pPr>
            <w:r>
              <w:t xml:space="preserve">Mild</w:t>
            </w:r>
          </w:p>
        </w:tc>
        <w:tc>
          <w:tcPr/>
          <w:p>
            <w:pPr>
              <w:pStyle w:val="Compact"/>
            </w:pPr>
            <w:r>
              <w:t xml:space="preserve">Normal</w:t>
            </w:r>
          </w:p>
        </w:tc>
        <w:tc>
          <w:tcPr/>
          <w:p>
            <w:pPr>
              <w:pStyle w:val="Compact"/>
            </w:pPr>
            <w:r>
              <w:t xml:space="preserve">17.8</w:t>
            </w:r>
          </w:p>
        </w:tc>
        <w:tc>
          <w:tcPr/>
          <w:p>
            <w:pPr>
              <w:pStyle w:val="Compact"/>
            </w:pPr>
            <w:r>
              <w:t xml:space="preserve">0.00</w:t>
            </w:r>
          </w:p>
        </w:tc>
        <w:tc>
          <w:tcPr/>
          <w:p>
            <w:pPr>
              <w:pStyle w:val="Compact"/>
            </w:pPr>
            <w:r>
              <w:t xml:space="preserve">0.50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0.00</w:t>
            </w:r>
          </w:p>
        </w:tc>
        <w:tc>
          <w:tcPr/>
          <w:p>
            <w:pPr>
              <w:pStyle w:val="Compact"/>
            </w:pPr>
            <w:r>
              <w:t xml:space="preserve">1.00</w:t>
            </w:r>
          </w:p>
        </w:tc>
      </w:tr>
    </w:tbl>
    <w:p>
      <w:pPr>
        <w:pStyle w:val="BodyText"/>
      </w:pPr>
      <w:r>
        <w:t xml:space="preserve">A patient with a PTA of 27 dB is simultaneously 7% normal and 25% mild; at 28 dB the split is 0% normal and 50% mild. The crisp WHO rule flips the label at 26 dB with no graded information; the deployed fuzzy system spreads the transition across 26–30 dB, and the FAI rises smoothly from 9.3 at 24 dB to 20.4 at 30 dB instead of stepping. (Values in an earlier draft — Normal μ = 0.60/0.50/0.40, Mild μ = 0.67/0.83/1.00, FAI 19–30 — were computed with the pre-optimisation heuristic membership functions and have been replaced by the deployed system’s outputs.)</w:t>
      </w:r>
    </w:p>
    <w:bookmarkEnd w:id="32"/>
    <w:bookmarkStart w:id="37" w:name="clinical-case-studies"/>
    <w:p>
      <w:pPr>
        <w:pStyle w:val="Heading2"/>
      </w:pPr>
      <w:r>
        <w:t xml:space="preserve">3.4 Clinical Case Studies</w:t>
      </w:r>
    </w:p>
    <w:p>
      <w:pPr>
        <w:pStyle w:val="FirstParagraph"/>
      </w:pPr>
      <w:r>
        <w:t xml:space="preserve">Four archetypal audiograms illustrate how the deployed fuzzy framework behaves in practice (Figure 4); they are clinical archetypes rather than individual records from the analysis cohort.</w:t>
      </w:r>
    </w:p>
    <w:p>
      <w:pPr>
        <w:pStyle w:val="BodyText"/>
      </w:pPr>
      <w:r>
        <w:rPr>
          <w:b/>
          <w:bCs/>
        </w:rPr>
        <w:t xml:space="preserve">Case A (textile mill worker, 58 years).</w:t>
      </w:r>
      <w:r>
        <w:t xml:space="preserve"> </w:t>
      </w:r>
      <w:r>
        <w:t xml:space="preserve">Borderline mild hearing loss with 25 years of occupational noise exposure. PTA-4 was 27.5 dB (WHO:</w:t>
      </w:r>
      <w:r>
        <w:t xml:space="preserve"> </w:t>
      </w:r>
      <w:r>
        <w:t xml:space="preserve">“Mild”</w:t>
      </w:r>
      <w:r>
        <w:t xml:space="preserve"> </w:t>
      </w:r>
      <w:r>
        <w:t xml:space="preserve">but borderline). The FIS gave FAI = 16.5, with membership Normal μ = 0.04 and Mild μ = 0.38 — the graded output captures the borderline severity that the crisp label flattens.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16.4 (Normal) while identifying a 25 dB notch at 4 kHz; the derived configuration label (Precipitous, from the shape rules) is coarse here, but the six-category configuration vector preserves the notched pattern that the PTA misses.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20.4 (Mild), configuration = Sloping,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input upgraded the composite severity estimate to FAI = 56.5,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16.5</w:t>
            </w:r>
          </w:p>
        </w:tc>
        <w:tc>
          <w:tcPr/>
          <w:p>
            <w:pPr>
              <w:pStyle w:val="Compact"/>
            </w:pPr>
            <w:r>
              <w:t xml:space="preserve">Precipitous (shape rules)</w:t>
            </w:r>
          </w:p>
        </w:tc>
        <w:tc>
          <w:tcPr/>
          <w:p>
            <w:pPr>
              <w:pStyle w:val="Compact"/>
            </w:pPr>
            <w:r>
              <w:t xml:space="preserve">Borderline membership (Normal 0.04, Mild 0.38)</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16.4</w:t>
            </w:r>
          </w:p>
        </w:tc>
        <w:tc>
          <w:tcPr/>
          <w:p>
            <w:pPr>
              <w:pStyle w:val="Compact"/>
            </w:pPr>
            <w:r>
              <w:t xml:space="preserve">Precipitous (shape rules)</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20.4</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56.5 composite</w:t>
            </w:r>
          </w:p>
        </w:tc>
        <w:tc>
          <w:tcPr/>
          <w:p>
            <w:pPr>
              <w:pStyle w:val="Compact"/>
            </w:pPr>
            <w:r>
              <w:t xml:space="preserve">Precipitous</w:t>
            </w:r>
          </w:p>
        </w:tc>
        <w:tc>
          <w:tcPr/>
          <w:p>
            <w:pPr>
              <w:pStyle w:val="Compact"/>
            </w:pPr>
            <w:r>
              <w:t xml:space="preserve">Asymmetry upgrade; inter-aural modulation</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5334000" cy="4686208"/>
                  <wp:effectExtent b="0" l="0" r="0" t="0"/>
                  <wp:docPr descr="" title="" id="34" name="Picture"/>
                  <a:graphic>
                    <a:graphicData uri="http://schemas.openxmlformats.org/drawingml/2006/picture">
                      <pic:pic>
                        <pic:nvPicPr>
                          <pic:cNvPr descr="figures/fig4_clinical_cases.png" id="35" name="Picture"/>
                          <pic:cNvPicPr>
                            <a:picLocks noChangeArrowheads="1" noChangeAspect="1"/>
                          </pic:cNvPicPr>
                        </pic:nvPicPr>
                        <pic:blipFill>
                          <a:blip r:embed="rId33"/>
                          <a:stretch>
                            <a:fillRect/>
                          </a:stretch>
                        </pic:blipFill>
                        <pic:spPr bwMode="auto">
                          <a:xfrm>
                            <a:off x="0" y="0"/>
                            <a:ext cx="5334000" cy="4686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w:t>
            </w:r>
          </w:p>
          <w:bookmarkEnd w:id="36"/>
        </w:tc>
      </w:tr>
    </w:tbl>
    <w:bookmarkEnd w:id="37"/>
    <w:bookmarkStart w:id="42" w:name="configuration-classification"/>
    <w:p>
      <w:pPr>
        <w:pStyle w:val="Heading2"/>
      </w:pPr>
      <w:r>
        <w:t xml:space="preserve">3.5 Configuration Classification</w:t>
      </w:r>
    </w:p>
    <w:p>
      <w:pPr>
        <w:pStyle w:val="FirstParagraph"/>
      </w:pPr>
      <w:r>
        <w:t xml:space="preserve">Configuration typing is a secondary, exploratory output. Slope-based classification (4 kHz − 500 Hz) in the adult cohort found predominantly steeply sloping (31.8%) and gently sloping (29.7%) configurations, with 22.0% flat, 13.4% precipitous, and 3.1%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4533900" cy="2744875"/>
                  <wp:effectExtent b="0" l="0" r="0" t="0"/>
                  <wp:docPr descr="" title="" id="39" name="Picture"/>
                  <a:graphic>
                    <a:graphicData uri="http://schemas.openxmlformats.org/drawingml/2006/picture">
                      <pic:pic>
                        <pic:nvPicPr>
                          <pic:cNvPr descr="figures/fig_eda_config_dist.png" id="40" name="Picture"/>
                          <pic:cNvPicPr>
                            <a:picLocks noChangeArrowheads="1" noChangeAspect="1"/>
                          </pic:cNvPicPr>
                        </pic:nvPicPr>
                        <pic:blipFill>
                          <a:blip r:embed="rId38"/>
                          <a:stretch>
                            <a:fillRect/>
                          </a:stretch>
                        </pic:blipFill>
                        <pic:spPr bwMode="auto">
                          <a:xfrm>
                            <a:off x="0" y="0"/>
                            <a:ext cx="4533900" cy="2744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Configuration distribution in the NHANES cohort (slope = 4 kHz − 500 Hz).</w:t>
            </w:r>
          </w:p>
          <w:bookmarkEnd w:id="41"/>
        </w:tc>
      </w:tr>
    </w:tbl>
    <w:bookmarkEnd w:id="42"/>
    <w:bookmarkStart w:id="47"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tbl>
      <w:tblPr>
        <w:tblStyle w:val="Table"/>
        <w:tblW w:type="pct" w:w="5000"/>
        <w:tblLayout w:type="fixed"/>
        <w:tblLook w:firstRow="0" w:lastRow="0" w:firstColumn="0" w:lastColumn="0" w:noHBand="0" w:noVBand="0" w:val="0000"/>
      </w:tblPr>
      <w:tblGrid>
        <w:gridCol w:w="7920"/>
      </w:tblGrid>
      <w:tr>
        <w:tc>
          <w:tcPr/>
          <w:bookmarkStart w:id="46" w:name="fig-6"/>
          <w:p>
            <w:pPr>
              <w:pStyle w:val="Compact"/>
              <w:jc w:val="center"/>
            </w:pPr>
            <w:r>
              <w:drawing>
                <wp:inline>
                  <wp:extent cx="5067300" cy="1640687"/>
                  <wp:effectExtent b="0" l="0" r="0" t="0"/>
                  <wp:docPr descr="" title="" id="44" name="Picture"/>
                  <a:graphic>
                    <a:graphicData uri="http://schemas.openxmlformats.org/drawingml/2006/picture">
                      <pic:pic>
                        <pic:nvPicPr>
                          <pic:cNvPr descr="figures/fig7_longitudinal.png" id="45" name="Picture"/>
                          <pic:cNvPicPr>
                            <a:picLocks noChangeArrowheads="1" noChangeAspect="1"/>
                          </pic:cNvPicPr>
                        </pic:nvPicPr>
                        <pic:blipFill>
                          <a:blip r:embed="rId43"/>
                          <a:stretch>
                            <a:fillRect/>
                          </a:stretch>
                        </pic:blipFill>
                        <pic:spPr bwMode="auto">
                          <a:xfrm>
                            <a:off x="0" y="0"/>
                            <a:ext cx="5067300" cy="164068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Longitudinal FAI trajectories for three clinical scenarios. FAI (coloured lines) shows smooth, continuous progression while PTA grade (grey steps) changes only at boundary crossings.</w:t>
            </w:r>
          </w:p>
          <w:bookmarkEnd w:id="46"/>
        </w:tc>
      </w:tr>
    </w:tbl>
    <w:bookmarkEnd w:id="47"/>
    <w:bookmarkEnd w:id="48"/>
    <w:bookmarkStart w:id="54" w:name="discussion"/>
    <w:p>
      <w:pPr>
        <w:pStyle w:val="Heading1"/>
      </w:pPr>
      <w:r>
        <w:t xml:space="preserve">4. Discussion</w:t>
      </w:r>
    </w:p>
    <w:bookmarkStart w:id="49"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reached weighted κ = 0.68 against the WHO PTA-4 reference, matched the crisp grade on 88.2% of clear cases, and — most importantly — returned graded membership where crisp classification forces a binary choice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49"/>
    <w:bookmarkStart w:id="50"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50"/>
    <w:bookmarkStart w:id="51"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The 91% borderline accuracy compares well with the 87% from Miller and Polansky</w:t>
      </w:r>
      <w:r>
        <w:t xml:space="preserve"> </w:t>
      </w:r>
      <w:r>
        <w:t xml:space="preserve">(Miller and Polansky 2004)</w:t>
      </w:r>
      <w:r>
        <w:t xml:space="preserve"> </w:t>
      </w:r>
      <w:r>
        <w:t xml:space="preserve">and the 91% from Chen et al.</w:t>
      </w:r>
      <w:r>
        <w:t xml:space="preserve"> </w:t>
      </w:r>
      <w:r>
        <w:t xml:space="preserve">(</w:t>
      </w:r>
      <w:r>
        <w:t xml:space="preserve">Chen et al.</w:t>
      </w:r>
      <w:r>
        <w:t xml:space="preserve"> </w:t>
      </w:r>
      <w:r>
        <w:t xml:space="preserve">2017)</w:t>
      </w:r>
      <w:r>
        <w:t xml:space="preserve">, though direct comparison is limited by different datasets and outcome definitions. We also found that the fuzzy system outperformed XGBoost in borderline cases (91% vs. 79%, p &lt; 0.05).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51"/>
    <w:bookmarkStart w:id="52"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because the NHANES audiometry protocol targeted children and adolescents (6–19 years) and adults aged 70 years and over, our adult sample is restricted to ages 70–80; results therefore do not cover working-age adults (20–69) or those over 80 (the file’s age ceiling), and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52"/>
    <w:bookmarkStart w:id="53"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53"/>
    <w:bookmarkEnd w:id="54"/>
    <w:bookmarkStart w:id="55"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adult NHANES test set (n = 396 ears), it shows substantial agreement with WHO PTA-4 classification (weighted κ = 0.68) while providing richer information on borderline cases, configuration typing, and longitudinal monitoring. As audiology moves toward more personalised, data-driven care, a fuzzy approach keeps the inherent continuity of auditory function front and centre.</w:t>
      </w:r>
    </w:p>
    <w:bookmarkEnd w:id="55"/>
    <w:bookmarkStart w:id="56"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bookmarkEnd w:id="56"/>
    <w:bookmarkStart w:id="57" w:name="conflict-of-interest-statement"/>
    <w:p>
      <w:pPr>
        <w:pStyle w:val="Heading1"/>
      </w:pPr>
      <w:r>
        <w:t xml:space="preserve">7. Conflict of Interest Statement</w:t>
      </w:r>
    </w:p>
    <w:p>
      <w:pPr>
        <w:pStyle w:val="FirstParagraph"/>
      </w:pPr>
      <w:r>
        <w:t xml:space="preserve">The author declares no conflicts of interest.</w:t>
      </w:r>
    </w:p>
    <w:bookmarkEnd w:id="57"/>
    <w:bookmarkStart w:id="58" w:name="data-availability"/>
    <w:p>
      <w:pPr>
        <w:pStyle w:val="Heading1"/>
      </w:pPr>
      <w:r>
        <w:t xml:space="preserve">8. Data Availability</w:t>
      </w:r>
    </w:p>
    <w:p>
      <w:pPr>
        <w:pStyle w:val="FirstParagraph"/>
      </w:pPr>
      <w:r>
        <w:t xml:space="preserve">NHANES data are publicly available at https://www.cdc.gov/nchs/nhanes/. Analysis source code is at https://github.com/ameye/fuzzy-audiogram.</w:t>
      </w:r>
    </w:p>
    <w:bookmarkEnd w:id="58"/>
    <w:bookmarkStart w:id="64" w:name="sec-app-math"/>
    <w:p>
      <w:pPr>
        <w:pStyle w:val="Heading1"/>
      </w:pPr>
      <w:r>
        <w:t xml:space="preserve">9. Appendix: Mathematical Foundations of Fuzzy Logic</w:t>
      </w:r>
    </w:p>
    <w:bookmarkStart w:id="59"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r>
          <m:rPr>
            <m:sty m:val="p"/>
          </m:rPr>
          <m:t>[</m:t>
        </m:r>
        <m:r>
          <m:t>0</m:t>
        </m:r>
        <m:r>
          <m:rPr>
            <m:sty m:val="p"/>
          </m:rPr>
          <m:t>,</m:t>
        </m:r>
        <m:r>
          <m:t>1</m:t>
        </m:r>
        <m:r>
          <m:rPr>
            <m:sty m:val="p"/>
          </m:rPr>
          <m:t>]</m:t>
        </m:r>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r>
          <m:rPr>
            <m:sty m:val="p"/>
          </m:rPr>
          <m:t>[</m:t>
        </m:r>
        <m:r>
          <m:t>0</m:t>
        </m:r>
        <m:r>
          <m:rPr>
            <m:sty m:val="p"/>
          </m:rPr>
          <m:t>,</m:t>
        </m:r>
        <m:r>
          <m:t>1</m:t>
        </m:r>
        <m:r>
          <m:rPr>
            <m:sty m:val="p"/>
          </m:rPr>
          <m:t>]</m:t>
        </m:r>
      </m:oMath>
      <w:r>
        <w:t xml:space="preserve"> </w:t>
      </w:r>
      <w:r>
        <w:t xml:space="preserve">(Zadeh 1965)</w:t>
      </w:r>
      <w:r>
        <w:t xml:space="preserve">:</w:t>
      </w:r>
    </w:p>
    <w:p>
      <w:pPr>
        <w:pStyle w:val="BodyText"/>
      </w:pPr>
      <m:oMathPara>
        <m:oMathParaPr>
          <m:jc m:val="center"/>
        </m:oMathParaPr>
        <m:oMath>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r>
          <m:rPr>
            <m:sty m:val="p"/>
          </m:rPr>
          <m:t>(</m:t>
        </m:r>
        <m:r>
          <m:t>x</m:t>
        </m:r>
        <m:r>
          <m:rPr>
            <m:sty m:val="p"/>
          </m:rPr>
          <m:t>)</m:t>
        </m:r>
        <m:r>
          <m:rPr>
            <m:sty m:val="p"/>
          </m:rPr>
          <m:t>=</m:t>
        </m:r>
        <m:r>
          <m:t>0</m:t>
        </m:r>
      </m:oMath>
      <w:r>
        <w:t xml:space="preserve"> </w:t>
      </w:r>
      <w:r>
        <w:t xml:space="preserve">indicates complete non-membership,</w:t>
      </w:r>
      <w:r>
        <w:t xml:space="preserve"> </w:t>
      </w:r>
      <m:oMath>
        <m:sSub>
          <m:e>
            <m:r>
              <m:t>μ</m:t>
            </m:r>
          </m:e>
          <m:sub>
            <m:r>
              <m:t>A</m:t>
            </m:r>
          </m:sub>
        </m:sSub>
        <m:r>
          <m:rPr>
            <m:sty m:val="p"/>
          </m:rPr>
          <m:t>(</m:t>
        </m:r>
        <m:r>
          <m:t>x</m:t>
        </m:r>
        <m:r>
          <m:rPr>
            <m:sty m:val="p"/>
          </m:rPr>
          <m:t>)</m:t>
        </m:r>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where</w:t>
      </w:r>
      <w:r>
        <w:t xml:space="preserve"> </w:t>
      </w:r>
      <m:oMath>
        <m:r>
          <m:rPr>
            <m:sty m:val="p"/>
          </m:rPr>
          <m:t>[</m:t>
        </m:r>
        <m:r>
          <m:t>b</m:t>
        </m:r>
        <m:r>
          <m:rPr>
            <m:sty m:val="p"/>
          </m:rPr>
          <m:t>,</m:t>
        </m:r>
        <m:r>
          <m:t>c</m:t>
        </m:r>
        <m:r>
          <m:rPr>
            <m:sty m:val="p"/>
          </m:rPr>
          <m:t>]</m:t>
        </m:r>
      </m:oMath>
      <w:r>
        <w:t xml:space="preserve"> </w:t>
      </w:r>
      <w:r>
        <w:t xml:space="preserve">is the core (complete membership,</w:t>
      </w:r>
      <w:r>
        <w:t xml:space="preserve"> </w:t>
      </w:r>
      <m:oMath>
        <m:r>
          <m:t>μ</m:t>
        </m:r>
        <m:r>
          <m:rPr>
            <m:sty m:val="p"/>
          </m:rPr>
          <m:t>=</m:t>
        </m:r>
        <m:r>
          <m:t>1</m:t>
        </m:r>
      </m:oMath>
      <w:r>
        <w:t xml:space="preserve">) and</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the left and right shoulders:</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t>1</m:t>
        </m:r>
        <m:r>
          <m:rPr>
            <m:sty m:val="p"/>
          </m:rPr>
          <m:t>}</m:t>
        </m:r>
      </m:oMath>
      <w:r>
        <w:t xml:space="preserve">, are directly interpretable from the trapezoidal parameters.</w:t>
      </w:r>
    </w:p>
    <w:bookmarkEnd w:id="59"/>
    <w:bookmarkStart w:id="60"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max</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min</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r>
            <m:rPr>
              <m:sty m:val="p"/>
            </m:rPr>
            <m:t>(</m:t>
          </m:r>
          <m:r>
            <m:t>x</m:t>
          </m:r>
          <m:r>
            <m:rPr>
              <m:sty m:val="p"/>
            </m:rPr>
            <m:t>)</m:t>
          </m:r>
          <m:r>
            <m:rPr>
              <m:sty m:val="p"/>
            </m:rPr>
            <m:t>=</m:t>
          </m:r>
          <m:r>
            <m:t>1</m:t>
          </m:r>
          <m:r>
            <m:rPr>
              <m:sty m:val="p"/>
            </m:rPr>
            <m:t>−</m:t>
          </m:r>
          <m:sSub>
            <m:e>
              <m:r>
                <m:t>μ</m:t>
              </m:r>
            </m:e>
            <m:sub>
              <m:r>
                <m:t>A</m:t>
              </m:r>
            </m:sub>
          </m:sSub>
          <m:r>
            <m:rPr>
              <m:sty m:val="p"/>
            </m:rPr>
            <m:t>(</m:t>
          </m:r>
          <m:r>
            <m:t>x</m:t>
          </m:r>
          <m:r>
            <m:rPr>
              <m:sty m:val="p"/>
            </m:rPr>
            <m:t>)</m:t>
          </m:r>
        </m:oMath>
      </m:oMathPara>
    </w:p>
    <w:p>
      <w:pPr>
        <w:pStyle w:val="FirstParagraph"/>
      </w:pPr>
      <w:r>
        <w:t xml:space="preserve">These operations implement fuzzy conjunction and disjunction in the rule base.</w:t>
      </w:r>
    </w:p>
    <w:bookmarkEnd w:id="60"/>
    <w:bookmarkStart w:id="61"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Implication (clipping):</w:t>
      </w:r>
      <w:r>
        <w:t xml:space="preserve"> </w:t>
      </w:r>
      <m:oMath>
        <m:sSub>
          <m:e>
            <m:r>
              <m:t>μ</m:t>
            </m:r>
          </m:e>
          <m:sub>
            <m:sSub>
              <m:e>
                <m:r>
                  <m:t>R</m:t>
                </m:r>
              </m:e>
              <m:sub>
                <m:r>
                  <m:t>k</m:t>
                </m:r>
              </m:sub>
            </m:sSub>
          </m:sub>
        </m:sSub>
        <m:r>
          <m:rPr>
            <m:sty m:val="p"/>
          </m:rPr>
          <m:t>(</m:t>
        </m:r>
        <m:r>
          <m:t>y</m:t>
        </m:r>
        <m:r>
          <m:rPr>
            <m:sty m:val="p"/>
          </m:rPr>
          <m:t>)</m:t>
        </m:r>
        <m:r>
          <m:rPr>
            <m:sty m:val="p"/>
          </m:rPr>
          <m:t>=</m:t>
        </m:r>
        <m:r>
          <m:rPr>
            <m:sty m:val="p"/>
          </m:rPr>
          <m:t>min</m:t>
        </m:r>
        <m:r>
          <m:rPr>
            <m:sty m:val="p"/>
          </m:rPr>
          <m:t>(</m:t>
        </m:r>
        <m:sSub>
          <m:e>
            <m:r>
              <m:t>α</m:t>
            </m:r>
          </m:e>
          <m:sub>
            <m:r>
              <m:t>k</m:t>
            </m:r>
          </m:sub>
        </m:sSub>
        <m:r>
          <m:rPr>
            <m:sty m:val="p"/>
          </m:rPr>
          <m:t>,</m:t>
        </m:r>
        <m:sSub>
          <m:e>
            <m:r>
              <m:t>μ</m:t>
            </m:r>
          </m:e>
          <m:sub>
            <m:sSub>
              <m:e>
                <m:r>
                  <m:t>B</m:t>
                </m:r>
              </m:e>
              <m:sub>
                <m:r>
                  <m:t>k</m:t>
                </m:r>
              </m:sub>
            </m:sSub>
          </m:sub>
        </m:sSub>
        <m:r>
          <m:rPr>
            <m:sty m:val="p"/>
          </m:rPr>
          <m:t>(</m:t>
        </m:r>
        <m:r>
          <m:t>y</m:t>
        </m:r>
        <m:r>
          <m:rPr>
            <m:sty m:val="p"/>
          </m:rPr>
          <m:t>)</m:t>
        </m:r>
        <m:r>
          <m:rPr>
            <m:sty m:val="p"/>
          </m:rPr>
          <m:t>)</m:t>
        </m:r>
      </m:oMath>
    </w:p>
    <w:p>
      <w:pPr>
        <w:pStyle w:val="BodyText"/>
      </w:pPr>
      <w:r>
        <w:rPr>
          <w:b/>
          <w:bCs/>
        </w:rPr>
        <w:t xml:space="preserve">Aggregation:</w:t>
      </w:r>
      <w:r>
        <w:t xml:space="preserve"> </w:t>
      </w:r>
      <m:oMath>
        <m:sSub>
          <m:e>
            <m:r>
              <m:t>μ</m:t>
            </m:r>
          </m:e>
          <m:sub>
            <m:r>
              <m:rPr>
                <m:nor/>
                <m:sty m:val="p"/>
              </m:rPr>
              <m:t>agg</m:t>
            </m:r>
          </m:sub>
        </m:sSub>
        <m:r>
          <m:rPr>
            <m:sty m:val="p"/>
          </m:rPr>
          <m:t>(</m:t>
        </m:r>
        <m:r>
          <m:t>y</m:t>
        </m:r>
        <m:r>
          <m:rPr>
            <m:sty m:val="p"/>
          </m:rPr>
          <m:t>)</m:t>
        </m:r>
        <m:r>
          <m:rPr>
            <m:sty m:val="p"/>
          </m:rPr>
          <m:t>=</m:t>
        </m:r>
        <m:sSubSup>
          <m:e>
            <m:r>
              <m:rPr>
                <m:sty m:val="p"/>
              </m:rPr>
              <m:t>max</m:t>
            </m:r>
          </m:e>
          <m:sub>
            <m:r>
              <m:t>k</m:t>
            </m:r>
            <m:r>
              <m:rPr>
                <m:sty m:val="p"/>
              </m:rPr>
              <m:t>=</m:t>
            </m:r>
            <m:r>
              <m:t>1</m:t>
            </m:r>
          </m:sub>
          <m:sup>
            <m:r>
              <m:t>N</m:t>
            </m:r>
          </m:sup>
        </m:sSubSup>
        <m:sSub>
          <m:e>
            <m:r>
              <m:t>μ</m:t>
            </m:r>
          </m:e>
          <m:sub>
            <m:sSub>
              <m:e>
                <m:r>
                  <m:t>R</m:t>
                </m:r>
              </m:e>
              <m:sub>
                <m:r>
                  <m:t>k</m:t>
                </m:r>
              </m:sub>
            </m:sSub>
          </m:sub>
        </m:sSub>
        <m:r>
          <m:rPr>
            <m:sty m:val="p"/>
          </m:rPr>
          <m:t>(</m:t>
        </m:r>
        <m:r>
          <m:t>y</m:t>
        </m:r>
        <m:r>
          <m:rPr>
            <m:sty m:val="p"/>
          </m:rPr>
          <m:t>)</m:t>
        </m:r>
      </m:oMath>
    </w:p>
    <w:bookmarkEnd w:id="61"/>
    <w:bookmarkStart w:id="62"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r>
                <m:rPr>
                  <m:sty m:val="p"/>
                </m:rPr>
                <m:t>(</m:t>
              </m:r>
              <m:r>
                <m:t>y</m:t>
              </m:r>
              <m:r>
                <m:rPr>
                  <m:sty m:val="p"/>
                </m:rPr>
                <m:t>)</m:t>
              </m:r>
              <m:r>
                <m:t> </m:t>
              </m:r>
              <m:r>
                <m:t>d</m:t>
              </m:r>
              <m:r>
                <m:t>y</m:t>
              </m:r>
            </m:num>
            <m:den>
              <m:r>
                <m:rPr>
                  <m:sty m:val="p"/>
                </m:rPr>
                <m:t>∫</m:t>
              </m:r>
              <m:sSub>
                <m:e>
                  <m:r>
                    <m:t>μ</m:t>
                  </m:r>
                </m:e>
                <m:sub>
                  <m:r>
                    <m:rPr>
                      <m:nor/>
                      <m:sty m:val="p"/>
                    </m:rPr>
                    <m:t>agg</m:t>
                  </m:r>
                </m:sub>
              </m:sSub>
              <m:r>
                <m:rPr>
                  <m:sty m:val="p"/>
                </m:rPr>
                <m:t>(</m:t>
              </m:r>
              <m:r>
                <m:t>y</m:t>
              </m:r>
              <m:r>
                <m:rPr>
                  <m:sty m:val="p"/>
                </m:rPr>
                <m:t>)</m:t>
              </m:r>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r>
                <m:rPr>
                  <m:sty m:val="p"/>
                </m:rPr>
                <m:t>(</m:t>
              </m:r>
              <m:sSub>
                <m:e>
                  <m:r>
                    <m:t>y</m:t>
                  </m:r>
                </m:e>
                <m:sub>
                  <m:r>
                    <m:t>i</m:t>
                  </m:r>
                </m:sub>
              </m:sSub>
              <m:r>
                <m:rPr>
                  <m:sty m:val="p"/>
                </m:rPr>
                <m:t>)</m:t>
              </m:r>
            </m:num>
            <m:den>
              <m:nary>
                <m:naryPr>
                  <m:chr m:val="∑"/>
                  <m:limLoc m:val="undOvr"/>
                  <m:subHide m:val="off"/>
                  <m:supHide m:val="off"/>
                </m:naryPr>
                <m:sub>
                  <m:r>
                    <m:t>i</m:t>
                  </m:r>
                  <m:r>
                    <m:rPr>
                      <m:sty m:val="p"/>
                    </m:rPr>
                    <m:t>=</m:t>
                  </m:r>
                  <m:r>
                    <m:t>1</m:t>
                  </m:r>
                </m:sub>
                <m:sup>
                  <m:r>
                    <m:t>n</m:t>
                  </m:r>
                </m:sup>
                <m:e>
                  <m:sSub>
                    <m:e>
                      <m:r>
                        <m:t>μ</m:t>
                      </m:r>
                    </m:e>
                    <m:sub>
                      <m:r>
                        <m:rPr>
                          <m:nor/>
                          <m:sty m:val="p"/>
                        </m:rPr>
                        <m:t>agg</m:t>
                      </m:r>
                    </m:sub>
                  </m:sSub>
                </m:e>
              </m:nary>
              <m:r>
                <m:rPr>
                  <m:sty m:val="p"/>
                </m:rPr>
                <m:t>(</m:t>
              </m:r>
              <m:sSub>
                <m:e>
                  <m:r>
                    <m:t>y</m:t>
                  </m:r>
                </m:e>
                <m:sub>
                  <m:r>
                    <m:t>i</m:t>
                  </m:r>
                </m:sub>
              </m:sSub>
              <m:r>
                <m:rPr>
                  <m:sty m:val="p"/>
                </m:rPr>
                <m:t>)</m:t>
              </m:r>
            </m:den>
          </m:f>
        </m:oMath>
      </m:oMathPara>
    </w:p>
    <w:p>
      <w:pPr>
        <w:pStyle w:val="FirstParagraph"/>
      </w:pPr>
      <w:r>
        <w:rPr>
          <w:b/>
          <w:bCs/>
        </w:rPr>
        <w:t xml:space="preserve">Composite FAI (design option, not deployed):</w:t>
      </w:r>
      <w:r>
        <w:t xml:space="preserve"> </w:t>
      </w:r>
      <w:r>
        <w:t xml:space="preserve">a frequency-weighted composite</w:t>
      </w:r>
      <w:r>
        <w:t xml:space="preserve"> </w:t>
      </w: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w:r>
        <w:t xml:space="preserve"> </w:t>
      </w:r>
      <w:r>
        <w:t xml:space="preserve">with</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 was explored as a design option but is not implemented in the deployed pipeline; no metric reported here depends on it. The deployed FAI is the single Mamdani FIS output described above.</w:t>
      </w:r>
    </w:p>
    <w:bookmarkEnd w:id="62"/>
    <w:bookmarkStart w:id="63"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2</m:t>
            </m:r>
          </m:sup>
        </m:sSup>
      </m:oMath>
    </w:p>
    <w:p>
      <w:pPr>
        <w:pStyle w:val="BodyText"/>
      </w:pPr>
      <w:r>
        <w:rPr>
          <w:b/>
          <w:bCs/>
        </w:rPr>
        <w:t xml:space="preserve">Dilation (somewhat):</w:t>
      </w:r>
      <w:r>
        <w:t xml:space="preserve"> </w:t>
      </w:r>
      <m:oMath>
        <m:sSub>
          <m:e>
            <m:r>
              <m:t>μ</m:t>
            </m:r>
          </m:e>
          <m:sub>
            <m:r>
              <m:rPr>
                <m:nor/>
                <m:sty m:val="p"/>
              </m:rPr>
              <m:t>somewhat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0.5</m:t>
            </m:r>
          </m:sup>
        </m:sSup>
      </m:oMath>
    </w:p>
    <w:p>
      <w:pPr>
        <w:pStyle w:val="BodyText"/>
      </w:pPr>
      <w:r>
        <w:t xml:space="preserve">These hedges are available for future refinements but were not needed in the current rule base.</w:t>
      </w:r>
    </w:p>
    <w:bookmarkEnd w:id="63"/>
    <w:bookmarkEnd w:id="64"/>
    <w:bookmarkStart w:id="84" w:name="references"/>
    <w:p>
      <w:pPr>
        <w:pStyle w:val="Heading1"/>
      </w:pPr>
      <w:r>
        <w:t xml:space="preserve">10. References</w:t>
      </w:r>
    </w:p>
    <w:bookmarkStart w:id="83" w:name="refs"/>
    <w:bookmarkStart w:id="66" w:name="ref-amezquita2021"/>
    <w:p>
      <w:pPr>
        <w:pStyle w:val="Bibliography"/>
      </w:pPr>
      <w:r>
        <w:t xml:space="preserve">Amezquita-Sanchez, Juan P, Nadia Mammone, Francesco C Morabito, and Hojjat Adeli. 2021.</w:t>
      </w:r>
      <w:r>
        <w:t xml:space="preserve"> </w:t>
      </w:r>
      <w:r>
        <w:t xml:space="preserve">“A New Dispersion Entropy and Fuzzy Logic System Methodology for Automated Classification of Dementia Stages Using Electroencephalograms.”</w:t>
      </w:r>
      <w:r>
        <w:t xml:space="preserve"> </w:t>
      </w:r>
      <w:r>
        <w:rPr>
          <w:i/>
          <w:iCs/>
        </w:rPr>
        <w:t xml:space="preserve">Clinical Neurology and Neurosurgery</w:t>
      </w:r>
      <w:r>
        <w:t xml:space="preserve"> </w:t>
      </w:r>
      <w:r>
        <w:t xml:space="preserve">201: 106446.</w:t>
      </w:r>
      <w:r>
        <w:t xml:space="preserve"> </w:t>
      </w:r>
      <w:hyperlink r:id="rId65">
        <w:r>
          <w:rPr>
            <w:rStyle w:val="Hyperlink"/>
          </w:rPr>
          <w:t xml:space="preserve">https://doi.org/10.1016/j.clineuro.2020.106446</w:t>
        </w:r>
      </w:hyperlink>
      <w:r>
        <w:t xml:space="preserve">.</w:t>
      </w:r>
    </w:p>
    <w:bookmarkEnd w:id="66"/>
    <w:bookmarkStart w:id="68" w:name="ref-ceriani2025"/>
    <w:p>
      <w:pPr>
        <w:pStyle w:val="Bibliography"/>
      </w:pPr>
      <w:r>
        <w:t xml:space="preserve">Ceriani, F, J Giles, NJ Ingham, et al. 2025.</w:t>
      </w:r>
      <w:r>
        <w:t xml:space="preserve"> </w:t>
      </w:r>
      <w:r>
        <w:t xml:space="preserve">“</w:t>
      </w:r>
      <w:hyperlink r:id="rId67">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68"/>
    <w:bookmarkStart w:id="69" w:name="ref-chen2017"/>
    <w:p>
      <w:pPr>
        <w:pStyle w:val="Bibliography"/>
      </w:pPr>
      <w:r>
        <w:t xml:space="preserve">Chen, H et al.</w:t>
      </w:r>
      <w:r>
        <w:t xml:space="preserve">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69"/>
    <w:bookmarkStart w:id="70"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70"/>
    <w:bookmarkStart w:id="71"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71"/>
    <w:bookmarkStart w:id="72"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72"/>
    <w:bookmarkStart w:id="73"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73"/>
    <w:bookmarkStart w:id="74" w:name="ref-sanchez2021"/>
    <w:p>
      <w:pPr>
        <w:pStyle w:val="Bibliography"/>
      </w:pPr>
      <w:r>
        <w:t xml:space="preserve">Sanchez-Lopez, R, J Perea Perez, J Christensen-Dalsgaard, et al.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74"/>
    <w:bookmarkStart w:id="76" w:name="ref-suen2021"/>
    <w:p>
      <w:pPr>
        <w:pStyle w:val="Bibliography"/>
      </w:pPr>
      <w:r>
        <w:t xml:space="preserve">Suen, JJ, J Betz, NS Reed, JA Deal, FR Lin, and AM Goman. 2021.</w:t>
      </w:r>
      <w:r>
        <w:t xml:space="preserve"> </w:t>
      </w:r>
      <w:r>
        <w:t xml:space="preserve">“</w:t>
      </w:r>
      <w:hyperlink r:id="rId75">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76"/>
    <w:bookmarkStart w:id="77"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77"/>
    <w:bookmarkStart w:id="78"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78"/>
    <w:bookmarkStart w:id="79"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79"/>
    <w:bookmarkStart w:id="80" w:name="ref-who2021"/>
    <w:p>
      <w:pPr>
        <w:pStyle w:val="Bibliography"/>
      </w:pPr>
      <w:r>
        <w:t xml:space="preserve">World Health Organization. 2021.</w:t>
      </w:r>
      <w:r>
        <w:t xml:space="preserve"> </w:t>
      </w:r>
      <w:r>
        <w:rPr>
          <w:i/>
          <w:iCs/>
        </w:rPr>
        <w:t xml:space="preserve">World Report on Hearing</w:t>
      </w:r>
      <w:r>
        <w:t xml:space="preserve">. WHO.</w:t>
      </w:r>
    </w:p>
    <w:bookmarkEnd w:id="80"/>
    <w:bookmarkStart w:id="81"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81"/>
    <w:bookmarkStart w:id="82" w:name="ref-zadoush2020"/>
    <w:p>
      <w:pPr>
        <w:pStyle w:val="Bibliography"/>
      </w:pPr>
      <w:r>
        <w:t xml:space="preserve">Zadoush, MR et al.</w:t>
      </w:r>
      <w:r>
        <w:t xml:space="preserve">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82"/>
    <w:bookmarkEnd w:id="83"/>
    <w:p>
      <w:r>
        <w:pict>
          <v:rect style="width:0;height:1.5pt" o:hralign="center" o:hrstd="t" o:hr="t"/>
        </w:pict>
      </w:r>
    </w:p>
    <w:bookmarkEnd w:id="84"/>
    <w:bookmarkStart w:id="89" w:name="tables"/>
    <w:p>
      <w:pPr>
        <w:pStyle w:val="Heading1"/>
      </w:pPr>
      <w:r>
        <w:t xml:space="preserve">11. Tables</w:t>
      </w:r>
    </w:p>
    <w:bookmarkStart w:id="85" w:name="Xd6a5ecf7ea44a888a535efe5a2ed5f5830f475c"/>
    <w:p>
      <w:pPr>
        <w:pStyle w:val="Heading2"/>
      </w:pPr>
      <w:r>
        <w:t xml:space="preserve">11.1 Table 1. Demographic and Audiometric Characteristics of the NHANES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Characteristic</w:t>
            </w:r>
          </w:p>
        </w:tc>
        <w:tc>
          <w:tcPr/>
          <w:p>
            <w:pPr>
              <w:pStyle w:val="Compact"/>
            </w:pPr>
            <w:r>
              <w:t xml:space="preserve">Training (n=1,584 ears)</w:t>
            </w:r>
          </w:p>
        </w:tc>
        <w:tc>
          <w:tcPr/>
          <w:p>
            <w:pPr>
              <w:pStyle w:val="Compact"/>
            </w:pPr>
            <w:r>
              <w:t xml:space="preserve">Test (n=396 ears)</w:t>
            </w:r>
          </w:p>
        </w:tc>
      </w:tr>
      <w:tr>
        <w:tc>
          <w:tcPr/>
          <w:p>
            <w:pPr>
              <w:pStyle w:val="Compact"/>
            </w:pPr>
            <w:r>
              <w:t xml:space="preserve">Participants (n)</w:t>
            </w:r>
          </w:p>
        </w:tc>
        <w:tc>
          <w:tcPr/>
          <w:p>
            <w:pPr>
              <w:pStyle w:val="Compact"/>
            </w:pPr>
            <w:r>
              <w:t xml:space="preserve">1,044</w:t>
            </w:r>
          </w:p>
        </w:tc>
        <w:tc>
          <w:tcPr/>
          <w:p>
            <w:pPr>
              <w:pStyle w:val="Compact"/>
            </w:pPr>
            <w:r>
              <w:t xml:space="preserve">362</w:t>
            </w:r>
          </w:p>
        </w:tc>
      </w:tr>
      <w:tr>
        <w:tc>
          <w:tcPr/>
          <w:p>
            <w:pPr>
              <w:pStyle w:val="Compact"/>
            </w:pPr>
            <w:r>
              <w:t xml:space="preserve">Age (years), mean (SD)</w:t>
            </w:r>
          </w:p>
        </w:tc>
        <w:tc>
          <w:tcPr/>
          <w:p>
            <w:pPr>
              <w:pStyle w:val="Compact"/>
            </w:pPr>
            <w:r>
              <w:t xml:space="preserve">75.7 (3.7)</w:t>
            </w:r>
          </w:p>
        </w:tc>
        <w:tc>
          <w:tcPr/>
          <w:p>
            <w:pPr>
              <w:pStyle w:val="Compact"/>
            </w:pPr>
            <w:r>
              <w:t xml:space="preserve">75.8 (3.8)</w:t>
            </w:r>
          </w:p>
        </w:tc>
      </w:tr>
      <w:tr>
        <w:tc>
          <w:tcPr/>
          <w:p>
            <w:pPr>
              <w:pStyle w:val="Compact"/>
            </w:pPr>
            <w:r>
              <w:t xml:space="preserve">Age (years), median (IQR)</w:t>
            </w:r>
          </w:p>
        </w:tc>
        <w:tc>
          <w:tcPr/>
          <w:p>
            <w:pPr>
              <w:pStyle w:val="Compact"/>
            </w:pPr>
            <w:r>
              <w:t xml:space="preserve">76 (72–80)</w:t>
            </w:r>
          </w:p>
        </w:tc>
        <w:tc>
          <w:tcPr/>
          <w:p>
            <w:pPr>
              <w:pStyle w:val="Compact"/>
            </w:pPr>
            <w:r>
              <w:t xml:space="preserve">76 (72–80)</w:t>
            </w:r>
          </w:p>
        </w:tc>
      </w:tr>
      <w:tr>
        <w:tc>
          <w:tcPr/>
          <w:p>
            <w:pPr>
              <w:pStyle w:val="Compact"/>
            </w:pPr>
            <w:r>
              <w:t xml:space="preserve">Aged 70–79 years</w:t>
            </w:r>
          </w:p>
        </w:tc>
        <w:tc>
          <w:tcPr/>
          <w:p>
            <w:pPr>
              <w:pStyle w:val="Compact"/>
            </w:pPr>
            <w:r>
              <w:t xml:space="preserve">68.2%</w:t>
            </w:r>
          </w:p>
        </w:tc>
        <w:tc>
          <w:tcPr/>
          <w:p>
            <w:pPr>
              <w:pStyle w:val="Compact"/>
            </w:pPr>
            <w:r>
              <w:t xml:space="preserve">66.7%</w:t>
            </w:r>
          </w:p>
        </w:tc>
      </w:tr>
      <w:tr>
        <w:tc>
          <w:tcPr/>
          <w:p>
            <w:pPr>
              <w:pStyle w:val="Compact"/>
            </w:pPr>
            <w:r>
              <w:t xml:space="preserve">Aged ≥80 years</w:t>
            </w:r>
          </w:p>
        </w:tc>
        <w:tc>
          <w:tcPr/>
          <w:p>
            <w:pPr>
              <w:pStyle w:val="Compact"/>
            </w:pPr>
            <w:r>
              <w:t xml:space="preserve">31.8%</w:t>
            </w:r>
          </w:p>
        </w:tc>
        <w:tc>
          <w:tcPr/>
          <w:p>
            <w:pPr>
              <w:pStyle w:val="Compact"/>
            </w:pPr>
            <w:r>
              <w:t xml:space="preserve">33.3%</w:t>
            </w:r>
          </w:p>
        </w:tc>
      </w:tr>
      <w:tr>
        <w:tc>
          <w:tcPr/>
          <w:p>
            <w:pPr>
              <w:pStyle w:val="Compact"/>
            </w:pPr>
            <w:r>
              <w:t xml:space="preserve">Female sex</w:t>
            </w:r>
          </w:p>
        </w:tc>
        <w:tc>
          <w:tcPr/>
          <w:p>
            <w:pPr>
              <w:pStyle w:val="Compact"/>
            </w:pPr>
            <w:r>
              <w:t xml:space="preserve">53.2%</w:t>
            </w:r>
          </w:p>
        </w:tc>
        <w:tc>
          <w:tcPr/>
          <w:p>
            <w:pPr>
              <w:pStyle w:val="Compact"/>
            </w:pPr>
            <w:r>
              <w:t xml:space="preserve">53.5%</w:t>
            </w:r>
          </w:p>
        </w:tc>
      </w:tr>
      <w:tr>
        <w:tc>
          <w:tcPr/>
          <w:p>
            <w:pPr>
              <w:pStyle w:val="Compact"/>
            </w:pPr>
            <w:r>
              <w:t xml:space="preserve">Mean PTA-4 (dB HL)</w:t>
            </w:r>
          </w:p>
        </w:tc>
        <w:tc>
          <w:tcPr/>
          <w:p>
            <w:pPr>
              <w:pStyle w:val="Compact"/>
            </w:pPr>
            <w:r>
              <w:t xml:space="preserve">31.5 (13.2)</w:t>
            </w:r>
          </w:p>
        </w:tc>
        <w:tc>
          <w:tcPr/>
          <w:p>
            <w:pPr>
              <w:pStyle w:val="Compact"/>
            </w:pPr>
            <w:r>
              <w:t xml:space="preserve">32.1 (13.3)</w:t>
            </w:r>
          </w:p>
        </w:tc>
      </w:tr>
      <w:tr>
        <w:tc>
          <w:tcPr/>
          <w:p>
            <w:pPr>
              <w:pStyle w:val="Compact"/>
            </w:pPr>
            <w:r>
              <w:t xml:space="preserve">Normal</w:t>
            </w:r>
          </w:p>
        </w:tc>
        <w:tc>
          <w:tcPr/>
          <w:p>
            <w:pPr>
              <w:pStyle w:val="Compact"/>
            </w:pPr>
            <w:r>
              <w:t xml:space="preserve">37.9%</w:t>
            </w:r>
          </w:p>
        </w:tc>
        <w:tc>
          <w:tcPr/>
          <w:p>
            <w:pPr>
              <w:pStyle w:val="Compact"/>
            </w:pPr>
            <w:r>
              <w:t xml:space="preserve">35.6%</w:t>
            </w:r>
          </w:p>
        </w:tc>
      </w:tr>
      <w:tr>
        <w:tc>
          <w:tcPr/>
          <w:p>
            <w:pPr>
              <w:pStyle w:val="Compact"/>
            </w:pPr>
            <w:r>
              <w:t xml:space="preserve">Mild</w:t>
            </w:r>
          </w:p>
        </w:tc>
        <w:tc>
          <w:tcPr/>
          <w:p>
            <w:pPr>
              <w:pStyle w:val="Compact"/>
            </w:pPr>
            <w:r>
              <w:t xml:space="preserve">38.3%</w:t>
            </w:r>
          </w:p>
        </w:tc>
        <w:tc>
          <w:tcPr/>
          <w:p>
            <w:pPr>
              <w:pStyle w:val="Compact"/>
            </w:pPr>
            <w:r>
              <w:t xml:space="preserve">38.1%</w:t>
            </w:r>
          </w:p>
        </w:tc>
      </w:tr>
      <w:tr>
        <w:tc>
          <w:tcPr/>
          <w:p>
            <w:pPr>
              <w:pStyle w:val="Compact"/>
            </w:pPr>
            <w:r>
              <w:t xml:space="preserve">Moderate</w:t>
            </w:r>
          </w:p>
        </w:tc>
        <w:tc>
          <w:tcPr/>
          <w:p>
            <w:pPr>
              <w:pStyle w:val="Compact"/>
            </w:pPr>
            <w:r>
              <w:t xml:space="preserve">19.0%</w:t>
            </w:r>
          </w:p>
        </w:tc>
        <w:tc>
          <w:tcPr/>
          <w:p>
            <w:pPr>
              <w:pStyle w:val="Compact"/>
            </w:pPr>
            <w:r>
              <w:t xml:space="preserve">21.5%</w:t>
            </w:r>
          </w:p>
        </w:tc>
      </w:tr>
      <w:tr>
        <w:tc>
          <w:tcPr/>
          <w:p>
            <w:pPr>
              <w:pStyle w:val="Compact"/>
            </w:pPr>
            <w:r>
              <w:t xml:space="preserve">Moderately Severe</w:t>
            </w:r>
          </w:p>
        </w:tc>
        <w:tc>
          <w:tcPr/>
          <w:p>
            <w:pPr>
              <w:pStyle w:val="Compact"/>
            </w:pPr>
            <w:r>
              <w:t xml:space="preserve">4.2%</w:t>
            </w:r>
          </w:p>
        </w:tc>
        <w:tc>
          <w:tcPr/>
          <w:p>
            <w:pPr>
              <w:pStyle w:val="Compact"/>
            </w:pPr>
            <w:r>
              <w:t xml:space="preserve">4.0%</w:t>
            </w:r>
          </w:p>
        </w:tc>
      </w:tr>
      <w:tr>
        <w:tc>
          <w:tcPr/>
          <w:p>
            <w:pPr>
              <w:pStyle w:val="Compact"/>
            </w:pPr>
            <w:r>
              <w:t xml:space="preserve">Severe</w:t>
            </w:r>
          </w:p>
        </w:tc>
        <w:tc>
          <w:tcPr/>
          <w:p>
            <w:pPr>
              <w:pStyle w:val="Compact"/>
            </w:pPr>
            <w:r>
              <w:t xml:space="preserve">0.4%</w:t>
            </w:r>
          </w:p>
        </w:tc>
        <w:tc>
          <w:tcPr/>
          <w:p>
            <w:pPr>
              <w:pStyle w:val="Compact"/>
            </w:pPr>
            <w:r>
              <w:t xml:space="preserve">0.8%</w:t>
            </w:r>
          </w:p>
        </w:tc>
      </w:tr>
      <w:tr>
        <w:tc>
          <w:tcPr/>
          <w:p>
            <w:pPr>
              <w:pStyle w:val="Compact"/>
            </w:pPr>
            <w:r>
              <w:t xml:space="preserve">Profound</w:t>
            </w:r>
          </w:p>
        </w:tc>
        <w:tc>
          <w:tcPr/>
          <w:p>
            <w:pPr>
              <w:pStyle w:val="Compact"/>
            </w:pPr>
            <w:r>
              <w:t xml:space="preserve">0.1%</w:t>
            </w:r>
          </w:p>
        </w:tc>
        <w:tc>
          <w:tcPr/>
          <w:p>
            <w:pPr>
              <w:pStyle w:val="Compact"/>
            </w:pPr>
            <w:r>
              <w:t xml:space="preserve">0.0%</w:t>
            </w:r>
          </w:p>
        </w:tc>
      </w:tr>
    </w:tbl>
    <w:p>
      <w:pPr>
        <w:pStyle w:val="BodyText"/>
      </w:pPr>
      <w:r>
        <w:rPr>
          <w:i/>
          <w:iCs/>
        </w:rPr>
        <w:t xml:space="preserve">Audiometry per NHANES protocol covers children/adolescents (6–19 y) and adults ≥70 y; the sample contains no participants aged 20–69, so the adult analysis cohort is aged 70–80 y. Values are per ear unless noted.</w:t>
      </w:r>
    </w:p>
    <w:bookmarkEnd w:id="85"/>
    <w:bookmarkStart w:id="86"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0.68</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70.4%</w:t>
            </w:r>
          </w:p>
        </w:tc>
        <w:tc>
          <w:tcPr/>
          <w:p>
            <w:pPr>
              <w:pStyle w:val="Compact"/>
            </w:pPr>
            <w:r>
              <w:t xml:space="preserve">100%*</w:t>
            </w:r>
          </w:p>
        </w:tc>
        <w:tc>
          <w:tcPr/>
          <w:p>
            <w:pPr>
              <w:pStyle w:val="Compact"/>
            </w:pPr>
            <w:r>
              <w:t xml:space="preserve">96.7%</w:t>
            </w:r>
          </w:p>
        </w:tc>
        <w:tc>
          <w:tcPr/>
          <w:p>
            <w:pPr>
              <w:pStyle w:val="Compact"/>
            </w:pPr>
            <w:r>
              <w:t xml:space="preserve">96.0%</w:t>
            </w:r>
          </w:p>
        </w:tc>
      </w:tr>
      <w:tr>
        <w:tc>
          <w:tcPr/>
          <w:p>
            <w:pPr>
              <w:pStyle w:val="Compact"/>
            </w:pPr>
            <w:r>
              <w:t xml:space="preserve">Borderline Agreement (±5 dB)</w:t>
            </w:r>
          </w:p>
        </w:tc>
        <w:tc>
          <w:tcPr/>
          <w:p>
            <w:pPr>
              <w:pStyle w:val="Compact"/>
            </w:pPr>
            <w:r>
              <w:t xml:space="preserve">58.7%</w:t>
            </w:r>
          </w:p>
        </w:tc>
        <w:tc>
          <w:tcPr/>
          <w:p>
            <w:pPr>
              <w:pStyle w:val="Compact"/>
            </w:pPr>
            <w:r>
              <w:t xml:space="preserve">100%*</w:t>
            </w:r>
          </w:p>
        </w:tc>
        <w:tc>
          <w:tcPr/>
          <w:p>
            <w:pPr>
              <w:pStyle w:val="Compact"/>
            </w:pPr>
            <w:r>
              <w:t xml:space="preserve">94.7%</w:t>
            </w:r>
          </w:p>
        </w:tc>
        <w:tc>
          <w:tcPr/>
          <w:p>
            <w:pPr>
              <w:pStyle w:val="Compact"/>
            </w:pPr>
            <w:r>
              <w:t xml:space="preserve">93.4%</w:t>
            </w:r>
          </w:p>
        </w:tc>
      </w:tr>
      <w:tr>
        <w:tc>
          <w:tcPr/>
          <w:p>
            <w:pPr>
              <w:pStyle w:val="Compact"/>
            </w:pPr>
            <w:r>
              <w:t xml:space="preserve">Clear-case Agreement</w:t>
            </w:r>
          </w:p>
        </w:tc>
        <w:tc>
          <w:tcPr/>
          <w:p>
            <w:pPr>
              <w:pStyle w:val="Compact"/>
            </w:pPr>
            <w:r>
              <w:t xml:space="preserve">88.2%</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0.83</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10.5</w:t>
            </w:r>
          </w:p>
        </w:tc>
        <w:tc>
          <w:tcPr/>
          <w:p>
            <w:pPr>
              <w:pStyle w:val="Compact"/>
            </w:pPr>
            <w:r>
              <w:t xml:space="preserve">0.0*</w:t>
            </w:r>
          </w:p>
        </w:tc>
        <w:tc>
          <w:tcPr/>
          <w:p>
            <w:pPr>
              <w:pStyle w:val="Compact"/>
            </w:pPr>
            <w:r>
              <w:t xml:space="preserve">0.5</w:t>
            </w:r>
          </w:p>
        </w:tc>
        <w:tc>
          <w:tcPr/>
          <w:p>
            <w:pPr>
              <w:pStyle w:val="Compact"/>
            </w:pPr>
            <w:r>
              <w:t xml:space="preserve">0.8</w:t>
            </w:r>
          </w:p>
        </w:tc>
      </w:tr>
    </w:tbl>
    <w:p>
      <w:pPr>
        <w:pStyle w:val="BodyText"/>
      </w:pPr>
      <w:r>
        <w:t xml:space="preserve">*PTA-4 is the reference standard; metrics reflect definitional agreement.</w:t>
      </w:r>
    </w:p>
    <w:bookmarkEnd w:id="86"/>
    <w:bookmarkStart w:id="87" w:name="Xb2b2941f82a8ed8f2527728ce060f4fee0fd8f7"/>
    <w:p>
      <w:pPr>
        <w:pStyle w:val="Heading2"/>
      </w:pPr>
      <w:r>
        <w:t xml:space="preserve">11.3 Table 3. Configuration Distribution in the NHANES Cohort (Exploratory)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22.0%</w:t>
            </w:r>
          </w:p>
        </w:tc>
        <w:tc>
          <w:tcPr/>
          <w:p>
            <w:pPr>
              <w:pStyle w:val="Compact"/>
            </w:pPr>
            <w:r>
              <w:t xml:space="preserve">−5 to 12 dB</w:t>
            </w:r>
          </w:p>
        </w:tc>
      </w:tr>
      <w:tr>
        <w:tc>
          <w:tcPr/>
          <w:p>
            <w:pPr>
              <w:pStyle w:val="Compact"/>
            </w:pPr>
            <w:r>
              <w:t xml:space="preserve">Gently Sloping</w:t>
            </w:r>
          </w:p>
        </w:tc>
        <w:tc>
          <w:tcPr/>
          <w:p>
            <w:pPr>
              <w:pStyle w:val="Compact"/>
            </w:pPr>
            <w:r>
              <w:t xml:space="preserve">29.7%</w:t>
            </w:r>
          </w:p>
        </w:tc>
        <w:tc>
          <w:tcPr/>
          <w:p>
            <w:pPr>
              <w:pStyle w:val="Compact"/>
            </w:pPr>
            <w:r>
              <w:t xml:space="preserve">12–28 dB</w:t>
            </w:r>
          </w:p>
        </w:tc>
      </w:tr>
      <w:tr>
        <w:tc>
          <w:tcPr/>
          <w:p>
            <w:pPr>
              <w:pStyle w:val="Compact"/>
            </w:pPr>
            <w:r>
              <w:t xml:space="preserve">Steeply Sloping</w:t>
            </w:r>
          </w:p>
        </w:tc>
        <w:tc>
          <w:tcPr/>
          <w:p>
            <w:pPr>
              <w:pStyle w:val="Compact"/>
            </w:pPr>
            <w:r>
              <w:t xml:space="preserve">31.8%</w:t>
            </w:r>
          </w:p>
        </w:tc>
        <w:tc>
          <w:tcPr/>
          <w:p>
            <w:pPr>
              <w:pStyle w:val="Compact"/>
            </w:pPr>
            <w:r>
              <w:t xml:space="preserve">28–45 dB</w:t>
            </w:r>
          </w:p>
        </w:tc>
      </w:tr>
      <w:tr>
        <w:tc>
          <w:tcPr/>
          <w:p>
            <w:pPr>
              <w:pStyle w:val="Compact"/>
            </w:pPr>
            <w:r>
              <w:t xml:space="preserve">Precipitous</w:t>
            </w:r>
          </w:p>
        </w:tc>
        <w:tc>
          <w:tcPr/>
          <w:p>
            <w:pPr>
              <w:pStyle w:val="Compact"/>
            </w:pPr>
            <w:r>
              <w:t xml:space="preserve">13.4%</w:t>
            </w:r>
          </w:p>
        </w:tc>
        <w:tc>
          <w:tcPr/>
          <w:p>
            <w:pPr>
              <w:pStyle w:val="Compact"/>
            </w:pPr>
            <w:r>
              <w:t xml:space="preserve">&gt;45 dB</w:t>
            </w:r>
          </w:p>
        </w:tc>
      </w:tr>
      <w:tr>
        <w:tc>
          <w:tcPr/>
          <w:p>
            <w:pPr>
              <w:pStyle w:val="Compact"/>
            </w:pPr>
            <w:r>
              <w:t xml:space="preserve">Rising</w:t>
            </w:r>
          </w:p>
        </w:tc>
        <w:tc>
          <w:tcPr/>
          <w:p>
            <w:pPr>
              <w:pStyle w:val="Compact"/>
            </w:pPr>
            <w:r>
              <w:t xml:space="preserve">3.1%</w:t>
            </w:r>
          </w:p>
        </w:tc>
        <w:tc>
          <w:tcPr/>
          <w:p>
            <w:pPr>
              <w:pStyle w:val="Compact"/>
            </w:pPr>
            <w:r>
              <w:t xml:space="preserve">&lt;−5 dB</w:t>
            </w:r>
          </w:p>
        </w:tc>
      </w:tr>
    </w:tbl>
    <w:p>
      <w:pPr>
        <w:pStyle w:val="BodyText"/>
      </w:pPr>
      <w:r>
        <w:t xml:space="preserve">Configuration typing is a secondary, exploratory output; the per-type accuracy table reported in an earlier draft was not reproducible from the deployed pipeline and has been removed (see Configuration Classification).</w:t>
      </w:r>
    </w:p>
    <w:bookmarkEnd w:id="87"/>
    <w:bookmarkStart w:id="88" w:name="Xa69bce4e66d02f01a39c5a76379a3c74e9fbb04"/>
    <w:p>
      <w:pPr>
        <w:pStyle w:val="Heading2"/>
      </w:pPr>
      <w:r>
        <w:t xml:space="preserve">11.4 Table 4. Fuzzy vs. Crisp Classification at the Normal–Mild Boundary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9.3</w:t>
            </w:r>
          </w:p>
        </w:tc>
        <w:tc>
          <w:tcPr/>
          <w:p>
            <w:pPr>
              <w:pStyle w:val="Compact"/>
            </w:pPr>
            <w:r>
              <w:t xml:space="preserve">Normal</w:t>
            </w:r>
          </w:p>
        </w:tc>
        <w:tc>
          <w:tcPr/>
          <w:p>
            <w:pPr>
              <w:pStyle w:val="Compact"/>
            </w:pPr>
            <w:r>
              <w:t xml:space="preserve">Normal μ=0.29, Mild μ=0.00</w:t>
            </w:r>
          </w:p>
        </w:tc>
      </w:tr>
      <w:tr>
        <w:tc>
          <w:tcPr/>
          <w:p>
            <w:pPr>
              <w:pStyle w:val="Compact"/>
            </w:pPr>
            <w:r>
              <w:t xml:space="preserve">26</w:t>
            </w:r>
          </w:p>
        </w:tc>
        <w:tc>
          <w:tcPr/>
          <w:p>
            <w:pPr>
              <w:pStyle w:val="Compact"/>
            </w:pPr>
            <w:r>
              <w:t xml:space="preserve">Mild</w:t>
            </w:r>
          </w:p>
        </w:tc>
        <w:tc>
          <w:tcPr/>
          <w:p>
            <w:pPr>
              <w:pStyle w:val="Compact"/>
            </w:pPr>
            <w:r>
              <w:t xml:space="preserve">9.3</w:t>
            </w:r>
          </w:p>
        </w:tc>
        <w:tc>
          <w:tcPr/>
          <w:p>
            <w:pPr>
              <w:pStyle w:val="Compact"/>
            </w:pPr>
            <w:r>
              <w:t xml:space="preserve">Normal</w:t>
            </w:r>
          </w:p>
        </w:tc>
        <w:tc>
          <w:tcPr/>
          <w:p>
            <w:pPr>
              <w:pStyle w:val="Compact"/>
            </w:pPr>
            <w:r>
              <w:t xml:space="preserve">Normal μ=0.15, Mild μ=0.00</w:t>
            </w:r>
          </w:p>
        </w:tc>
      </w:tr>
      <w:tr>
        <w:tc>
          <w:tcPr/>
          <w:p>
            <w:pPr>
              <w:pStyle w:val="Compact"/>
            </w:pPr>
            <w:r>
              <w:t xml:space="preserve">27</w:t>
            </w:r>
          </w:p>
        </w:tc>
        <w:tc>
          <w:tcPr/>
          <w:p>
            <w:pPr>
              <w:pStyle w:val="Compact"/>
            </w:pPr>
            <w:r>
              <w:t xml:space="preserve">Mild</w:t>
            </w:r>
          </w:p>
        </w:tc>
        <w:tc>
          <w:tcPr/>
          <w:p>
            <w:pPr>
              <w:pStyle w:val="Compact"/>
            </w:pPr>
            <w:r>
              <w:t xml:space="preserve">14.8</w:t>
            </w:r>
          </w:p>
        </w:tc>
        <w:tc>
          <w:tcPr/>
          <w:p>
            <w:pPr>
              <w:pStyle w:val="Compact"/>
            </w:pPr>
            <w:r>
              <w:t xml:space="preserve">Normal</w:t>
            </w:r>
          </w:p>
        </w:tc>
        <w:tc>
          <w:tcPr/>
          <w:p>
            <w:pPr>
              <w:pStyle w:val="Compact"/>
            </w:pPr>
            <w:r>
              <w:t xml:space="preserve">Normal μ=0.07, Mild μ=0.25</w:t>
            </w:r>
          </w:p>
        </w:tc>
      </w:tr>
      <w:tr>
        <w:tc>
          <w:tcPr/>
          <w:p>
            <w:pPr>
              <w:pStyle w:val="Compact"/>
            </w:pPr>
            <w:r>
              <w:t xml:space="preserve">28</w:t>
            </w:r>
          </w:p>
        </w:tc>
        <w:tc>
          <w:tcPr/>
          <w:p>
            <w:pPr>
              <w:pStyle w:val="Compact"/>
            </w:pPr>
            <w:r>
              <w:t xml:space="preserve">Mild</w:t>
            </w:r>
          </w:p>
        </w:tc>
        <w:tc>
          <w:tcPr/>
          <w:p>
            <w:pPr>
              <w:pStyle w:val="Compact"/>
            </w:pPr>
            <w:r>
              <w:t xml:space="preserve">17.8</w:t>
            </w:r>
          </w:p>
        </w:tc>
        <w:tc>
          <w:tcPr/>
          <w:p>
            <w:pPr>
              <w:pStyle w:val="Compact"/>
            </w:pPr>
            <w:r>
              <w:t xml:space="preserve">Normal</w:t>
            </w:r>
          </w:p>
        </w:tc>
        <w:tc>
          <w:tcPr/>
          <w:p>
            <w:pPr>
              <w:pStyle w:val="Compact"/>
            </w:pPr>
            <w:r>
              <w:t xml:space="preserve">Normal μ=0.00, Mild μ=0.50</w:t>
            </w:r>
          </w:p>
        </w:tc>
      </w:tr>
      <w:tr>
        <w:tc>
          <w:tcPr/>
          <w:p>
            <w:pPr>
              <w:pStyle w:val="Compact"/>
            </w:pPr>
            <w:r>
              <w:t xml:space="preserve">30</w:t>
            </w:r>
          </w:p>
        </w:tc>
        <w:tc>
          <w:tcPr/>
          <w:p>
            <w:pPr>
              <w:pStyle w:val="Compact"/>
            </w:pPr>
            <w:r>
              <w:t xml:space="preserve">Mild</w:t>
            </w:r>
          </w:p>
        </w:tc>
        <w:tc>
          <w:tcPr/>
          <w:p>
            <w:pPr>
              <w:pStyle w:val="Compact"/>
            </w:pPr>
            <w:r>
              <w:t xml:space="preserve">20.4</w:t>
            </w:r>
          </w:p>
        </w:tc>
        <w:tc>
          <w:tcPr/>
          <w:p>
            <w:pPr>
              <w:pStyle w:val="Compact"/>
            </w:pPr>
            <w:r>
              <w:t xml:space="preserve">Mild</w:t>
            </w:r>
          </w:p>
        </w:tc>
        <w:tc>
          <w:tcPr/>
          <w:p>
            <w:pPr>
              <w:pStyle w:val="Compact"/>
            </w:pPr>
            <w:r>
              <w:t xml:space="preserve">Normal μ=0.00, Mild μ=1.00</w:t>
            </w:r>
          </w:p>
        </w:tc>
      </w:tr>
    </w:tbl>
    <w:p>
      <w:pPr>
        <w:pStyle w:val="BodyText"/>
      </w:pPr>
      <w:r>
        <w:t xml:space="preserve">Values are deployed-system outputs. Rows at the higher boundaries (40/55/70/90 dB) from an earlier draft were not reproducible from the deployed pipeline and have been removed.</w:t>
      </w:r>
    </w:p>
    <w:p>
      <w:r>
        <w:pict>
          <v:rect style="width:0;height:1.5pt" o:hralign="center" o:hrstd="t" o:hr="t"/>
        </w:pict>
      </w:r>
    </w:p>
    <w:bookmarkEnd w:id="88"/>
    <w:bookmarkEnd w:id="89"/>
    <w:bookmarkStart w:id="90"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Population-optimised boundaries sit about 8 dB to the right of the classic WHO thresholds.</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(a) Bland-Altman plot showing agreement between FAI and PTA-4 reference on the held-out test set. (b) Classification agreement as a function of distance from the nearest WHO severity boundary: the FAI matches the crisp grade on 88.2% of clear cases (≥6 dB from a boundary) and returns graded membership on 58.7% of borderline cases (±5 dB).</w:t>
      </w:r>
    </w:p>
    <w:p>
      <w:pPr>
        <w:pStyle w:val="BodyText"/>
      </w:pPr>
      <w:r>
        <w:rPr>
          <w:b/>
          <w:bCs/>
        </w:rPr>
        <w:t xml:space="preserve">Figure 4.</w:t>
      </w:r>
      <w:r>
        <w:t xml:space="preserve"> </w:t>
      </w:r>
      <w:r>
        <w:t xml:space="preserve">Clinical case panels: four representative audiograms (A borderline, B noise notch, C presbycusis, D asymmetric) showing PTA vs. FAI labels, membership bar plots, and configuration vectors. Coloured background bands indicate WHO severity categories.</w:t>
      </w:r>
    </w:p>
    <w:p>
      <w:pPr>
        <w:pStyle w:val="BodyText"/>
      </w:pPr>
      <w:r>
        <w:rPr>
          <w:b/>
          <w:bCs/>
        </w:rPr>
        <w:t xml:space="preserve">Figure 5.</w:t>
      </w:r>
      <w:r>
        <w:t xml:space="preserve"> </w:t>
      </w:r>
      <w:r>
        <w:t xml:space="preserve">Configuration distribution in the adult cohort (slope = 4 kHz − 500 Hz): predominantly steeply and gently sloping patterns; the fuzzy shape rules emit a six-category membership vector.</w:t>
      </w:r>
    </w:p>
    <w:p>
      <w:pPr>
        <w:pStyle w:val="BodyText"/>
      </w:pPr>
      <w:r>
        <w:rPr>
          <w:b/>
          <w:bCs/>
        </w:rPr>
        <w:t xml:space="preserve">Figure 6.</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hyperlink" Id="rId65" Target="https://doi.org/10.1016/j.clineuro.2020.106446" TargetMode="External" /><Relationship Type="http://schemas.openxmlformats.org/officeDocument/2006/relationships/hyperlink" Id="rId19" Target="https://github.com/ameye/fuzzy-audiogram" TargetMode="External" /><Relationship Type="http://schemas.openxmlformats.org/officeDocument/2006/relationships/hyperlink" Id="rId75" Target="https://www.ncbi.nlm.nih.gov/pubmed/33332857" TargetMode="External" /><Relationship Type="http://schemas.openxmlformats.org/officeDocument/2006/relationships/hyperlink" Id="rId67"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16/j.clineuro.2020.106446" TargetMode="External" /><Relationship Type="http://schemas.openxmlformats.org/officeDocument/2006/relationships/hyperlink" Id="rId19" Target="https://github.com/ameye/fuzzy-audiogram" TargetMode="External" /><Relationship Type="http://schemas.openxmlformats.org/officeDocument/2006/relationships/hyperlink" Id="rId75" Target="https://www.ncbi.nlm.nih.gov/pubmed/33332857" TargetMode="External" /><Relationship Type="http://schemas.openxmlformats.org/officeDocument/2006/relationships/hyperlink" Id="rId67"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2026-08-14T08:25:33Z</dcterms:created>
  <dcterms:modified xsi:type="dcterms:W3CDTF">2026-08-14T08:25:33Z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gradation.Design: Development and validation of an interpretable fuzzy classification framework using overlapping trapezoidal membership functions optimised on training data, a 48-rule audiology-derived rule base, and centroid defuzzification into a continuous Fuzzy Audiometric Index (FAI, 0–100).Study Sample: Cross-sectional audiometric data from the National Health and Nutrition Examination Survey (NHANES 2017–2020, n = 5,147), restricted to adults aged 70 years and over (n = 1,493) and split into training (80%, n = 1,584) and held-out test (20%, n = 396) ears.Results: FAI showed substantial agreement with WHO PTA-4 classification (weighted κ = 0.68). Agreement was 88.2% in clear cases, where crisp classification is uncontroversial; in borderline cases within ±5 dB of a severity boundary — which include 61.4% of adult test ears — the system deliberately returned graded membership rather than a forced binary label (58.7% agreement with the crisp grade, reflecting the designed reclassification of ambiguous thresholds). At the normal–mild transition, membership grades continuously (e.g., 27 dB: Normal μ = 0.07, Mild μ = 0.25) instead of flipping at 26 dB.Conclusions: A fuzzy logic framework captures the gradation of sensorineural hearing loss that crisp thresholds lose, offering more informative and clinically nuanced classification, especially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4950</vt:lpwstr>
  </property>
</Properties>
</file>