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 Fuzzy Logic Framework for Sensorineural Hearing Loss Classification: Preserving Diagnostic Gradation Lost to Crisp Thresholds</w:t>
      </w:r>
    </w:p>
    <w:p>
      <w:pPr>
        <w:spacing w:line="360" w:lineRule="auto"/>
      </w:pPr>
      <w:r>
        <w:rPr>
          <w:rFonts w:ascii="Times New Roman" w:hAnsi="Times New Roman"/>
          <w:b/>
          <w:sz w:val="24"/>
        </w:rPr>
        <w:t>Abstract</w:t>
      </w:r>
    </w:p>
    <w:p>
      <w:pPr>
        <w:spacing w:line="360" w:lineRule="auto"/>
      </w:pPr>
      <w:r>
        <w:rPr>
          <w:rFonts w:ascii="Times New Roman" w:hAnsi="Times New Roman"/>
          <w:b/>
          <w:sz w:val="24"/>
        </w:rPr>
        <w:t xml:space="preserve">Objectives: </w:t>
      </w:r>
      <w:r>
        <w:rPr>
          <w:rFonts w:ascii="Times New Roman" w:hAnsi="Times New Roman"/>
          <w:sz w:val="24"/>
        </w:rPr>
        <w:t>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360" w:lineRule="auto"/>
      </w:pPr>
      <w:r>
        <w:rPr>
          <w:rFonts w:ascii="Times New Roman" w:hAnsi="Times New Roman"/>
          <w:b/>
          <w:sz w:val="24"/>
        </w:rPr>
        <w:t xml:space="preserve">Design: </w:t>
      </w:r>
      <w:r>
        <w:rPr>
          <w:rFonts w:ascii="Times New Roman" w:hAnsi="Times New Roman"/>
          <w:sz w:val="24"/>
        </w:rPr>
        <w:t>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360" w:lineRule="auto"/>
      </w:pPr>
      <w:r>
        <w:rPr>
          <w:rFonts w:ascii="Times New Roman" w:hAnsi="Times New Roman"/>
          <w:b/>
          <w:sz w:val="24"/>
        </w:rPr>
        <w:t xml:space="preserve">Study Sample: </w:t>
      </w:r>
      <w:r>
        <w:rPr>
          <w:rFonts w:ascii="Times New Roman" w:hAnsi="Times New Roman"/>
          <w:sz w:val="24"/>
        </w:rPr>
        <w:t>Cross-sectional audiometric data from the National Health and Nutrition Examination Survey (NHANES 2017–2020, n = 5,147), split into training (80%, n = 4,118) and held-out test (20%, n = 1,029) sets.</w:t>
      </w:r>
    </w:p>
    <w:p>
      <w:pPr>
        <w:spacing w:line="360" w:lineRule="auto"/>
      </w:pPr>
      <w:r>
        <w:rPr>
          <w:rFonts w:ascii="Times New Roman" w:hAnsi="Times New Roman"/>
          <w:b/>
          <w:sz w:val="24"/>
        </w:rPr>
        <w:t xml:space="preserve">Results: </w:t>
      </w:r>
      <w:r>
        <w:rPr>
          <w:rFonts w:ascii="Times New Roman" w:hAnsi="Times New Roman"/>
          <w:sz w:val="24"/>
        </w:rPr>
        <w:t>FAI showed strong agreement with WHO PTA-4 classification (weighted κ = 0.89). In borderline cases within ±5 dB of a severity boundary, FAI accuracy was 91.2% versus 68.4% for crisp PTA classification (p &lt; 0.01). Configuration classification (flat, sloping, notched, precipitous, rising) achieved 89.4% agreement. At the 25/26 dB boundary, the system assigned graded membership (Normal μ = 0.40, Mild μ = 1.00) instead of a binary label.</w:t>
      </w:r>
    </w:p>
    <w:p>
      <w:pPr>
        <w:spacing w:line="360" w:lineRule="auto"/>
      </w:pPr>
      <w:r>
        <w:rPr>
          <w:rFonts w:ascii="Times New Roman" w:hAnsi="Times New Roman"/>
          <w:b/>
          <w:sz w:val="24"/>
        </w:rPr>
        <w:t xml:space="preserve">Conclusions: </w:t>
      </w:r>
      <w:r>
        <w:rPr>
          <w:rFonts w:ascii="Times New Roman" w:hAnsi="Times New Roman"/>
          <w:sz w:val="24"/>
        </w:rPr>
        <w:t>A fuzzy logic framework captures the gradation of sensorineural hearing loss that crisp thresholds lose, offering more informative and clinically nuanced classification, especially for borderline cases.</w:t>
      </w:r>
    </w:p>
    <w:p>
      <w:pPr>
        <w:spacing w:line="480" w:lineRule="auto" w:before="200"/>
      </w:pPr>
      <w:r>
        <w:rPr>
          <w:rFonts w:ascii="Times New Roman" w:hAnsi="Times New Roman"/>
          <w:b/>
          <w:sz w:val="28"/>
          <w:u w:val="single"/>
        </w:rPr>
        <w:t>Introduction</w:t>
      </w:r>
    </w:p>
    <w:p>
      <w:pPr>
        <w:spacing w:line="480" w:lineRule="auto"/>
        <w:jc w:val="center"/>
      </w:pPr>
      <w:r>
        <w:rPr>
          <w:rFonts w:ascii="Times New Roman" w:hAnsi="Times New Roman"/>
          <w:i/>
          <w:sz w:val="20"/>
        </w:rPr>
        <w:t>Overlapping trapezoidal membership functions for six hearing loss severity categories. The NHANES-optimised boundaries show an ~8 dB rightward shift relative to classic WHO thresholds, with controlled 2 dB overlap at each transition.</w:t>
      </w:r>
    </w:p>
    <w:p>
      <w:pPr>
        <w:spacing w:line="480" w:lineRule="auto"/>
        <w:ind w:firstLine="720"/>
      </w:pPr>
      <w:r>
        <w:rPr>
          <w:rFonts w:ascii="Times New Roman" w:hAnsi="Times New Roman"/>
          <w:b w:val="0"/>
          <w:i w:val="0"/>
          <w:sz w:val="24"/>
        </w:rPr>
        <w:t>The way we classify hearing loss from pure-tone audiometry has barely changed in over fifty years. Goodman [@goodman1965] proposed the mild–moderate–severe framework back in 1965. Clark [@clark1981] refined it. The WHO eventually formalised it in the *World Report on Hearing* [@who2021]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ind w:firstLine="720"/>
      </w:pPr>
      <w:r>
        <w:rPr>
          <w:rFonts w:ascii="Times New Roman" w:hAnsi="Times New Roman"/>
          <w:b w:val="0"/>
          <w:i w:val="0"/>
          <w:sz w:val="24"/>
        </w:rPr>
        <w:t>Consider two patients. Patient A has a PTA-4 of 25 dB HL in the better ear. That is *normal*. Patient B has a PTA-4 of 26 dB HL. That is *mild hearing loss*. One decibel separates them. One decibel, well within the test–retest variability of pure-tone audiometry (±5–10 dB) [@miller2004], and they get categorically different labels with different implications for follow-up, hearing aid candidacy, and occupational hearing conservation. We need to ask whether such crisp boundaries hold up to clinical scrutiny.</w:t>
      </w:r>
    </w:p>
    <w:p>
      <w:pPr>
        <w:spacing w:line="480" w:lineRule="auto"/>
        <w:ind w:firstLine="720"/>
      </w:pPr>
      <w:r>
        <w:rPr>
          <w:rFonts w:ascii="Times New Roman" w:hAnsi="Times New Roman"/>
          <w:b w:val="0"/>
          <w:i w:val="0"/>
          <w:sz w:val="24"/>
        </w:rP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ind w:firstLine="720"/>
      </w:pPr>
      <w:r>
        <w:rPr>
          <w:rFonts w:ascii="Times New Roman" w:hAnsi="Times New Roman"/>
          <w:b w:val="0"/>
          <w:i w:val="0"/>
          <w:sz w:val="24"/>
        </w:rPr>
        <w:t>Fuzzy set theory, which Zadeh introduced [@zadeh1965],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[@mamdani1975] build on this by adding rule-based reasoning, interpretable expert systems with a rule base you can inspect and modify.</w:t>
      </w:r>
    </w:p>
    <w:p>
      <w:pPr>
        <w:spacing w:line="480" w:lineRule="auto"/>
        <w:ind w:firstLine="720"/>
      </w:pPr>
      <w:r>
        <w:rPr>
          <w:rFonts w:ascii="Times New Roman" w:hAnsi="Times New Roman"/>
          <w:b w:val="0"/>
          <w:i w:val="0"/>
          <w:sz w:val="24"/>
        </w:rPr>
        <w:t>Most of the computational work in audiology so far has gone to machine learning. Ceriani et al. [@ceriani2025] used ML to predict early hallmarks of progressive hearing loss. Wasmann et al. [@wasmann2022] built a deep learning system for automated audiogram interpretation. Sanchez-Lopez et al. [@sanchez2021] and van Beek et al. [@vanbeek2024] applied clustering for data-driven auditory profiling. Tseng et al. [@tseng2023]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ind w:firstLine="720"/>
      </w:pPr>
      <w:r>
        <w:rPr>
          <w:rFonts w:ascii="Times New Roman" w:hAnsi="Times New Roman"/>
          <w:b w:val="0"/>
          <w:i w:val="0"/>
          <w:sz w:val="24"/>
        </w:rPr>
        <w:t>Specific fuzzy logic applications in audiology are still limited. Miller and Polansky [@miller2004] built an early fuzzy inference system for audiogram classification that hit 87% agreement with expert judgments. Chen et al. [@chen2017] reported 91% accuracy with a Mamdani-type system using frequency-specific inputs. Zadoush et al. [@zadoush2020] 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spacing w:line="480" w:lineRule="auto"/>
        <w:ind w:firstLine="720"/>
      </w:pPr>
      <w:r>
        <w:rPr>
          <w:rFonts w:ascii="Times New Roman" w:hAnsi="Times New Roman"/>
          <w:b w:val="0"/>
          <w:i w:val="0"/>
          <w:sz w:val="24"/>
        </w:rP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spacing w:line="480" w:lineRule="auto" w:before="200"/>
      </w:pPr>
      <w:r>
        <w:rPr>
          <w:rFonts w:ascii="Times New Roman" w:hAnsi="Times New Roman"/>
          <w:b/>
          <w:sz w:val="28"/>
          <w:u w:val="single"/>
        </w:rPr>
        <w:t>Methods</w:t>
      </w:r>
    </w:p>
    <w:p>
      <w:pPr>
        <w:spacing w:line="480" w:lineRule="auto" w:before="200"/>
      </w:pPr>
      <w:r>
        <w:rPr>
          <w:rFonts w:ascii="Times New Roman" w:hAnsi="Times New Roman"/>
          <w:b/>
          <w:sz w:val="24"/>
          <w:u w:val="single"/>
        </w:rPr>
        <w:t>Dataset and Train–Test Split</w:t>
      </w:r>
    </w:p>
    <w:p>
      <w:pPr>
        <w:spacing w:line="480" w:lineRule="auto"/>
        <w:ind w:firstLine="720"/>
      </w:pPr>
      <w:r>
        <w:rPr>
          <w:rFonts w:ascii="Times New Roman" w:hAnsi="Times New Roman"/>
          <w:b w:val="0"/>
          <w:i w:val="0"/>
          <w:sz w:val="24"/>
        </w:rPr>
        <w:t>We obtained audiometric data from the National Health and Nutrition Examination Survey (NHANES), specifically the P_AUX examination file for the 2017–2020 cycle. We included 5,147 participants aged 20 years and older with complete air-conduction thresholds at 500, 1000, 2000, 3000, 4000, 6000, and 8000 Hz in at least one ear. After excluding ears with incomplete data or missing otoscopy, we had 3,775 participants with complete bilateral examinations (7,550 ears).</w:t>
      </w:r>
    </w:p>
    <w:p>
      <w:pPr>
        <w:spacing w:line="480" w:lineRule="auto"/>
        <w:ind w:firstLine="720"/>
      </w:pPr>
      <w:r>
        <w:rPr>
          <w:rFonts w:ascii="Times New Roman" w:hAnsi="Times New Roman"/>
          <w:b w:val="0"/>
          <w:i w:val="0"/>
          <w:sz w:val="24"/>
        </w:rPr>
        <w:t>We randomly split the dataset at the participant level into a training set (80%, n = 4,118 ears) and a held-out test set (20%, n = 1,029 ears), stratified by PTA-4 severity grade to keep all WHO categories well represented in both partitions. All membership function optimisation and rule base development were done on the training set alone. All reported performance metrics, comparisons, and figures come from the held-out test set unless stated otherwise.</w:t>
      </w:r>
    </w:p>
    <w:p>
      <w:pPr>
        <w:spacing w:line="480" w:lineRule="auto"/>
        <w:ind w:firstLine="720"/>
      </w:pPr>
      <w:r>
        <w:rPr>
          <w:rFonts w:ascii="Times New Roman" w:hAnsi="Times New Roman"/>
          <w:b w:val="0"/>
          <w:i w:val="0"/>
          <w:sz w:val="24"/>
        </w:rPr>
        <w:t>NHANES data are publicly available from the U.S. Centers for Disease Control and Prevention. No ethics approval is required for secondary analysis of de-identified public data.</w:t>
      </w:r>
    </w:p>
    <w:p>
      <w:pPr>
        <w:spacing w:line="480" w:lineRule="auto"/>
        <w:ind w:firstLine="720"/>
      </w:pPr>
      <w:r>
        <w:rPr>
          <w:rFonts w:ascii="Times New Roman" w:hAnsi="Times New Roman"/>
          <w:b w:val="0"/>
          <w:i w:val="0"/>
          <w:sz w:val="24"/>
        </w:rPr>
        <w:t>Longitudinal sub-cohort. We identified NHANES participants with audiometry data in multiple cycles (n = 120, 4–8 year follow-up window) for temporal trajectory analysis.</w:t>
      </w:r>
    </w:p>
    <w:p>
      <w:pPr>
        <w:spacing w:line="480" w:lineRule="auto" w:before="200"/>
      </w:pPr>
      <w:r>
        <w:rPr>
          <w:rFonts w:ascii="Times New Roman" w:hAnsi="Times New Roman"/>
          <w:b/>
          <w:sz w:val="24"/>
          <w:u w:val="single"/>
        </w:rPr>
        <w:t>Exploratory Data Analysis</w:t>
      </w:r>
    </w:p>
    <w:p>
      <w:pPr>
        <w:spacing w:line="480" w:lineRule="auto"/>
        <w:ind w:firstLine="720"/>
      </w:pPr>
      <w:r>
        <w:rPr>
          <w:rFonts w:ascii="Times New Roman" w:hAnsi="Times New Roman"/>
          <w:b w:val="0"/>
          <w:i w:val="0"/>
          <w:sz w:val="24"/>
        </w:rPr>
        <w:t>We explored the NHANES audiometry dataset before building the model. The cohort (n = 5,147 participants, 3,539 ears with complete data after exclusions) had thresholds from −10 to 120 dB HL across all test frequencies.</w:t>
      </w:r>
    </w:p>
    <w:p>
      <w:pPr>
        <w:spacing w:line="480" w:lineRule="auto"/>
        <w:ind w:firstLine="720"/>
      </w:pPr>
      <w:r>
        <w:rPr>
          <w:rFonts w:ascii="Times New Roman" w:hAnsi="Times New Roman"/>
          <w:b w:val="0"/>
          <w:i w:val="0"/>
          <w:sz w:val="24"/>
        </w:rPr>
        <w:t>Threshold distributions. 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spacing w:line="480" w:lineRule="auto"/>
        <w:ind w:firstLine="720"/>
      </w:pPr>
      <w:r>
        <w:rPr>
          <w:rFonts w:ascii="Times New Roman" w:hAnsi="Times New Roman"/>
          <w:b w:val="0"/>
          <w:i w:val="0"/>
          <w:sz w:val="24"/>
        </w:rPr>
        <w:t>Hearing loss prevalence. 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spacing w:line="480" w:lineRule="auto"/>
        <w:ind w:firstLine="720"/>
      </w:pPr>
      <w:r>
        <w:rPr>
          <w:rFonts w:ascii="Times New Roman" w:hAnsi="Times New Roman"/>
          <w:b w:val="0"/>
          <w:i w:val="0"/>
          <w:sz w:val="24"/>
        </w:rPr>
        <w:t>Inter-frequency correlation. 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spacing w:line="480" w:lineRule="auto"/>
        <w:ind w:firstLine="720"/>
      </w:pPr>
      <w:r>
        <w:rPr>
          <w:rFonts w:ascii="Times New Roman" w:hAnsi="Times New Roman"/>
          <w:b w:val="0"/>
          <w:i w:val="0"/>
          <w:sz w:val="24"/>
        </w:rPr>
        <w:t>Audiogram configuration. 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spacing w:line="480" w:lineRule="auto"/>
        <w:ind w:firstLine="720"/>
      </w:pPr>
      <w:r>
        <w:rPr>
          <w:rFonts w:ascii="Times New Roman" w:hAnsi="Times New Roman"/>
          <w:b w:val="0"/>
          <w:i w:val="0"/>
          <w:sz w:val="24"/>
        </w:rPr>
        <w:t>Asymmetry. Mean inter-aural asymmetry was 5.5 dB. About 5.7% of participants exceeded the 15 dB threshold for significant asymmetry, consistent with published NHANES-based estimates [@suen2021].</w:t>
      </w:r>
    </w:p>
    <w:p>
      <w:pPr>
        <w:spacing w:line="480" w:lineRule="auto"/>
        <w:ind w:firstLine="720"/>
      </w:pPr>
      <w:r>
        <w:rPr>
          <w:rFonts w:ascii="Times New Roman" w:hAnsi="Times New Roman"/>
          <w:b w:val="0"/>
          <w:i w:val="0"/>
          <w:sz w:val="24"/>
        </w:rPr>
        <w:t>Bivariate relationships. Hearing loss severity increased with age, with higher thresholds at high frequencies (4–8 kHz) compared to low frequencies. A complete set of EDA visualisations is in the supplementary materials and the analysis repository (https://github.com/ameye/fuzzy-audiogram).</w:t>
      </w:r>
    </w:p>
    <w:p>
      <w:pPr>
        <w:spacing w:line="480" w:lineRule="auto" w:before="200"/>
      </w:pPr>
      <w:r>
        <w:rPr>
          <w:rFonts w:ascii="Times New Roman" w:hAnsi="Times New Roman"/>
          <w:b/>
          <w:sz w:val="24"/>
          <w:u w:val="single"/>
        </w:rPr>
        <w:t>Fuzzification: Membership Functions</w:t>
      </w:r>
    </w:p>
    <w:p>
      <w:pPr>
        <w:spacing w:line="480" w:lineRule="auto"/>
        <w:ind w:firstLine="720"/>
      </w:pPr>
      <w:r>
        <w:rPr>
          <w:rFonts w:ascii="Times New Roman" w:hAnsi="Times New Roman"/>
          <w:b w:val="0"/>
          <w:i w:val="0"/>
          <w:sz w:val="24"/>
        </w:rP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ind w:firstLine="720"/>
      </w:pPr>
      <w:r>
        <w:rPr>
          <w:rFonts w:ascii="Times New Roman" w:hAnsi="Times New Roman"/>
          <w:b w:val="0"/>
          <w:i w:val="0"/>
          <w:sz w:val="24"/>
        </w:rPr>
        <w:t>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Category</w:t>
            </w:r>
          </w:p>
        </w:tc>
        <w:tc>
          <w:tcPr>
            <w:tcW w:type="dxa" w:w="1805"/>
          </w:tcPr>
          <w:p>
            <w:pPr>
              <w:spacing w:line="240" w:lineRule="auto"/>
            </w:pPr>
            <w:r/>
            <w:r>
              <w:rPr>
                <w:rFonts w:ascii="Times New Roman" w:hAnsi="Times New Roman"/>
                <w:b/>
                <w:sz w:val="18"/>
              </w:rPr>
              <w:t>a</w:t>
            </w:r>
          </w:p>
        </w:tc>
        <w:tc>
          <w:tcPr>
            <w:tcW w:type="dxa" w:w="1805"/>
          </w:tcPr>
          <w:p>
            <w:pPr>
              <w:spacing w:line="240" w:lineRule="auto"/>
            </w:pPr>
            <w:r/>
            <w:r>
              <w:rPr>
                <w:rFonts w:ascii="Times New Roman" w:hAnsi="Times New Roman"/>
                <w:b/>
                <w:sz w:val="18"/>
              </w:rPr>
              <w:t>b</w:t>
            </w:r>
          </w:p>
        </w:tc>
        <w:tc>
          <w:tcPr>
            <w:tcW w:type="dxa" w:w="1805"/>
          </w:tcPr>
          <w:p>
            <w:pPr>
              <w:spacing w:line="240" w:lineRule="auto"/>
            </w:pPr>
            <w:r/>
            <w:r>
              <w:rPr>
                <w:rFonts w:ascii="Times New Roman" w:hAnsi="Times New Roman"/>
                <w:b/>
                <w:sz w:val="18"/>
              </w:rPr>
              <w:t>c</w:t>
            </w:r>
          </w:p>
        </w:tc>
        <w:tc>
          <w:tcPr>
            <w:tcW w:type="dxa" w:w="1805"/>
          </w:tcPr>
          <w:p>
            <w:pPr>
              <w:spacing w:line="240" w:lineRule="auto"/>
            </w:pPr>
            <w:r/>
            <w:r>
              <w:rPr>
                <w:rFonts w:ascii="Times New Roman" w:hAnsi="Times New Roman"/>
                <w:b/>
                <w:sz w:val="18"/>
              </w:rPr>
              <w:t>d</w:t>
            </w:r>
          </w:p>
        </w:tc>
      </w:tr>
      <w:tr>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0.4</w:t>
            </w:r>
          </w:p>
        </w:tc>
        <w:tc>
          <w:tcPr>
            <w:tcW w:type="dxa" w:w="1805"/>
          </w:tcPr>
          <w:p>
            <w:pPr>
              <w:spacing w:line="240" w:lineRule="auto"/>
            </w:pPr>
            <w:r/>
            <w:r>
              <w:rPr>
                <w:rFonts w:ascii="Times New Roman" w:hAnsi="Times New Roman"/>
                <w:b w:val="0"/>
                <w:sz w:val="18"/>
              </w:rPr>
              <w:t>5.0</w:t>
            </w:r>
          </w:p>
        </w:tc>
        <w:tc>
          <w:tcPr>
            <w:tcW w:type="dxa" w:w="1805"/>
          </w:tcPr>
          <w:p>
            <w:pPr>
              <w:spacing w:line="240" w:lineRule="auto"/>
            </w:pPr>
            <w:r/>
            <w:r>
              <w:rPr>
                <w:rFonts w:ascii="Times New Roman" w:hAnsi="Times New Roman"/>
                <w:b w:val="0"/>
                <w:sz w:val="18"/>
              </w:rPr>
              <w:t>14.3</w:t>
            </w:r>
          </w:p>
        </w:tc>
        <w:tc>
          <w:tcPr>
            <w:tcW w:type="dxa" w:w="1805"/>
          </w:tcPr>
          <w:p>
            <w:pPr>
              <w:spacing w:line="240" w:lineRule="auto"/>
            </w:pPr>
            <w:r/>
            <w:r>
              <w:rPr>
                <w:rFonts w:ascii="Times New Roman" w:hAnsi="Times New Roman"/>
                <w:b w:val="0"/>
                <w:sz w:val="18"/>
              </w:rPr>
              <w:t>26.3</w:t>
            </w:r>
          </w:p>
        </w:tc>
      </w:tr>
      <w:tr>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28.0</w:t>
            </w:r>
          </w:p>
        </w:tc>
        <w:tc>
          <w:tcPr>
            <w:tcW w:type="dxa" w:w="1805"/>
          </w:tcPr>
          <w:p>
            <w:pPr>
              <w:spacing w:line="240" w:lineRule="auto"/>
            </w:pPr>
            <w:r/>
            <w:r>
              <w:rPr>
                <w:rFonts w:ascii="Times New Roman" w:hAnsi="Times New Roman"/>
                <w:b w:val="0"/>
                <w:sz w:val="18"/>
              </w:rPr>
              <w:t>30.0</w:t>
            </w:r>
          </w:p>
        </w:tc>
        <w:tc>
          <w:tcPr>
            <w:tcW w:type="dxa" w:w="1805"/>
          </w:tcPr>
          <w:p>
            <w:pPr>
              <w:spacing w:line="240" w:lineRule="auto"/>
            </w:pPr>
            <w:r/>
            <w:r>
              <w:rPr>
                <w:rFonts w:ascii="Times New Roman" w:hAnsi="Times New Roman"/>
                <w:b w:val="0"/>
                <w:sz w:val="18"/>
              </w:rPr>
              <w:t>39.3</w:t>
            </w:r>
          </w:p>
        </w:tc>
        <w:tc>
          <w:tcPr>
            <w:tcW w:type="dxa" w:w="1805"/>
          </w:tcPr>
          <w:p>
            <w:pPr>
              <w:spacing w:line="240" w:lineRule="auto"/>
            </w:pPr>
            <w:r/>
            <w:r>
              <w:rPr>
                <w:rFonts w:ascii="Times New Roman" w:hAnsi="Times New Roman"/>
                <w:b w:val="0"/>
                <w:sz w:val="18"/>
              </w:rPr>
              <w:t>42.0</w:t>
            </w:r>
          </w:p>
        </w:tc>
      </w:tr>
      <w:tr>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43.0</w:t>
            </w:r>
          </w:p>
        </w:tc>
        <w:tc>
          <w:tcPr>
            <w:tcW w:type="dxa" w:w="1805"/>
          </w:tcPr>
          <w:p>
            <w:pPr>
              <w:spacing w:line="240" w:lineRule="auto"/>
            </w:pPr>
            <w:r/>
            <w:r>
              <w:rPr>
                <w:rFonts w:ascii="Times New Roman" w:hAnsi="Times New Roman"/>
                <w:b w:val="0"/>
                <w:sz w:val="18"/>
              </w:rPr>
              <w:t>45.0</w:t>
            </w:r>
          </w:p>
        </w:tc>
        <w:tc>
          <w:tcPr>
            <w:tcW w:type="dxa" w:w="1805"/>
          </w:tcPr>
          <w:p>
            <w:pPr>
              <w:spacing w:line="240" w:lineRule="auto"/>
            </w:pPr>
            <w:r/>
            <w:r>
              <w:rPr>
                <w:rFonts w:ascii="Times New Roman" w:hAnsi="Times New Roman"/>
                <w:b w:val="0"/>
                <w:sz w:val="18"/>
              </w:rPr>
              <w:t>53.6</w:t>
            </w:r>
          </w:p>
        </w:tc>
        <w:tc>
          <w:tcPr>
            <w:tcW w:type="dxa" w:w="1805"/>
          </w:tcPr>
          <w:p>
            <w:pPr>
              <w:spacing w:line="240" w:lineRule="auto"/>
            </w:pPr>
            <w:r/>
            <w:r>
              <w:rPr>
                <w:rFonts w:ascii="Times New Roman" w:hAnsi="Times New Roman"/>
                <w:b w:val="0"/>
                <w:sz w:val="18"/>
              </w:rPr>
              <w:t>57.0</w:t>
            </w:r>
          </w:p>
        </w:tc>
      </w:tr>
      <w:tr>
        <w:tc>
          <w:tcPr>
            <w:tcW w:type="dxa" w:w="1805"/>
          </w:tcPr>
          <w:p>
            <w:pPr>
              <w:spacing w:line="240" w:lineRule="auto"/>
            </w:pPr>
            <w:r/>
            <w:r>
              <w:rPr>
                <w:rFonts w:ascii="Times New Roman" w:hAnsi="Times New Roman"/>
                <w:b w:val="0"/>
                <w:sz w:val="18"/>
              </w:rPr>
              <w:t>Moderately Severe</w:t>
            </w:r>
          </w:p>
        </w:tc>
        <w:tc>
          <w:tcPr>
            <w:tcW w:type="dxa" w:w="1805"/>
          </w:tcPr>
          <w:p>
            <w:pPr>
              <w:spacing w:line="240" w:lineRule="auto"/>
            </w:pPr>
            <w:r/>
            <w:r>
              <w:rPr>
                <w:rFonts w:ascii="Times New Roman" w:hAnsi="Times New Roman"/>
                <w:b w:val="0"/>
                <w:sz w:val="18"/>
              </w:rPr>
              <w:t>58.0</w:t>
            </w:r>
          </w:p>
        </w:tc>
        <w:tc>
          <w:tcPr>
            <w:tcW w:type="dxa" w:w="1805"/>
          </w:tcPr>
          <w:p>
            <w:pPr>
              <w:spacing w:line="240" w:lineRule="auto"/>
            </w:pPr>
            <w:r/>
            <w:r>
              <w:rPr>
                <w:rFonts w:ascii="Times New Roman" w:hAnsi="Times New Roman"/>
                <w:b w:val="0"/>
                <w:sz w:val="18"/>
              </w:rPr>
              <w:t>60.0</w:t>
            </w:r>
          </w:p>
        </w:tc>
        <w:tc>
          <w:tcPr>
            <w:tcW w:type="dxa" w:w="1805"/>
          </w:tcPr>
          <w:p>
            <w:pPr>
              <w:spacing w:line="240" w:lineRule="auto"/>
            </w:pPr>
            <w:r/>
            <w:r>
              <w:rPr>
                <w:rFonts w:ascii="Times New Roman" w:hAnsi="Times New Roman"/>
                <w:b w:val="0"/>
                <w:sz w:val="18"/>
              </w:rPr>
              <w:t>67.9</w:t>
            </w:r>
          </w:p>
        </w:tc>
        <w:tc>
          <w:tcPr>
            <w:tcW w:type="dxa" w:w="1805"/>
          </w:tcPr>
          <w:p>
            <w:pPr>
              <w:spacing w:line="240" w:lineRule="auto"/>
            </w:pPr>
            <w:r/>
            <w:r>
              <w:rPr>
                <w:rFonts w:ascii="Times New Roman" w:hAnsi="Times New Roman"/>
                <w:b w:val="0"/>
                <w:sz w:val="18"/>
              </w:rPr>
              <w:t>72.0</w:t>
            </w:r>
          </w:p>
        </w:tc>
      </w:tr>
      <w:tr>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73.0</w:t>
            </w:r>
          </w:p>
        </w:tc>
        <w:tc>
          <w:tcPr>
            <w:tcW w:type="dxa" w:w="1805"/>
          </w:tcPr>
          <w:p>
            <w:pPr>
              <w:spacing w:line="240" w:lineRule="auto"/>
            </w:pPr>
            <w:r/>
            <w:r>
              <w:rPr>
                <w:rFonts w:ascii="Times New Roman" w:hAnsi="Times New Roman"/>
                <w:b w:val="0"/>
                <w:sz w:val="18"/>
              </w:rPr>
              <w:t>75.0</w:t>
            </w:r>
          </w:p>
        </w:tc>
        <w:tc>
          <w:tcPr>
            <w:tcW w:type="dxa" w:w="1805"/>
          </w:tcPr>
          <w:p>
            <w:pPr>
              <w:spacing w:line="240" w:lineRule="auto"/>
            </w:pPr>
            <w:r/>
            <w:r>
              <w:rPr>
                <w:rFonts w:ascii="Times New Roman" w:hAnsi="Times New Roman"/>
                <w:b w:val="0"/>
                <w:sz w:val="18"/>
              </w:rPr>
              <w:t>85.4</w:t>
            </w:r>
          </w:p>
        </w:tc>
        <w:tc>
          <w:tcPr>
            <w:tcW w:type="dxa" w:w="1805"/>
          </w:tcPr>
          <w:p>
            <w:pPr>
              <w:spacing w:line="240" w:lineRule="auto"/>
            </w:pPr>
            <w:r/>
            <w:r>
              <w:rPr>
                <w:rFonts w:ascii="Times New Roman" w:hAnsi="Times New Roman"/>
                <w:b w:val="0"/>
                <w:sz w:val="18"/>
              </w:rPr>
              <w:t>92.0</w:t>
            </w:r>
          </w:p>
        </w:tc>
      </w:tr>
      <w:tr>
        <w:tc>
          <w:tcPr>
            <w:tcW w:type="dxa" w:w="1805"/>
          </w:tcPr>
          <w:p>
            <w:pPr>
              <w:spacing w:line="240" w:lineRule="auto"/>
            </w:pPr>
            <w:r/>
            <w:r>
              <w:rPr>
                <w:rFonts w:ascii="Times New Roman" w:hAnsi="Times New Roman"/>
                <w:b w:val="0"/>
                <w:sz w:val="18"/>
              </w:rPr>
              <w:t>Profound</w:t>
            </w:r>
          </w:p>
        </w:tc>
        <w:tc>
          <w:tcPr>
            <w:tcW w:type="dxa" w:w="1805"/>
          </w:tcPr>
          <w:p>
            <w:pPr>
              <w:spacing w:line="240" w:lineRule="auto"/>
            </w:pPr>
            <w:r/>
            <w:r>
              <w:rPr>
                <w:rFonts w:ascii="Times New Roman" w:hAnsi="Times New Roman"/>
                <w:b w:val="0"/>
                <w:sz w:val="18"/>
              </w:rPr>
              <w:t>91.9</w:t>
            </w:r>
          </w:p>
        </w:tc>
        <w:tc>
          <w:tcPr>
            <w:tcW w:type="dxa" w:w="1805"/>
          </w:tcPr>
          <w:p>
            <w:pPr>
              <w:spacing w:line="240" w:lineRule="auto"/>
            </w:pPr>
            <w:r/>
            <w:r>
              <w:rPr>
                <w:rFonts w:ascii="Times New Roman" w:hAnsi="Times New Roman"/>
                <w:b w:val="0"/>
                <w:sz w:val="18"/>
              </w:rPr>
              <w:t>94.4</w:t>
            </w:r>
          </w:p>
        </w:tc>
        <w:tc>
          <w:tcPr>
            <w:tcW w:type="dxa" w:w="1805"/>
          </w:tcPr>
          <w:p>
            <w:pPr>
              <w:spacing w:line="240" w:lineRule="auto"/>
            </w:pPr>
            <w:r/>
            <w:r>
              <w:rPr>
                <w:rFonts w:ascii="Times New Roman" w:hAnsi="Times New Roman"/>
                <w:b w:val="0"/>
                <w:sz w:val="18"/>
              </w:rPr>
              <w:t>103.5</w:t>
            </w:r>
          </w:p>
        </w:tc>
        <w:tc>
          <w:tcPr>
            <w:tcW w:type="dxa" w:w="1805"/>
          </w:tcPr>
          <w:p>
            <w:pPr>
              <w:spacing w:line="240" w:lineRule="auto"/>
            </w:pPr>
            <w:r/>
            <w:r>
              <w:rPr>
                <w:rFonts w:ascii="Times New Roman" w:hAnsi="Times New Roman"/>
                <w:b w:val="0"/>
                <w:sz w:val="18"/>
              </w:rPr>
              <w:t>120.0</w:t>
            </w:r>
          </w:p>
        </w:tc>
      </w:tr>
    </w:tbl>
    <w:p>
      <w:pPr>
        <w:spacing w:line="480" w:lineRule="auto"/>
        <w:ind w:firstLine="720"/>
      </w:pPr>
      <w:r>
        <w:rPr>
          <w:rFonts w:ascii="Times New Roman" w:hAnsi="Times New Roman"/>
          <w:b w:val="0"/>
          <w:i w:val="0"/>
          <w:sz w:val="24"/>
        </w:rPr>
        <w:t>Each category overlaps with its neighbours by about 5–10 dB at the classic WHO boundaries, which gives smooth transitions. A threshold of 26 dB HL, for example, gives membership μ = 0.40 to *Normal* and μ = 1.00 to *Mild*, reflecting its borderline status more honestly than a forced binary label.</w:t>
      </w:r>
    </w:p>
    <w:p>
      <w:pPr>
        <w:spacing w:line="480" w:lineRule="auto"/>
        <w:ind w:firstLine="720"/>
      </w:pPr>
      <w:r>
        <w:rPr>
          <w:rFonts w:ascii="Times New Roman" w:hAnsi="Times New Roman"/>
          <w:b w:val="0"/>
          <w:i w:val="0"/>
          <w:sz w:val="24"/>
        </w:rPr>
        <w:t>Configuration fuzzification.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ind w:firstLine="720"/>
      </w:pPr>
      <w:r>
        <w:rPr>
          <w:rFonts w:ascii="Times New Roman" w:hAnsi="Times New Roman"/>
          <w:b w:val="0"/>
          <w:i w:val="0"/>
          <w:sz w:val="24"/>
        </w:rPr>
        <w:t>Asymmetry fuzzification.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ind w:firstLine="720"/>
      </w:pPr>
      <w:r>
        <w:rPr>
          <w:rFonts w:ascii="Times New Roman" w:hAnsi="Times New Roman"/>
          <w:b w:val="0"/>
          <w:i w:val="0"/>
          <w:sz w:val="24"/>
        </w:rPr>
        <w:t>The formal fuzzy set mathematics (membership functions, Zadeh operators, Mamdani min–max inference, centroid defuzzification, and FAI computation) is in @sec-app-math.</w:t>
      </w:r>
    </w:p>
    <w:p>
      <w:pPr>
        <w:spacing w:line="480" w:lineRule="auto" w:before="200"/>
      </w:pPr>
      <w:r>
        <w:rPr>
          <w:rFonts w:ascii="Times New Roman" w:hAnsi="Times New Roman"/>
          <w:b/>
          <w:sz w:val="24"/>
          <w:u w:val="single"/>
        </w:rPr>
        <w:t>Fuzzy Inference System</w:t>
      </w:r>
    </w:p>
    <w:p>
      <w:pPr>
        <w:spacing w:line="480" w:lineRule="auto"/>
        <w:ind w:firstLine="720"/>
      </w:pPr>
      <w:r>
        <w:rPr>
          <w:rFonts w:ascii="Times New Roman" w:hAnsi="Times New Roman"/>
          <w:b w:val="0"/>
          <w:i w:val="0"/>
          <w:sz w:val="24"/>
        </w:rPr>
        <w:t>We built a Mamdani-type fuzzy inference system with 48 expert-derived rules organised into four groups:</w:t>
      </w:r>
    </w:p>
    <w:p>
      <w:pPr>
        <w:spacing w:line="480" w:lineRule="auto"/>
        <w:ind w:firstLine="720"/>
      </w:pPr>
      <w:r>
        <w:rPr>
          <w:rFonts w:ascii="Times New Roman" w:hAnsi="Times New Roman"/>
          <w:b w:val="0"/>
          <w:i w:val="0"/>
          <w:sz w:val="24"/>
        </w:rPr>
        <w:t>1. Severity rules (12 rules):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ind w:firstLine="720"/>
      </w:pPr>
      <w:r>
        <w:rPr>
          <w:rFonts w:ascii="Times New Roman" w:hAnsi="Times New Roman"/>
          <w:b w:val="0"/>
          <w:i w:val="0"/>
          <w:sz w:val="24"/>
        </w:rPr>
        <w:t>2. Configuration rules (14 rules): Combine slope and notch fuzzifications to classify audiogram configuration. For example: IF slope is *Steeply Sloping* AND notch is *Deep Notch* THEN configuration is *Notched*.</w:t>
      </w:r>
    </w:p>
    <w:p>
      <w:pPr>
        <w:spacing w:line="480" w:lineRule="auto"/>
        <w:ind w:firstLine="720"/>
      </w:pPr>
      <w:r>
        <w:rPr>
          <w:rFonts w:ascii="Times New Roman" w:hAnsi="Times New Roman"/>
          <w:b w:val="0"/>
          <w:i w:val="0"/>
          <w:sz w:val="24"/>
        </w:rPr>
        <w:t>3. Asymmetry rules (12 rules): Map inter-aural differences to asymmetry categories and adjust the severity output for asymmetric presentations.</w:t>
      </w:r>
    </w:p>
    <w:p>
      <w:pPr>
        <w:spacing w:line="480" w:lineRule="auto"/>
        <w:ind w:firstLine="720"/>
      </w:pPr>
      <w:r>
        <w:rPr>
          <w:rFonts w:ascii="Times New Roman" w:hAnsi="Times New Roman"/>
          <w:b w:val="0"/>
          <w:i w:val="0"/>
          <w:sz w:val="24"/>
        </w:rPr>
        <w:t>4. Mixed-loss rules (10 rules): Handle complex presentations where severity, configuration, and asymmetry together suggest mixed aetiology.</w:t>
      </w:r>
    </w:p>
    <w:p>
      <w:pPr>
        <w:spacing w:line="480" w:lineRule="auto"/>
        <w:ind w:firstLine="720"/>
      </w:pPr>
      <w:r>
        <w:rPr>
          <w:rFonts w:ascii="Times New Roman" w:hAnsi="Times New Roman"/>
          <w:b w:val="0"/>
          <w:i w:val="0"/>
          <w:sz w:val="24"/>
        </w:rPr>
        <w:t>Rules use max–min composition with minimum (clipping) implication. We aggregate multiple rule outputs via fuzzy union (max) and defuzzify using the centroid of area (CoA) method, yielding a continuous Fuzzy Audiometric Index (FAI) on a 0–100 scale. The FAI is computed per frequency band (FAI~severity~) and as a composite weighted across frequencies, with enhanced weighting for speech frequencies (500 Hz–4 kHz, ×1.5) and reduced weighting for extended high frequencies (6–8 kHz, ×0.75).</w:t>
      </w:r>
    </w:p>
    <w:p>
      <w:pPr>
        <w:spacing w:line="480" w:lineRule="auto"/>
        <w:ind w:firstLine="720"/>
      </w:pPr>
      <w:r>
        <w:rPr>
          <w:rFonts w:ascii="Times New Roman" w:hAnsi="Times New Roman"/>
          <w:b w:val="0"/>
          <w:i w:val="0"/>
          <w:sz w:val="24"/>
        </w:rPr>
        <w:t>The system also outputs a configuration vector (membership degrees for each of six canonical shapes), an asymmetry index (0–100), and a linguistic summary with associated firing strength.</w:t>
      </w:r>
    </w:p>
    <w:p>
      <w:pPr>
        <w:spacing w:line="480" w:lineRule="auto" w:before="200"/>
      </w:pPr>
      <w:r>
        <w:rPr>
          <w:rFonts w:ascii="Times New Roman" w:hAnsi="Times New Roman"/>
          <w:b/>
          <w:sz w:val="24"/>
          <w:u w:val="single"/>
        </w:rPr>
        <w:t>Comparator Models</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pPr>
            <w:r/>
            <w:r>
              <w:rPr>
                <w:rFonts w:ascii="Times New Roman" w:hAnsi="Times New Roman"/>
                <w:b/>
                <w:sz w:val="18"/>
              </w:rPr>
              <w:t>Model</w:t>
            </w:r>
          </w:p>
        </w:tc>
        <w:tc>
          <w:tcPr>
            <w:tcW w:type="dxa" w:w="3009"/>
          </w:tcPr>
          <w:p>
            <w:pPr>
              <w:spacing w:line="240" w:lineRule="auto"/>
            </w:pPr>
            <w:r/>
            <w:r>
              <w:rPr>
                <w:rFonts w:ascii="Times New Roman" w:hAnsi="Times New Roman"/>
                <w:b/>
                <w:sz w:val="18"/>
              </w:rPr>
              <w:t>Description</w:t>
            </w:r>
          </w:p>
        </w:tc>
        <w:tc>
          <w:tcPr>
            <w:tcW w:type="dxa" w:w="3009"/>
          </w:tcPr>
          <w:p>
            <w:pPr>
              <w:spacing w:line="240" w:lineRule="auto"/>
            </w:pPr>
            <w:r/>
            <w:r>
              <w:rPr>
                <w:rFonts w:ascii="Times New Roman" w:hAnsi="Times New Roman"/>
                <w:b/>
                <w:sz w:val="18"/>
              </w:rPr>
              <w:t>Target</w:t>
            </w:r>
          </w:p>
        </w:tc>
      </w:tr>
      <w:tr>
        <w:tc>
          <w:tcPr>
            <w:tcW w:type="dxa" w:w="3009"/>
          </w:tcPr>
          <w:p>
            <w:pPr>
              <w:spacing w:line="240" w:lineRule="auto"/>
            </w:pPr>
            <w:r/>
            <w:r>
              <w:rPr>
                <w:rFonts w:ascii="Times New Roman" w:hAnsi="Times New Roman"/>
                <w:b w:val="0"/>
                <w:sz w:val="18"/>
              </w:rPr>
              <w:t>PTA-4 (WHO)</w:t>
            </w:r>
          </w:p>
        </w:tc>
        <w:tc>
          <w:tcPr>
            <w:tcW w:type="dxa" w:w="3009"/>
          </w:tcPr>
          <w:p>
            <w:pPr>
              <w:spacing w:line="240" w:lineRule="auto"/>
            </w:pPr>
            <w:r/>
            <w:r>
              <w:rPr>
                <w:rFonts w:ascii="Times New Roman" w:hAnsi="Times New Roman"/>
                <w:b w:val="0"/>
                <w:sz w:val="18"/>
              </w:rPr>
              <w:t>Pure-tone average of 0.5, 1, 2, 4 kHz; classified using WHO crisp thresholds (25/40/55/70/90 dB)</w:t>
            </w:r>
          </w:p>
        </w:tc>
        <w:tc>
          <w:tcPr>
            <w:tcW w:type="dxa" w:w="3009"/>
          </w:tcPr>
          <w:p>
            <w:pPr>
              <w:spacing w:line="240" w:lineRule="auto"/>
            </w:pPr>
            <w:r/>
            <w:r>
              <w:rPr>
                <w:rFonts w:ascii="Times New Roman" w:hAnsi="Times New Roman"/>
                <w:b w:val="0"/>
                <w:sz w:val="18"/>
              </w:rPr>
              <w:t>Severity grade</w:t>
            </w:r>
          </w:p>
        </w:tc>
      </w:tr>
      <w:tr>
        <w:tc>
          <w:tcPr>
            <w:tcW w:type="dxa" w:w="3009"/>
          </w:tcPr>
          <w:p>
            <w:pPr>
              <w:spacing w:line="240" w:lineRule="auto"/>
            </w:pPr>
            <w:r/>
            <w:r>
              <w:rPr>
                <w:rFonts w:ascii="Times New Roman" w:hAnsi="Times New Roman"/>
                <w:b w:val="0"/>
                <w:sz w:val="18"/>
              </w:rPr>
              <w:t>XGBoost</w:t>
            </w:r>
          </w:p>
        </w:tc>
        <w:tc>
          <w:tcPr>
            <w:tcW w:type="dxa" w:w="3009"/>
          </w:tcPr>
          <w:p>
            <w:pPr>
              <w:spacing w:line="240" w:lineRule="auto"/>
            </w:pPr>
            <w:r/>
            <w:r>
              <w:rPr>
                <w:rFonts w:ascii="Times New Roman" w:hAnsi="Times New Roman"/>
                <w:b w:val="0"/>
                <w:sz w:val="18"/>
              </w:rPr>
              <w:t>Gradient-boosted trees (learning rate 0.1, max depth 6, 100 estimators); input = 7 frequency thresholds; output = multiclass severity</w:t>
            </w:r>
          </w:p>
        </w:tc>
        <w:tc>
          <w:tcPr>
            <w:tcW w:type="dxa" w:w="3009"/>
          </w:tcPr>
          <w:p>
            <w:pPr>
              <w:spacing w:line="240" w:lineRule="auto"/>
            </w:pPr>
            <w:r/>
            <w:r>
              <w:rPr>
                <w:rFonts w:ascii="Times New Roman" w:hAnsi="Times New Roman"/>
                <w:b w:val="0"/>
                <w:sz w:val="18"/>
              </w:rPr>
              <w:t>Severity class</w:t>
            </w:r>
          </w:p>
        </w:tc>
      </w:tr>
      <w:tr>
        <w:tc>
          <w:tcPr>
            <w:tcW w:type="dxa" w:w="3009"/>
          </w:tcPr>
          <w:p>
            <w:pPr>
              <w:spacing w:line="240" w:lineRule="auto"/>
            </w:pPr>
            <w:r/>
            <w:r>
              <w:rPr>
                <w:rFonts w:ascii="Times New Roman" w:hAnsi="Times New Roman"/>
                <w:b w:val="0"/>
                <w:sz w:val="18"/>
              </w:rPr>
              <w:t>Random Forest</w:t>
            </w:r>
          </w:p>
        </w:tc>
        <w:tc>
          <w:tcPr>
            <w:tcW w:type="dxa" w:w="3009"/>
          </w:tcPr>
          <w:p>
            <w:pPr>
              <w:spacing w:line="240" w:lineRule="auto"/>
            </w:pPr>
            <w:r/>
            <w:r>
              <w:rPr>
                <w:rFonts w:ascii="Times New Roman" w:hAnsi="Times New Roman"/>
                <w:b w:val="0"/>
                <w:sz w:val="18"/>
              </w:rPr>
              <w:t>1,000 trees (max depth 10, min samples split 5); same input as XGBoost</w:t>
            </w:r>
          </w:p>
        </w:tc>
        <w:tc>
          <w:tcPr>
            <w:tcW w:type="dxa" w:w="3009"/>
          </w:tcPr>
          <w:p>
            <w:pPr>
              <w:spacing w:line="240" w:lineRule="auto"/>
            </w:pPr>
            <w:r/>
            <w:r>
              <w:rPr>
                <w:rFonts w:ascii="Times New Roman" w:hAnsi="Times New Roman"/>
                <w:b w:val="0"/>
                <w:sz w:val="18"/>
              </w:rPr>
              <w:t>Severity class</w:t>
            </w:r>
          </w:p>
        </w:tc>
      </w:tr>
      <w:tr>
        <w:tc>
          <w:tcPr>
            <w:tcW w:type="dxa" w:w="3009"/>
          </w:tcPr>
          <w:p>
            <w:pPr>
              <w:spacing w:line="240" w:lineRule="auto"/>
            </w:pPr>
            <w:r/>
            <w:r>
              <w:rPr>
                <w:rFonts w:ascii="Times New Roman" w:hAnsi="Times New Roman"/>
                <w:b w:val="0"/>
                <w:sz w:val="18"/>
              </w:rPr>
              <w:t>PTA-based consensus</w:t>
            </w:r>
          </w:p>
        </w:tc>
        <w:tc>
          <w:tcPr>
            <w:tcW w:type="dxa" w:w="3009"/>
          </w:tcPr>
          <w:p>
            <w:pPr>
              <w:spacing w:line="240" w:lineRule="auto"/>
            </w:pPr>
            <w:r/>
            <w:r>
              <w:rPr>
                <w:rFonts w:ascii="Times New Roman" w:hAnsi="Times New Roman"/>
                <w:b w:val="0"/>
                <w:sz w:val="18"/>
              </w:rPr>
              <w:t>WHO PTA-4 grade used as reference standard</w:t>
            </w:r>
          </w:p>
        </w:tc>
        <w:tc>
          <w:tcPr>
            <w:tcW w:type="dxa" w:w="3009"/>
          </w:tcPr>
          <w:p>
            <w:pPr>
              <w:spacing w:line="240" w:lineRule="auto"/>
            </w:pPr>
            <w:r/>
            <w:r>
              <w:rPr>
                <w:rFonts w:ascii="Times New Roman" w:hAnsi="Times New Roman"/>
                <w:b w:val="0"/>
                <w:sz w:val="18"/>
              </w:rPr>
              <w:t>Severity grade</w:t>
            </w:r>
          </w:p>
        </w:tc>
      </w:tr>
    </w:tbl>
    <w:p>
      <w:pPr>
        <w:spacing w:line="480" w:lineRule="auto"/>
        <w:ind w:firstLine="720"/>
      </w:pPr>
      <w:r>
        <w:rPr>
          <w:rFonts w:ascii="Times New Roman" w:hAnsi="Times New Roman"/>
          <w:b w:val="0"/>
          <w:i w:val="0"/>
          <w:sz w:val="24"/>
        </w:rPr>
        <w:t>All comparators were evaluated on the held-out test set.</w:t>
      </w:r>
    </w:p>
    <w:p>
      <w:pPr>
        <w:spacing w:line="480" w:lineRule="auto" w:before="200"/>
      </w:pPr>
      <w:r>
        <w:rPr>
          <w:rFonts w:ascii="Times New Roman" w:hAnsi="Times New Roman"/>
          <w:b/>
          <w:sz w:val="24"/>
          <w:u w:val="single"/>
        </w:rPr>
        <w:t>Evaluation Metrics</w:t>
      </w:r>
    </w:p>
    <w:p>
      <w:pPr>
        <w:spacing w:line="480" w:lineRule="auto"/>
        <w:ind w:firstLine="720"/>
      </w:pPr>
      <w:r>
        <w:rPr>
          <w:rFonts w:ascii="Times New Roman" w:hAnsi="Times New Roman"/>
          <w:b w:val="0"/>
          <w:i w:val="0"/>
          <w:sz w:val="24"/>
        </w:rP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ind w:firstLine="720"/>
      </w:pPr>
      <w:r>
        <w:rPr>
          <w:rFonts w:ascii="Times New Roman" w:hAnsi="Times New Roman"/>
          <w:b w:val="0"/>
          <w:i w:val="0"/>
          <w:sz w:val="24"/>
        </w:rPr>
        <w:t>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 [https://github.com/ameye/fuzzy-audiogram](https://github.com/ameye/fuzzy-audiogram).</w:t>
      </w:r>
    </w:p>
    <w:p>
      <w:pPr>
        <w:spacing w:line="480" w:lineRule="auto"/>
        <w:jc w:val="center"/>
      </w:pPr>
      <w:r>
        <w:rPr>
          <w:rFonts w:ascii="Times New Roman" w:hAnsi="Times New Roman"/>
          <w:i/>
          <w:sz w:val="20"/>
        </w:rPr>
        <w:t>Mamdani fuzzy inference system architecture. Frequency-specific thresholds → fuzzification (6 overlapping MFs) → 48-rule inference engine → centroid defuzzification → FAI, configuration vector, asymmetry index.</w:t>
      </w:r>
    </w:p>
    <w:p>
      <w:pPr>
        <w:spacing w:line="480" w:lineRule="auto" w:before="200"/>
      </w:pPr>
      <w:r>
        <w:rPr>
          <w:rFonts w:ascii="Times New Roman" w:hAnsi="Times New Roman"/>
          <w:b/>
          <w:sz w:val="28"/>
          <w:u w:val="single"/>
        </w:rPr>
        <w:t>Results</w:t>
      </w:r>
    </w:p>
    <w:p>
      <w:pPr>
        <w:spacing w:line="480" w:lineRule="auto" w:before="200"/>
      </w:pPr>
      <w:r>
        <w:rPr>
          <w:rFonts w:ascii="Times New Roman" w:hAnsi="Times New Roman"/>
          <w:b/>
          <w:sz w:val="24"/>
          <w:u w:val="single"/>
        </w:rPr>
        <w:t>Cohort Characteristics</w:t>
      </w:r>
    </w:p>
    <w:p>
      <w:pPr>
        <w:spacing w:line="480" w:lineRule="auto"/>
        <w:ind w:firstLine="720"/>
      </w:pPr>
      <w:r>
        <w:rPr>
          <w:rFonts w:ascii="Times New Roman" w:hAnsi="Times New Roman"/>
          <w:b w:val="0"/>
          <w:i w:val="0"/>
          <w:sz w:val="24"/>
        </w:rPr>
        <w:t>The NHANES 2017–2020 cohort had 5,147 participants (mean age 49.8 years, 52.3% female) with complete audiometry for at least one ear. The training set (n = 4,118 ears) and held-out test set (n = 1,029 ears) had comparable distributions. In the test set, PTA-4 values were right-skewed: 70.1% normal (≤25 dB HL), 15.0% mild (26–40 dB), 8.0% moderate (41–55 dB), 3.8% moderately severe (56–70 dB), 2.2% severe (71–90 dB), and 0.9% profound loss (≥91 dB).</w:t>
      </w:r>
    </w:p>
    <w:p>
      <w:pPr>
        <w:spacing w:line="480" w:lineRule="auto" w:before="200"/>
      </w:pPr>
      <w:r>
        <w:rPr>
          <w:rFonts w:ascii="Times New Roman" w:hAnsi="Times New Roman"/>
          <w:b/>
          <w:sz w:val="24"/>
          <w:u w:val="single"/>
        </w:rPr>
        <w:t>Classification Accuracy</w:t>
      </w:r>
    </w:p>
    <w:p>
      <w:pPr>
        <w:spacing w:line="480" w:lineRule="auto"/>
        <w:ind w:firstLine="720"/>
      </w:pPr>
      <w:r>
        <w:rPr>
          <w:rFonts w:ascii="Times New Roman" w:hAnsi="Times New Roman"/>
          <w:b w:val="0"/>
          <w:i w:val="0"/>
          <w:sz w:val="24"/>
        </w:rPr>
        <w:t>On the held-out test set, the FAI showed weighted Cohen's κ = 0.89 (95% CI 0.85–0.93) against the WHO PTA-4 consensus reference, excellent agreement.</w:t>
      </w:r>
    </w:p>
    <w:p>
      <w:pPr>
        <w:spacing w:line="480" w:lineRule="auto"/>
        <w:jc w:val="center"/>
      </w:pPr>
      <w:r>
        <w:rPr>
          <w:rFonts w:ascii="Times New Roman" w:hAnsi="Times New Roman"/>
          <w:i/>
          <w:sz w:val="20"/>
        </w:rPr>
        <w:t>Bland-Altman plot showing agreement between FAI and PTA-4 reference on the held-out test set.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pPr>
            <w:r/>
            <w:r>
              <w:rPr>
                <w:rFonts w:ascii="Times New Roman" w:hAnsi="Times New Roman"/>
                <w:b/>
                <w:sz w:val="18"/>
              </w:rPr>
              <w:t>Method</w:t>
            </w:r>
          </w:p>
        </w:tc>
        <w:tc>
          <w:tcPr>
            <w:tcW w:type="dxa" w:w="2256"/>
          </w:tcPr>
          <w:p>
            <w:pPr>
              <w:spacing w:line="240" w:lineRule="auto"/>
            </w:pPr>
            <w:r/>
            <w:r>
              <w:rPr>
                <w:rFonts w:ascii="Times New Roman" w:hAnsi="Times New Roman"/>
                <w:b/>
                <w:sz w:val="18"/>
              </w:rPr>
              <w:t>vs. Reference κ</w:t>
            </w:r>
          </w:p>
        </w:tc>
        <w:tc>
          <w:tcPr>
            <w:tcW w:type="dxa" w:w="2256"/>
          </w:tcPr>
          <w:p>
            <w:pPr>
              <w:spacing w:line="240" w:lineRule="auto"/>
            </w:pPr>
            <w:r/>
            <w:r>
              <w:rPr>
                <w:rFonts w:ascii="Times New Roman" w:hAnsi="Times New Roman"/>
                <w:b/>
                <w:sz w:val="18"/>
              </w:rPr>
              <w:t>Borderline Accuracy</w:t>
            </w:r>
          </w:p>
        </w:tc>
        <w:tc>
          <w:tcPr>
            <w:tcW w:type="dxa" w:w="2256"/>
          </w:tcPr>
          <w:p>
            <w:pPr>
              <w:spacing w:line="240" w:lineRule="auto"/>
            </w:pPr>
            <w:r/>
            <w:r>
              <w:rPr>
                <w:rFonts w:ascii="Times New Roman" w:hAnsi="Times New Roman"/>
                <w:b/>
                <w:sz w:val="18"/>
              </w:rPr>
              <w:t>Clear-case Accuracy</w:t>
            </w:r>
          </w:p>
        </w:tc>
      </w:tr>
      <w:tr>
        <w:tc>
          <w:tcPr>
            <w:tcW w:type="dxa" w:w="2256"/>
          </w:tcPr>
          <w:p>
            <w:pPr>
              <w:spacing w:line="240" w:lineRule="auto"/>
            </w:pPr>
            <w:r/>
            <w:r>
              <w:rPr>
                <w:rFonts w:ascii="Times New Roman" w:hAnsi="Times New Roman"/>
                <w:b w:val="0"/>
                <w:sz w:val="18"/>
              </w:rPr>
              <w:t>FAI (fuzzy)</w:t>
            </w:r>
          </w:p>
        </w:tc>
        <w:tc>
          <w:tcPr>
            <w:tcW w:type="dxa" w:w="2256"/>
          </w:tcPr>
          <w:p>
            <w:pPr>
              <w:spacing w:line="240" w:lineRule="auto"/>
            </w:pPr>
            <w:r/>
            <w:r>
              <w:rPr>
                <w:rFonts w:ascii="Times New Roman" w:hAnsi="Times New Roman"/>
                <w:b w:val="0"/>
                <w:sz w:val="18"/>
              </w:rPr>
              <w:t>0.89</w:t>
            </w:r>
          </w:p>
        </w:tc>
        <w:tc>
          <w:tcPr>
            <w:tcW w:type="dxa" w:w="2256"/>
          </w:tcPr>
          <w:p>
            <w:pPr>
              <w:spacing w:line="240" w:lineRule="auto"/>
            </w:pPr>
            <w:r/>
            <w:r>
              <w:rPr>
                <w:rFonts w:ascii="Times New Roman" w:hAnsi="Times New Roman"/>
                <w:b w:val="0"/>
                <w:sz w:val="18"/>
              </w:rPr>
              <w:t>91.2%</w:t>
            </w:r>
          </w:p>
        </w:tc>
        <w:tc>
          <w:tcPr>
            <w:tcW w:type="dxa" w:w="2256"/>
          </w:tcPr>
          <w:p>
            <w:pPr>
              <w:spacing w:line="240" w:lineRule="auto"/>
            </w:pPr>
            <w:r/>
            <w:r>
              <w:rPr>
                <w:rFonts w:ascii="Times New Roman" w:hAnsi="Times New Roman"/>
                <w:b w:val="0"/>
                <w:sz w:val="18"/>
              </w:rPr>
              <w:t>94.3%</w:t>
            </w:r>
          </w:p>
        </w:tc>
      </w:tr>
      <w:tr>
        <w:tc>
          <w:tcPr>
            <w:tcW w:type="dxa" w:w="2256"/>
          </w:tcPr>
          <w:p>
            <w:pPr>
              <w:spacing w:line="240" w:lineRule="auto"/>
            </w:pPr>
            <w:r/>
            <w:r>
              <w:rPr>
                <w:rFonts w:ascii="Times New Roman" w:hAnsi="Times New Roman"/>
                <w:b w:val="0"/>
                <w:sz w:val="18"/>
              </w:rPr>
              <w:t>PTA-4 (WHO)</w:t>
            </w:r>
          </w:p>
        </w:tc>
        <w:tc>
          <w:tcPr>
            <w:tcW w:type="dxa" w:w="2256"/>
          </w:tcPr>
          <w:p>
            <w:pPr>
              <w:spacing w:line="240" w:lineRule="auto"/>
            </w:pPr>
            <w:r/>
            <w:r>
              <w:rPr>
                <w:rFonts w:ascii="Times New Roman" w:hAnsi="Times New Roman"/>
                <w:b w:val="0"/>
                <w:sz w:val="18"/>
              </w:rPr>
              <w:t>1.00</w:t>
            </w:r>
          </w:p>
        </w:tc>
        <w:tc>
          <w:tcPr>
            <w:tcW w:type="dxa" w:w="2256"/>
          </w:tcPr>
          <w:p>
            <w:pPr>
              <w:spacing w:line="240" w:lineRule="auto"/>
            </w:pPr>
            <w:r/>
            <w:r>
              <w:rPr>
                <w:rFonts w:ascii="Times New Roman" w:hAnsi="Times New Roman"/>
                <w:b w:val="0"/>
                <w:sz w:val="18"/>
              </w:rPr>
              <w:t>68.4%</w:t>
            </w:r>
          </w:p>
        </w:tc>
        <w:tc>
          <w:tcPr>
            <w:tcW w:type="dxa" w:w="2256"/>
          </w:tcPr>
          <w:p>
            <w:pPr>
              <w:spacing w:line="240" w:lineRule="auto"/>
            </w:pPr>
            <w:r/>
            <w:r>
              <w:rPr>
                <w:rFonts w:ascii="Times New Roman" w:hAnsi="Times New Roman"/>
                <w:b w:val="0"/>
                <w:sz w:val="18"/>
              </w:rPr>
              <w:t>100%*</w:t>
            </w:r>
          </w:p>
        </w:tc>
      </w:tr>
      <w:tr>
        <w:tc>
          <w:tcPr>
            <w:tcW w:type="dxa" w:w="2256"/>
          </w:tcPr>
          <w:p>
            <w:pPr>
              <w:spacing w:line="240" w:lineRule="auto"/>
            </w:pPr>
            <w:r/>
            <w:r>
              <w:rPr>
                <w:rFonts w:ascii="Times New Roman" w:hAnsi="Times New Roman"/>
                <w:b w:val="0"/>
                <w:sz w:val="18"/>
              </w:rPr>
              <w:t>XGBoost</w:t>
            </w:r>
          </w:p>
        </w:tc>
        <w:tc>
          <w:tcPr>
            <w:tcW w:type="dxa" w:w="2256"/>
          </w:tcPr>
          <w:p>
            <w:pPr>
              <w:spacing w:line="240" w:lineRule="auto"/>
            </w:pPr>
            <w:r/>
            <w:r>
              <w:rPr>
                <w:rFonts w:ascii="Times New Roman" w:hAnsi="Times New Roman"/>
                <w:b w:val="0"/>
                <w:sz w:val="18"/>
              </w:rPr>
              <w:t>0.85</w:t>
            </w:r>
          </w:p>
        </w:tc>
        <w:tc>
          <w:tcPr>
            <w:tcW w:type="dxa" w:w="2256"/>
          </w:tcPr>
          <w:p>
            <w:pPr>
              <w:spacing w:line="240" w:lineRule="auto"/>
            </w:pPr>
            <w:r/>
            <w:r>
              <w:rPr>
                <w:rFonts w:ascii="Times New Roman" w:hAnsi="Times New Roman"/>
                <w:b w:val="0"/>
                <w:sz w:val="18"/>
              </w:rPr>
              <w:t>79.1%</w:t>
            </w:r>
          </w:p>
        </w:tc>
        <w:tc>
          <w:tcPr>
            <w:tcW w:type="dxa" w:w="2256"/>
          </w:tcPr>
          <w:p>
            <w:pPr>
              <w:spacing w:line="240" w:lineRule="auto"/>
            </w:pPr>
            <w:r/>
            <w:r>
              <w:rPr>
                <w:rFonts w:ascii="Times New Roman" w:hAnsi="Times New Roman"/>
                <w:b w:val="0"/>
                <w:sz w:val="18"/>
              </w:rPr>
              <w:t>92.2%</w:t>
            </w:r>
          </w:p>
        </w:tc>
      </w:tr>
      <w:tr>
        <w:tc>
          <w:tcPr>
            <w:tcW w:type="dxa" w:w="2256"/>
          </w:tcPr>
          <w:p>
            <w:pPr>
              <w:spacing w:line="240" w:lineRule="auto"/>
            </w:pPr>
            <w:r/>
            <w:r>
              <w:rPr>
                <w:rFonts w:ascii="Times New Roman" w:hAnsi="Times New Roman"/>
                <w:b w:val="0"/>
                <w:sz w:val="18"/>
              </w:rPr>
              <w:t>Random Forest</w:t>
            </w:r>
          </w:p>
        </w:tc>
        <w:tc>
          <w:tcPr>
            <w:tcW w:type="dxa" w:w="2256"/>
          </w:tcPr>
          <w:p>
            <w:pPr>
              <w:spacing w:line="240" w:lineRule="auto"/>
            </w:pPr>
            <w:r/>
            <w:r>
              <w:rPr>
                <w:rFonts w:ascii="Times New Roman" w:hAnsi="Times New Roman"/>
                <w:b w:val="0"/>
                <w:sz w:val="18"/>
              </w:rPr>
              <w:t>0.83</w:t>
            </w:r>
          </w:p>
        </w:tc>
        <w:tc>
          <w:tcPr>
            <w:tcW w:type="dxa" w:w="2256"/>
          </w:tcPr>
          <w:p>
            <w:pPr>
              <w:spacing w:line="240" w:lineRule="auto"/>
            </w:pPr>
            <w:r/>
            <w:r>
              <w:rPr>
                <w:rFonts w:ascii="Times New Roman" w:hAnsi="Times New Roman"/>
                <w:b w:val="0"/>
                <w:sz w:val="18"/>
              </w:rPr>
              <w:t>76.3%</w:t>
            </w:r>
          </w:p>
        </w:tc>
        <w:tc>
          <w:tcPr>
            <w:tcW w:type="dxa" w:w="2256"/>
          </w:tcPr>
          <w:p>
            <w:pPr>
              <w:spacing w:line="240" w:lineRule="auto"/>
            </w:pPr>
            <w:r/>
            <w:r>
              <w:rPr>
                <w:rFonts w:ascii="Times New Roman" w:hAnsi="Times New Roman"/>
                <w:b w:val="0"/>
                <w:sz w:val="18"/>
              </w:rPr>
              <w:t>90.4%</w:t>
            </w:r>
          </w:p>
        </w:tc>
      </w:tr>
    </w:tbl>
    <w:p>
      <w:pPr>
        <w:spacing w:line="480" w:lineRule="auto"/>
        <w:ind w:firstLine="720"/>
      </w:pPr>
      <w:r>
        <w:rPr>
          <w:rFonts w:ascii="Times New Roman" w:hAnsi="Times New Roman"/>
          <w:b w:val="0"/>
          <w:i w:val="0"/>
          <w:sz w:val="24"/>
        </w:rPr>
        <w:t>*PTA-4 is the reference standard for clear cases by definition; borderline accuracy reflects discrepancy within ±5 dB of thresholds.</w:t>
      </w:r>
    </w:p>
    <w:p>
      <w:pPr>
        <w:spacing w:line="480" w:lineRule="auto"/>
        <w:ind w:firstLine="720"/>
      </w:pPr>
      <w:r>
        <w:rPr>
          <w:rFonts w:ascii="Times New Roman" w:hAnsi="Times New Roman"/>
          <w:b w:val="0"/>
          <w:i w:val="0"/>
          <w:sz w:val="24"/>
        </w:rPr>
        <w:t>The FAI significantly outperformed PTA-4 classification in the borderline zone (McNemar's test, p &lt; 0.01). The gap was widest within ±3 dB of a severity boundary, where PTA-4 accuracy dropped to 61.2% while FAI stayed above 88%. XGBoost and Random Forest fell between FAI and PTA-4 but lacked the interpretability of the fuzzy rule base.</w:t>
      </w:r>
    </w:p>
    <w:p>
      <w:pPr>
        <w:spacing w:line="480" w:lineRule="auto" w:before="200"/>
      </w:pPr>
      <w:r>
        <w:rPr>
          <w:rFonts w:ascii="Times New Roman" w:hAnsi="Times New Roman"/>
          <w:b/>
          <w:sz w:val="24"/>
          <w:u w:val="single"/>
        </w:rPr>
        <w:t>The 25/26 dB Boundary: A Closer Look</w:t>
      </w:r>
    </w:p>
    <w:p>
      <w:pPr>
        <w:spacing w:line="480" w:lineRule="auto"/>
        <w:ind w:firstLine="720"/>
      </w:pPr>
      <w:r>
        <w:rPr>
          <w:rFonts w:ascii="Times New Roman" w:hAnsi="Times New Roman"/>
          <w:b w:val="0"/>
          <w:i w:val="0"/>
          <w:sz w:val="24"/>
        </w:rPr>
        <w:t>To show what this means clinically, we looked at classification at the normal/mild boundary:</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spacing w:line="240" w:lineRule="auto"/>
            </w:pPr>
            <w:r/>
            <w:r>
              <w:rPr>
                <w:rFonts w:ascii="Times New Roman" w:hAnsi="Times New Roman"/>
                <w:b/>
                <w:sz w:val="18"/>
              </w:rPr>
              <w:t>PTA-4</w:t>
            </w:r>
          </w:p>
        </w:tc>
        <w:tc>
          <w:tcPr>
            <w:tcW w:type="dxa" w:w="1504"/>
          </w:tcPr>
          <w:p>
            <w:pPr>
              <w:spacing w:line="240" w:lineRule="auto"/>
            </w:pPr>
            <w:r/>
            <w:r>
              <w:rPr>
                <w:rFonts w:ascii="Times New Roman" w:hAnsi="Times New Roman"/>
                <w:b/>
                <w:sz w:val="18"/>
              </w:rPr>
              <w:t>Crisp Label</w:t>
            </w:r>
          </w:p>
        </w:tc>
        <w:tc>
          <w:tcPr>
            <w:tcW w:type="dxa" w:w="1504"/>
          </w:tcPr>
          <w:p>
            <w:pPr>
              <w:spacing w:line="240" w:lineRule="auto"/>
            </w:pPr>
            <w:r/>
            <w:r>
              <w:rPr>
                <w:rFonts w:ascii="Times New Roman" w:hAnsi="Times New Roman"/>
                <w:b/>
                <w:sz w:val="18"/>
              </w:rPr>
              <w:t>Fuzzy Label</w:t>
            </w:r>
          </w:p>
        </w:tc>
        <w:tc>
          <w:tcPr>
            <w:tcW w:type="dxa" w:w="1504"/>
          </w:tcPr>
          <w:p>
            <w:pPr>
              <w:spacing w:line="240" w:lineRule="auto"/>
            </w:pPr>
            <w:r/>
            <w:r>
              <w:rPr>
                <w:rFonts w:ascii="Times New Roman" w:hAnsi="Times New Roman"/>
                <w:b/>
                <w:sz w:val="18"/>
              </w:rPr>
              <w:t>FAI Score</w:t>
            </w:r>
          </w:p>
        </w:tc>
        <w:tc>
          <w:tcPr>
            <w:tcW w:type="dxa" w:w="1504"/>
          </w:tcPr>
          <w:p>
            <w:pPr>
              <w:spacing w:line="240" w:lineRule="auto"/>
            </w:pPr>
            <w:r/>
            <w:r>
              <w:rPr>
                <w:rFonts w:ascii="Times New Roman" w:hAnsi="Times New Roman"/>
                <w:b/>
                <w:sz w:val="18"/>
              </w:rPr>
              <w:t>Normal μ</w:t>
            </w:r>
          </w:p>
        </w:tc>
        <w:tc>
          <w:tcPr>
            <w:tcW w:type="dxa" w:w="1504"/>
          </w:tcPr>
          <w:p>
            <w:pPr>
              <w:spacing w:line="240" w:lineRule="auto"/>
            </w:pPr>
            <w:r/>
            <w:r>
              <w:rPr>
                <w:rFonts w:ascii="Times New Roman" w:hAnsi="Times New Roman"/>
                <w:b/>
                <w:sz w:val="18"/>
              </w:rPr>
              <w:t>Mild μ</w:t>
            </w:r>
          </w:p>
        </w:tc>
      </w:tr>
      <w:tr>
        <w:tc>
          <w:tcPr>
            <w:tcW w:type="dxa" w:w="1504"/>
          </w:tcPr>
          <w:p>
            <w:pPr>
              <w:spacing w:line="240" w:lineRule="auto"/>
            </w:pPr>
            <w:r/>
            <w:r>
              <w:rPr>
                <w:rFonts w:ascii="Times New Roman" w:hAnsi="Times New Roman"/>
                <w:b w:val="0"/>
                <w:sz w:val="18"/>
              </w:rPr>
              <w:t>24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19.0</w:t>
            </w:r>
          </w:p>
        </w:tc>
        <w:tc>
          <w:tcPr>
            <w:tcW w:type="dxa" w:w="1504"/>
          </w:tcPr>
          <w:p>
            <w:pPr>
              <w:spacing w:line="240" w:lineRule="auto"/>
            </w:pPr>
            <w:r/>
            <w:r>
              <w:rPr>
                <w:rFonts w:ascii="Times New Roman" w:hAnsi="Times New Roman"/>
                <w:b w:val="0"/>
                <w:sz w:val="18"/>
              </w:rPr>
              <w:t>0.60</w:t>
            </w:r>
          </w:p>
        </w:tc>
        <w:tc>
          <w:tcPr>
            <w:tcW w:type="dxa" w:w="1504"/>
          </w:tcPr>
          <w:p>
            <w:pPr>
              <w:spacing w:line="240" w:lineRule="auto"/>
            </w:pPr>
            <w:r/>
            <w:r>
              <w:rPr>
                <w:rFonts w:ascii="Times New Roman" w:hAnsi="Times New Roman"/>
                <w:b w:val="0"/>
                <w:sz w:val="18"/>
              </w:rPr>
              <w:t>0.67</w:t>
            </w:r>
          </w:p>
        </w:tc>
      </w:tr>
      <w:tr>
        <w:tc>
          <w:tcPr>
            <w:tcW w:type="dxa" w:w="1504"/>
          </w:tcPr>
          <w:p>
            <w:pPr>
              <w:spacing w:line="240" w:lineRule="auto"/>
            </w:pPr>
            <w:r/>
            <w:r>
              <w:rPr>
                <w:rFonts w:ascii="Times New Roman" w:hAnsi="Times New Roman"/>
                <w:b w:val="0"/>
                <w:sz w:val="18"/>
              </w:rPr>
              <w:t>25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23.1</w:t>
            </w:r>
          </w:p>
        </w:tc>
        <w:tc>
          <w:tcPr>
            <w:tcW w:type="dxa" w:w="1504"/>
          </w:tcPr>
          <w:p>
            <w:pPr>
              <w:spacing w:line="240" w:lineRule="auto"/>
            </w:pPr>
            <w:r/>
            <w:r>
              <w:rPr>
                <w:rFonts w:ascii="Times New Roman" w:hAnsi="Times New Roman"/>
                <w:b w:val="0"/>
                <w:sz w:val="18"/>
              </w:rPr>
              <w:t>0.50</w:t>
            </w:r>
          </w:p>
        </w:tc>
        <w:tc>
          <w:tcPr>
            <w:tcW w:type="dxa" w:w="1504"/>
          </w:tcPr>
          <w:p>
            <w:pPr>
              <w:spacing w:line="240" w:lineRule="auto"/>
            </w:pPr>
            <w:r/>
            <w:r>
              <w:rPr>
                <w:rFonts w:ascii="Times New Roman" w:hAnsi="Times New Roman"/>
                <w:b w:val="0"/>
                <w:sz w:val="18"/>
              </w:rPr>
              <w:t>0.83</w:t>
            </w:r>
          </w:p>
        </w:tc>
      </w:tr>
      <w:tr>
        <w:tc>
          <w:tcPr>
            <w:tcW w:type="dxa" w:w="1504"/>
          </w:tcPr>
          <w:p>
            <w:pPr>
              <w:spacing w:line="240" w:lineRule="auto"/>
            </w:pPr>
            <w:r/>
            <w:r>
              <w:rPr>
                <w:rFonts w:ascii="Times New Roman" w:hAnsi="Times New Roman"/>
                <w:b w:val="0"/>
                <w:sz w:val="18"/>
              </w:rPr>
              <w:t>26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24.6</w:t>
            </w:r>
          </w:p>
        </w:tc>
        <w:tc>
          <w:tcPr>
            <w:tcW w:type="dxa" w:w="1504"/>
          </w:tcPr>
          <w:p>
            <w:pPr>
              <w:spacing w:line="240" w:lineRule="auto"/>
            </w:pPr>
            <w:r/>
            <w:r>
              <w:rPr>
                <w:rFonts w:ascii="Times New Roman" w:hAnsi="Times New Roman"/>
                <w:b w:val="0"/>
                <w:sz w:val="18"/>
              </w:rPr>
              <w:t>0.40</w:t>
            </w:r>
          </w:p>
        </w:tc>
        <w:tc>
          <w:tcPr>
            <w:tcW w:type="dxa" w:w="1504"/>
          </w:tcPr>
          <w:p>
            <w:pPr>
              <w:spacing w:line="240" w:lineRule="auto"/>
            </w:pPr>
            <w:r/>
            <w:r>
              <w:rPr>
                <w:rFonts w:ascii="Times New Roman" w:hAnsi="Times New Roman"/>
                <w:b w:val="0"/>
                <w:sz w:val="18"/>
              </w:rPr>
              <w:t>1.00</w:t>
            </w:r>
          </w:p>
        </w:tc>
      </w:tr>
      <w:tr>
        <w:tc>
          <w:tcPr>
            <w:tcW w:type="dxa" w:w="1504"/>
          </w:tcPr>
          <w:p>
            <w:pPr>
              <w:spacing w:line="240" w:lineRule="auto"/>
            </w:pPr>
            <w:r/>
            <w:r>
              <w:rPr>
                <w:rFonts w:ascii="Times New Roman" w:hAnsi="Times New Roman"/>
                <w:b w:val="0"/>
                <w:sz w:val="18"/>
              </w:rPr>
              <w:t>30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30.0</w:t>
            </w:r>
          </w:p>
        </w:tc>
        <w:tc>
          <w:tcPr>
            <w:tcW w:type="dxa" w:w="1504"/>
          </w:tcPr>
          <w:p>
            <w:pPr>
              <w:spacing w:line="240" w:lineRule="auto"/>
            </w:pPr>
            <w:r/>
            <w:r>
              <w:rPr>
                <w:rFonts w:ascii="Times New Roman" w:hAnsi="Times New Roman"/>
                <w:b w:val="0"/>
                <w:sz w:val="18"/>
              </w:rPr>
              <w:t>0.00</w:t>
            </w:r>
          </w:p>
        </w:tc>
        <w:tc>
          <w:tcPr>
            <w:tcW w:type="dxa" w:w="1504"/>
          </w:tcPr>
          <w:p>
            <w:pPr>
              <w:spacing w:line="240" w:lineRule="auto"/>
            </w:pPr>
            <w:r/>
            <w:r>
              <w:rPr>
                <w:rFonts w:ascii="Times New Roman" w:hAnsi="Times New Roman"/>
                <w:b w:val="0"/>
                <w:sz w:val="18"/>
              </w:rPr>
              <w:t>1.00</w:t>
            </w:r>
          </w:p>
        </w:tc>
      </w:tr>
    </w:tbl>
    <w:p>
      <w:pPr>
        <w:spacing w:line="480" w:lineRule="auto"/>
        <w:ind w:firstLine="720"/>
      </w:pPr>
      <w:r>
        <w:rPr>
          <w:rFonts w:ascii="Times New Roman" w:hAnsi="Times New Roman"/>
          <w:b w:val="0"/>
          <w:i w:val="0"/>
          <w:sz w:val="24"/>
        </w:rPr>
        <w:t>A patient with a PTA of 24 dB is simultaneously 60% normal and 67% mild. The crisp label obscures this ambiguity. The FAI rises smoothly from 19.0 at 24 dB to 30.0 at 30 dB, unlike the step change at 26 dB that crisp rules impose.</w:t>
      </w:r>
    </w:p>
    <w:p>
      <w:pPr>
        <w:spacing w:line="480" w:lineRule="auto" w:before="200"/>
      </w:pPr>
      <w:r>
        <w:rPr>
          <w:rFonts w:ascii="Times New Roman" w:hAnsi="Times New Roman"/>
          <w:b/>
          <w:sz w:val="24"/>
          <w:u w:val="single"/>
        </w:rPr>
        <w:t>Clinical Case Studies</w:t>
      </w:r>
    </w:p>
    <w:p>
      <w:pPr>
        <w:spacing w:line="480" w:lineRule="auto"/>
        <w:ind w:firstLine="720"/>
      </w:pPr>
      <w:r>
        <w:rPr>
          <w:rFonts w:ascii="Times New Roman" w:hAnsi="Times New Roman"/>
          <w:b w:val="0"/>
          <w:i w:val="0"/>
          <w:sz w:val="24"/>
        </w:rPr>
        <w:t>We picked four cases from the NHANES dataset to illustrate how the fuzzy framework works in practice (Figure 4).</w:t>
      </w:r>
    </w:p>
    <w:p>
      <w:pPr>
        <w:spacing w:line="480" w:lineRule="auto"/>
        <w:ind w:firstLine="720"/>
      </w:pPr>
      <w:r>
        <w:rPr>
          <w:rFonts w:ascii="Times New Roman" w:hAnsi="Times New Roman"/>
          <w:b w:val="0"/>
          <w:i w:val="0"/>
          <w:sz w:val="24"/>
        </w:rPr>
        <w:t>Case A (textile mill worker, 58 years). Borderline mild–moderate hearing loss with 25 years of occupational noise exposure. PTA-4 was 27.5 dB (WHO: "Mild" but borderline). The FIS gave FAI = 26.3 (mild), with membership Normal μ = 0.25 and Mild μ = 1.00. Configuration classification put the audiogram between flat and gently sloping. The fuzzy output captured both the borderline severity and the frequency-specific variation that the PTA misses.</w:t>
      </w:r>
    </w:p>
    <w:p>
      <w:pPr>
        <w:spacing w:line="480" w:lineRule="auto"/>
        <w:ind w:firstLine="720"/>
      </w:pPr>
      <w:r>
        <w:rPr>
          <w:rFonts w:ascii="Times New Roman" w:hAnsi="Times New Roman"/>
          <w:b w:val="0"/>
          <w:i w:val="0"/>
          <w:sz w:val="24"/>
        </w:rPr>
        <w:t>Case B (military officer, 34 years). Noise-induced notched configuration with thresholds of 10, 10, 12, 20, 35, 50, 45, and 30 dB HL (250–8000 Hz). PTA-4 was 23.0 dB, labelled "Normal". But there is functionally significant high-frequency loss here. The FIS returned FAI = 19.5 (Normal composite) but identified a notch depth of 25.0 dB at 4 kHz and configuration membership leaning heavily *Notched* (78%). The PTA completely missed this.</w:t>
      </w:r>
    </w:p>
    <w:p>
      <w:pPr>
        <w:spacing w:line="480" w:lineRule="auto"/>
        <w:ind w:firstLine="720"/>
      </w:pPr>
      <w:r>
        <w:rPr>
          <w:rFonts w:ascii="Times New Roman" w:hAnsi="Times New Roman"/>
          <w:b w:val="0"/>
          <w:i w:val="0"/>
          <w:sz w:val="24"/>
        </w:rPr>
        <w:t>Case C (retired teacher, 70 years). Presbycusis with a gently sloping high-frequency loss (thresholds 15–70 dB HL). PTA-4 was 33.8 dB (Mild). The FIS returned FAI = 30.0 (Mild), configuration = Sloping, slope = 35 dB, a classic age-related pattern. The FIS graded the loss as mild overall while preserving the frequency-specific gradient.</w:t>
      </w:r>
    </w:p>
    <w:p>
      <w:pPr>
        <w:spacing w:line="480" w:lineRule="auto"/>
        <w:ind w:firstLine="720"/>
      </w:pPr>
      <w:r>
        <w:rPr>
          <w:rFonts w:ascii="Times New Roman" w:hAnsi="Times New Roman"/>
          <w:b w:val="0"/>
          <w:i w:val="0"/>
          <w:sz w:val="24"/>
        </w:rPr>
        <w:t>Case D (retiree, 72 years). Asymmetric sensorineural loss. Right ear PTA-4 was 53.8 dB (Moderate) and left ear 28.8 dB (Mild). The asymmetry index of 30.0 dB placed this in the *Moderately Asymmetric* category, and the FAI adjusted the left ear rating up to 42.2 (Moderate) to reflect the clinical significance of the asymmetry. Here the fuzzy system captured a functional impact of asymmetry that ear-specific PTA classification overlooks.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spacing w:line="240" w:lineRule="auto"/>
            </w:pPr>
            <w:r/>
            <w:r>
              <w:rPr>
                <w:rFonts w:ascii="Times New Roman" w:hAnsi="Times New Roman"/>
                <w:b/>
                <w:sz w:val="18"/>
              </w:rPr>
              <w:t>Case</w:t>
            </w:r>
          </w:p>
        </w:tc>
        <w:tc>
          <w:tcPr>
            <w:tcW w:type="dxa" w:w="1504"/>
          </w:tcPr>
          <w:p>
            <w:pPr>
              <w:spacing w:line="240" w:lineRule="auto"/>
            </w:pPr>
            <w:r/>
            <w:r>
              <w:rPr>
                <w:rFonts w:ascii="Times New Roman" w:hAnsi="Times New Roman"/>
                <w:b/>
                <w:sz w:val="18"/>
              </w:rPr>
              <w:t>PTA-4</w:t>
            </w:r>
          </w:p>
        </w:tc>
        <w:tc>
          <w:tcPr>
            <w:tcW w:type="dxa" w:w="1504"/>
          </w:tcPr>
          <w:p>
            <w:pPr>
              <w:spacing w:line="240" w:lineRule="auto"/>
            </w:pPr>
            <w:r/>
            <w:r>
              <w:rPr>
                <w:rFonts w:ascii="Times New Roman" w:hAnsi="Times New Roman"/>
                <w:b/>
                <w:sz w:val="18"/>
              </w:rPr>
              <w:t>WHO Grade</w:t>
            </w:r>
          </w:p>
        </w:tc>
        <w:tc>
          <w:tcPr>
            <w:tcW w:type="dxa" w:w="1504"/>
          </w:tcPr>
          <w:p>
            <w:pPr>
              <w:spacing w:line="240" w:lineRule="auto"/>
            </w:pPr>
            <w:r/>
            <w:r>
              <w:rPr>
                <w:rFonts w:ascii="Times New Roman" w:hAnsi="Times New Roman"/>
                <w:b/>
                <w:sz w:val="18"/>
              </w:rPr>
              <w:t>FAI</w:t>
            </w:r>
          </w:p>
        </w:tc>
        <w:tc>
          <w:tcPr>
            <w:tcW w:type="dxa" w:w="1504"/>
          </w:tcPr>
          <w:p>
            <w:pPr>
              <w:spacing w:line="240" w:lineRule="auto"/>
            </w:pPr>
            <w:r/>
            <w:r>
              <w:rPr>
                <w:rFonts w:ascii="Times New Roman" w:hAnsi="Times New Roman"/>
                <w:b/>
                <w:sz w:val="18"/>
              </w:rPr>
              <w:t>Configuration</w:t>
            </w:r>
          </w:p>
        </w:tc>
        <w:tc>
          <w:tcPr>
            <w:tcW w:type="dxa" w:w="1504"/>
          </w:tcPr>
          <w:p>
            <w:pPr>
              <w:spacing w:line="240" w:lineRule="auto"/>
            </w:pPr>
            <w:r/>
            <w:r>
              <w:rPr>
                <w:rFonts w:ascii="Times New Roman" w:hAnsi="Times New Roman"/>
                <w:b/>
                <w:sz w:val="18"/>
              </w:rPr>
              <w:t>Key Finding</w:t>
            </w:r>
          </w:p>
        </w:tc>
      </w:tr>
      <w:tr>
        <w:tc>
          <w:tcPr>
            <w:tcW w:type="dxa" w:w="1504"/>
          </w:tcPr>
          <w:p>
            <w:pPr>
              <w:spacing w:line="240" w:lineRule="auto"/>
            </w:pPr>
            <w:r/>
            <w:r>
              <w:rPr>
                <w:rFonts w:ascii="Times New Roman" w:hAnsi="Times New Roman"/>
                <w:b w:val="0"/>
                <w:sz w:val="18"/>
              </w:rPr>
              <w:t>A</w:t>
            </w:r>
          </w:p>
        </w:tc>
        <w:tc>
          <w:tcPr>
            <w:tcW w:type="dxa" w:w="1504"/>
          </w:tcPr>
          <w:p>
            <w:pPr>
              <w:spacing w:line="240" w:lineRule="auto"/>
            </w:pPr>
            <w:r/>
            <w:r>
              <w:rPr>
                <w:rFonts w:ascii="Times New Roman" w:hAnsi="Times New Roman"/>
                <w:b w:val="0"/>
                <w:sz w:val="18"/>
              </w:rPr>
              <w:t>27.5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26.3</w:t>
            </w:r>
          </w:p>
        </w:tc>
        <w:tc>
          <w:tcPr>
            <w:tcW w:type="dxa" w:w="1504"/>
          </w:tcPr>
          <w:p>
            <w:pPr>
              <w:spacing w:line="240" w:lineRule="auto"/>
            </w:pPr>
            <w:r/>
            <w:r>
              <w:rPr>
                <w:rFonts w:ascii="Times New Roman" w:hAnsi="Times New Roman"/>
                <w:b w:val="0"/>
                <w:sz w:val="18"/>
              </w:rPr>
              <w:t>Flat/gentle slope</w:t>
            </w:r>
          </w:p>
        </w:tc>
        <w:tc>
          <w:tcPr>
            <w:tcW w:type="dxa" w:w="1504"/>
          </w:tcPr>
          <w:p>
            <w:pPr>
              <w:spacing w:line="240" w:lineRule="auto"/>
            </w:pPr>
            <w:r/>
            <w:r>
              <w:rPr>
                <w:rFonts w:ascii="Times New Roman" w:hAnsi="Times New Roman"/>
                <w:b w:val="0"/>
                <w:sz w:val="18"/>
              </w:rPr>
              <w:t>Borderline membership (Normal 0.25, Mild 1.00)</w:t>
            </w:r>
          </w:p>
        </w:tc>
      </w:tr>
      <w:tr>
        <w:tc>
          <w:tcPr>
            <w:tcW w:type="dxa" w:w="1504"/>
          </w:tcPr>
          <w:p>
            <w:pPr>
              <w:spacing w:line="240" w:lineRule="auto"/>
            </w:pPr>
            <w:r/>
            <w:r>
              <w:rPr>
                <w:rFonts w:ascii="Times New Roman" w:hAnsi="Times New Roman"/>
                <w:b w:val="0"/>
                <w:sz w:val="18"/>
              </w:rPr>
              <w:t>B</w:t>
            </w:r>
          </w:p>
        </w:tc>
        <w:tc>
          <w:tcPr>
            <w:tcW w:type="dxa" w:w="1504"/>
          </w:tcPr>
          <w:p>
            <w:pPr>
              <w:spacing w:line="240" w:lineRule="auto"/>
            </w:pPr>
            <w:r/>
            <w:r>
              <w:rPr>
                <w:rFonts w:ascii="Times New Roman" w:hAnsi="Times New Roman"/>
                <w:b w:val="0"/>
                <w:sz w:val="18"/>
              </w:rPr>
              <w:t>23.0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19.5</w:t>
            </w:r>
          </w:p>
        </w:tc>
        <w:tc>
          <w:tcPr>
            <w:tcW w:type="dxa" w:w="1504"/>
          </w:tcPr>
          <w:p>
            <w:pPr>
              <w:spacing w:line="240" w:lineRule="auto"/>
            </w:pPr>
            <w:r/>
            <w:r>
              <w:rPr>
                <w:rFonts w:ascii="Times New Roman" w:hAnsi="Times New Roman"/>
                <w:b w:val="0"/>
                <w:sz w:val="18"/>
              </w:rPr>
              <w:t>Notched (78%)</w:t>
            </w:r>
          </w:p>
        </w:tc>
        <w:tc>
          <w:tcPr>
            <w:tcW w:type="dxa" w:w="1504"/>
          </w:tcPr>
          <w:p>
            <w:pPr>
              <w:spacing w:line="240" w:lineRule="auto"/>
            </w:pPr>
            <w:r/>
            <w:r>
              <w:rPr>
                <w:rFonts w:ascii="Times New Roman" w:hAnsi="Times New Roman"/>
                <w:b w:val="0"/>
                <w:sz w:val="18"/>
              </w:rPr>
              <w:t>25 dB notch at 4 kHz masked by PTA</w:t>
            </w:r>
          </w:p>
        </w:tc>
      </w:tr>
      <w:tr>
        <w:tc>
          <w:tcPr>
            <w:tcW w:type="dxa" w:w="1504"/>
          </w:tcPr>
          <w:p>
            <w:pPr>
              <w:spacing w:line="240" w:lineRule="auto"/>
            </w:pPr>
            <w:r/>
            <w:r>
              <w:rPr>
                <w:rFonts w:ascii="Times New Roman" w:hAnsi="Times New Roman"/>
                <w:b w:val="0"/>
                <w:sz w:val="18"/>
              </w:rPr>
              <w:t>C</w:t>
            </w:r>
          </w:p>
        </w:tc>
        <w:tc>
          <w:tcPr>
            <w:tcW w:type="dxa" w:w="1504"/>
          </w:tcPr>
          <w:p>
            <w:pPr>
              <w:spacing w:line="240" w:lineRule="auto"/>
            </w:pPr>
            <w:r/>
            <w:r>
              <w:rPr>
                <w:rFonts w:ascii="Times New Roman" w:hAnsi="Times New Roman"/>
                <w:b w:val="0"/>
                <w:sz w:val="18"/>
              </w:rPr>
              <w:t>33.8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30.0</w:t>
            </w:r>
          </w:p>
        </w:tc>
        <w:tc>
          <w:tcPr>
            <w:tcW w:type="dxa" w:w="1504"/>
          </w:tcPr>
          <w:p>
            <w:pPr>
              <w:spacing w:line="240" w:lineRule="auto"/>
            </w:pPr>
            <w:r/>
            <w:r>
              <w:rPr>
                <w:rFonts w:ascii="Times New Roman" w:hAnsi="Times New Roman"/>
                <w:b w:val="0"/>
                <w:sz w:val="18"/>
              </w:rPr>
              <w:t>Sloping</w:t>
            </w:r>
          </w:p>
        </w:tc>
        <w:tc>
          <w:tcPr>
            <w:tcW w:type="dxa" w:w="1504"/>
          </w:tcPr>
          <w:p>
            <w:pPr>
              <w:spacing w:line="240" w:lineRule="auto"/>
            </w:pPr>
            <w:r/>
            <w:r>
              <w:rPr>
                <w:rFonts w:ascii="Times New Roman" w:hAnsi="Times New Roman"/>
                <w:b w:val="0"/>
                <w:sz w:val="18"/>
              </w:rPr>
              <w:t>Frequency-resolved severity preserved</w:t>
            </w:r>
          </w:p>
        </w:tc>
      </w:tr>
      <w:tr>
        <w:tc>
          <w:tcPr>
            <w:tcW w:type="dxa" w:w="1504"/>
          </w:tcPr>
          <w:p>
            <w:pPr>
              <w:spacing w:line="240" w:lineRule="auto"/>
            </w:pPr>
            <w:r/>
            <w:r>
              <w:rPr>
                <w:rFonts w:ascii="Times New Roman" w:hAnsi="Times New Roman"/>
                <w:b w:val="0"/>
                <w:sz w:val="18"/>
              </w:rPr>
              <w:t>D</w:t>
            </w:r>
          </w:p>
        </w:tc>
        <w:tc>
          <w:tcPr>
            <w:tcW w:type="dxa" w:w="1504"/>
          </w:tcPr>
          <w:p>
            <w:pPr>
              <w:spacing w:line="240" w:lineRule="auto"/>
            </w:pPr>
            <w:r/>
            <w:r>
              <w:rPr>
                <w:rFonts w:ascii="Times New Roman" w:hAnsi="Times New Roman"/>
                <w:b w:val="0"/>
                <w:sz w:val="18"/>
              </w:rPr>
              <w:t>53.8/28.8 dB</w:t>
            </w:r>
          </w:p>
        </w:tc>
        <w:tc>
          <w:tcPr>
            <w:tcW w:type="dxa" w:w="1504"/>
          </w:tcPr>
          <w:p>
            <w:pPr>
              <w:spacing w:line="240" w:lineRule="auto"/>
            </w:pPr>
            <w:r/>
            <w:r>
              <w:rPr>
                <w:rFonts w:ascii="Times New Roman" w:hAnsi="Times New Roman"/>
                <w:b w:val="0"/>
                <w:sz w:val="18"/>
              </w:rPr>
              <w:t>Mod/Mild</w:t>
            </w:r>
          </w:p>
        </w:tc>
        <w:tc>
          <w:tcPr>
            <w:tcW w:type="dxa" w:w="1504"/>
          </w:tcPr>
          <w:p>
            <w:pPr>
              <w:spacing w:line="240" w:lineRule="auto"/>
            </w:pPr>
            <w:r/>
            <w:r>
              <w:rPr>
                <w:rFonts w:ascii="Times New Roman" w:hAnsi="Times New Roman"/>
                <w:b w:val="0"/>
                <w:sz w:val="18"/>
              </w:rPr>
              <w:t>42.2 composite</w:t>
            </w:r>
          </w:p>
        </w:tc>
        <w:tc>
          <w:tcPr>
            <w:tcW w:type="dxa" w:w="1504"/>
          </w:tcPr>
          <w:p>
            <w:pPr>
              <w:spacing w:line="240" w:lineRule="auto"/>
            </w:pPr>
            <w:r/>
            <w:r>
              <w:rPr>
                <w:rFonts w:ascii="Times New Roman" w:hAnsi="Times New Roman"/>
                <w:b w:val="0"/>
                <w:sz w:val="18"/>
              </w:rPr>
              <w:t>Asymmetric</w:t>
            </w:r>
          </w:p>
        </w:tc>
        <w:tc>
          <w:tcPr>
            <w:tcW w:type="dxa" w:w="1504"/>
          </w:tcPr>
          <w:p>
            <w:pPr>
              <w:spacing w:line="240" w:lineRule="auto"/>
            </w:pPr>
            <w:r/>
            <w:r>
              <w:rPr>
                <w:rFonts w:ascii="Times New Roman" w:hAnsi="Times New Roman"/>
                <w:b w:val="0"/>
                <w:sz w:val="18"/>
              </w:rPr>
              <w:t>Asymmetry index 30 dB; inter-aural modulation</w:t>
            </w:r>
          </w:p>
        </w:tc>
      </w:tr>
    </w:tbl>
    <w:p>
      <w:pPr>
        <w:spacing w:line="480" w:lineRule="auto"/>
        <w:jc w:val="center"/>
      </w:pPr>
      <w:r>
        <w:rPr>
          <w:rFonts w:ascii="Times New Roman" w:hAnsi="Times New Roman"/>
          <w:i/>
          <w:sz w:val="20"/>
        </w:rPr>
        <w:t>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p>
      <w:pPr>
        <w:spacing w:line="480" w:lineRule="auto" w:before="200"/>
      </w:pPr>
      <w:r>
        <w:rPr>
          <w:rFonts w:ascii="Times New Roman" w:hAnsi="Times New Roman"/>
          <w:b/>
          <w:sz w:val="24"/>
          <w:u w:val="single"/>
        </w:rPr>
        <w:t>Configuration Classification</w:t>
      </w:r>
    </w:p>
    <w:p>
      <w:pPr>
        <w:spacing w:line="480" w:lineRule="auto"/>
        <w:ind w:firstLine="720"/>
      </w:pPr>
      <w:r>
        <w:rPr>
          <w:rFonts w:ascii="Times New Roman" w:hAnsi="Times New Roman"/>
          <w:b w:val="0"/>
          <w:i w:val="0"/>
          <w:sz w:val="24"/>
        </w:rPr>
        <w:t>Configuration classification reached 89.4% overall agreement against NHANES-derived labels (κ = 0.86). Per-type accuracy was highest for flat (94.2%) and sloping (91.5%), intermediate for precipitous (86.3%) and notched (84.1%), and lowest for rising (72.3%, small sample, n = 38). The main confusion was between gently sloping and steeply sloping patterns, which is not surprising given slope rate is continuous.</w:t>
      </w:r>
    </w:p>
    <w:p>
      <w:pPr>
        <w:spacing w:line="480" w:lineRule="auto"/>
        <w:ind w:firstLine="720"/>
      </w:pPr>
      <w:r>
        <w:rPr>
          <w:rFonts w:ascii="Times New Roman" w:hAnsi="Times New Roman"/>
          <w:b w:val="0"/>
          <w:i w:val="0"/>
          <w:sz w:val="24"/>
        </w:rPr>
        <w:t>Configuration distribution in the cohort was predominantly flat (34%) and sloping (28%), with smaller proportions of steeply sloping (18%), notched (11%), precipitous (5%), and rising (4%) patterns, consistent with a general population sample.</w:t>
      </w:r>
    </w:p>
    <w:p>
      <w:pPr>
        <w:spacing w:line="480" w:lineRule="auto"/>
        <w:jc w:val="center"/>
      </w:pPr>
      <w:r>
        <w:rPr>
          <w:rFonts w:ascii="Times New Roman" w:hAnsi="Times New Roman"/>
          <w:i/>
          <w:sz w:val="20"/>
        </w:rPr>
        <w:t>Configuration classification confusion matrix. Overall accuracy: 89.4% (κ = 0.86). Primary confusion between gently sloping and steeply sloping patterns.</w:t>
      </w:r>
    </w:p>
    <w:p>
      <w:pPr>
        <w:spacing w:line="480" w:lineRule="auto" w:before="200"/>
      </w:pPr>
      <w:r>
        <w:rPr>
          <w:rFonts w:ascii="Times New Roman" w:hAnsi="Times New Roman"/>
          <w:b/>
          <w:sz w:val="24"/>
          <w:u w:val="single"/>
        </w:rPr>
        <w:t>Temporal Tracking</w:t>
      </w:r>
    </w:p>
    <w:p>
      <w:pPr>
        <w:spacing w:line="480" w:lineRule="auto"/>
        <w:ind w:firstLine="720"/>
      </w:pPr>
      <w:r>
        <w:rPr>
          <w:rFonts w:ascii="Times New Roman" w:hAnsi="Times New Roman"/>
          <w:b w:val="0"/>
          <w:i w:val="0"/>
          <w:sz w:val="24"/>
        </w:rP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spacing w:line="480" w:lineRule="auto"/>
        <w:jc w:val="center"/>
      </w:pPr>
      <w:r>
        <w:rPr>
          <w:rFonts w:ascii="Times New Roman" w:hAnsi="Times New Roman"/>
          <w:i/>
          <w:sz w:val="20"/>
        </w:rPr>
        <w:t>Longitudinal FAI trajectories for three clinical scenarios. FAI (coloured lines) shows smooth, continuous progression while PTA grade (grey steps) changes only at boundary crossings.</w:t>
      </w:r>
    </w:p>
    <w:p>
      <w:pPr>
        <w:spacing w:line="480" w:lineRule="auto" w:before="200"/>
      </w:pPr>
      <w:r>
        <w:rPr>
          <w:rFonts w:ascii="Times New Roman" w:hAnsi="Times New Roman"/>
          <w:b/>
          <w:sz w:val="28"/>
          <w:u w:val="single"/>
        </w:rPr>
        <w:t>Discussion</w:t>
      </w:r>
    </w:p>
    <w:p>
      <w:pPr>
        <w:spacing w:line="480" w:lineRule="auto" w:before="200"/>
      </w:pPr>
      <w:r>
        <w:rPr>
          <w:rFonts w:ascii="Times New Roman" w:hAnsi="Times New Roman"/>
          <w:b/>
          <w:sz w:val="24"/>
          <w:u w:val="single"/>
        </w:rPr>
        <w:t>Principal Findings</w:t>
      </w:r>
    </w:p>
    <w:p>
      <w:pPr>
        <w:spacing w:line="480" w:lineRule="auto"/>
        <w:ind w:firstLine="720"/>
      </w:pPr>
      <w:r>
        <w:rPr>
          <w:rFonts w:ascii="Times New Roman" w:hAnsi="Times New Roman"/>
          <w:b w:val="0"/>
          <w:i w:val="0"/>
          <w:sz w:val="24"/>
        </w:rPr>
        <w:t>This study shows that a Mamdani-type fuzzy inference system can classify audiometric data with more gradation than conventional PTA-based classification. The FAI hit κ = 0.89 against the WHO PTA-4 reference and 91% accuracy in borderline cases where PTA-based classification managed only 68%. The system's main advantage shows up where crisp classification is most uncertain, among patients whose thresholds sit near the classic severity boundaries.</w:t>
      </w:r>
    </w:p>
    <w:p>
      <w:pPr>
        <w:spacing w:line="480" w:lineRule="auto"/>
        <w:ind w:firstLine="720"/>
      </w:pPr>
      <w:r>
        <w:rPr>
          <w:rFonts w:ascii="Times New Roman" w:hAnsi="Times New Roman"/>
          <w:b w:val="0"/>
          <w:i w:val="0"/>
          <w:sz w:val="24"/>
        </w:rP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spacing w:line="480" w:lineRule="auto" w:before="200"/>
      </w:pPr>
      <w:r>
        <w:rPr>
          <w:rFonts w:ascii="Times New Roman" w:hAnsi="Times New Roman"/>
          <w:b/>
          <w:sz w:val="24"/>
          <w:u w:val="single"/>
        </w:rPr>
        <w:t>Clinical Implications</w:t>
      </w:r>
    </w:p>
    <w:p>
      <w:pPr>
        <w:spacing w:line="480" w:lineRule="auto"/>
        <w:ind w:firstLine="720"/>
      </w:pPr>
      <w:r>
        <w:rPr>
          <w:rFonts w:ascii="Times New Roman" w:hAnsi="Times New Roman"/>
          <w:b w:val="0"/>
          <w:i w:val="0"/>
          <w:sz w:val="24"/>
        </w:rPr>
        <w:t>Audiologic triage and referral.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ind w:firstLine="720"/>
      </w:pPr>
      <w:r>
        <w:rPr>
          <w:rFonts w:ascii="Times New Roman" w:hAnsi="Times New Roman"/>
          <w:b w:val="0"/>
          <w:i w:val="0"/>
          <w:sz w:val="24"/>
        </w:rPr>
        <w:t>Hearing aid fitting.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ind w:firstLine="720"/>
      </w:pPr>
      <w:r>
        <w:rPr>
          <w:rFonts w:ascii="Times New Roman" w:hAnsi="Times New Roman"/>
          <w:b w:val="0"/>
          <w:i w:val="0"/>
          <w:sz w:val="24"/>
        </w:rPr>
        <w:t>Ototoxicity monitoring.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ind w:firstLine="720"/>
      </w:pPr>
      <w:r>
        <w:rPr>
          <w:rFonts w:ascii="Times New Roman" w:hAnsi="Times New Roman"/>
          <w:b w:val="0"/>
          <w:i w:val="0"/>
          <w:sz w:val="24"/>
        </w:rPr>
        <w:t>Low-resource settings.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spacing w:line="480" w:lineRule="auto" w:before="200"/>
      </w:pPr>
      <w:r>
        <w:rPr>
          <w:rFonts w:ascii="Times New Roman" w:hAnsi="Times New Roman"/>
          <w:b/>
          <w:sz w:val="24"/>
          <w:u w:val="single"/>
        </w:rPr>
        <w:t>Comparison with Prior Work</w:t>
      </w:r>
    </w:p>
    <w:p>
      <w:pPr>
        <w:spacing w:line="480" w:lineRule="auto"/>
        <w:ind w:firstLine="720"/>
      </w:pPr>
      <w:r>
        <w:rPr>
          <w:rFonts w:ascii="Times New Roman" w:hAnsi="Times New Roman"/>
          <w:b w:val="0"/>
          <w:i w:val="0"/>
          <w:sz w:val="24"/>
        </w:rPr>
        <w:t>Our results fit with the emerging computational audiology literature while extending it in a few directions. The 91% borderline accuracy compares well with the 87% from Miller and Polansky [@miller2004] and the 91% from Chen et al. [@chen2017],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spacing w:line="480" w:lineRule="auto"/>
        <w:ind w:firstLine="720"/>
      </w:pPr>
      <w:r>
        <w:rPr>
          <w:rFonts w:ascii="Times New Roman" w:hAnsi="Times New Roman"/>
          <w:b w:val="0"/>
          <w:i w:val="0"/>
          <w:sz w:val="24"/>
        </w:rPr>
        <w:t>Compared to clustering-based profiling approaches [@sanchez2021; @vanbeek2024], the fuzzy system produces outputs clinicians can actually inspect. A clinician can see the rule base, understand why a particular grade was assigned, and modify rules if needed. That transparency matters for real clinical adoption.</w:t>
      </w:r>
    </w:p>
    <w:p>
      <w:pPr>
        <w:spacing w:line="480" w:lineRule="auto" w:before="200"/>
      </w:pPr>
      <w:r>
        <w:rPr>
          <w:rFonts w:ascii="Times New Roman" w:hAnsi="Times New Roman"/>
          <w:b/>
          <w:sz w:val="24"/>
          <w:u w:val="single"/>
        </w:rPr>
        <w:t>Limitations</w:t>
      </w:r>
    </w:p>
    <w:p>
      <w:pPr>
        <w:spacing w:line="480" w:lineRule="auto"/>
        <w:ind w:firstLine="720"/>
      </w:pPr>
      <w:r>
        <w:rPr>
          <w:rFonts w:ascii="Times New Roman" w:hAnsi="Times New Roman"/>
          <w:b w:val="0"/>
          <w:i w:val="0"/>
          <w:sz w:val="24"/>
        </w:rP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NHANES data, while population-based, mostly reflects mild-to-moderate age-related hearing loss and may underrepresent certain configurations (e.g., steeply sloping losses from Menière's disease).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spacing w:line="480" w:lineRule="auto" w:before="200"/>
      </w:pPr>
      <w:r>
        <w:rPr>
          <w:rFonts w:ascii="Times New Roman" w:hAnsi="Times New Roman"/>
          <w:b/>
          <w:sz w:val="24"/>
          <w:u w:val="single"/>
        </w:rPr>
        <w:t>Generalisability and Future Directions</w:t>
      </w:r>
    </w:p>
    <w:p>
      <w:pPr>
        <w:spacing w:line="480" w:lineRule="auto"/>
        <w:ind w:firstLine="720"/>
      </w:pPr>
      <w:r>
        <w:rPr>
          <w:rFonts w:ascii="Times New Roman" w:hAnsi="Times New Roman"/>
          <w:b w:val="0"/>
          <w:i w:val="0"/>
          <w:sz w:val="24"/>
        </w:rP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spacing w:line="480" w:lineRule="auto" w:before="200"/>
      </w:pPr>
      <w:r>
        <w:rPr>
          <w:rFonts w:ascii="Times New Roman" w:hAnsi="Times New Roman"/>
          <w:b/>
          <w:sz w:val="28"/>
          <w:u w:val="single"/>
        </w:rPr>
        <w:t>Conclusion</w:t>
      </w:r>
    </w:p>
    <w:p>
      <w:pPr>
        <w:spacing w:line="480" w:lineRule="auto"/>
        <w:ind w:firstLine="720"/>
      </w:pPr>
      <w:r>
        <w:rPr>
          <w:rFonts w:ascii="Times New Roman" w:hAnsi="Times New Roman"/>
          <w:b w:val="0"/>
          <w:i w:val="0"/>
          <w:sz w:val="24"/>
        </w:rPr>
        <w:t>The Fuzzy Audiometric Index (FAI) gives a continuous, frequency-resolved, interpretable classification of hearing loss that preserves the gradation lost to crisp PTA thresholds. Validated on a held-out NHANES test set (n = 1,029 ears), it agrees closely with WHO PTA-4 classification while providing richer information on borderline cases, configuration typing, and longitudinal monitoring. As audiology moves toward more personalised, data-driven care, a fuzzy approach keeps the inherent continuity of auditory function front and centre.</w:t>
      </w:r>
    </w:p>
    <w:p>
      <w:pPr>
        <w:spacing w:line="480" w:lineRule="auto" w:before="200"/>
      </w:pPr>
      <w:r>
        <w:rPr>
          <w:rFonts w:ascii="Times New Roman" w:hAnsi="Times New Roman"/>
          <w:b/>
          <w:sz w:val="28"/>
          <w:u w:val="single"/>
        </w:rPr>
        <w:t>Acknowledgements</w:t>
      </w:r>
    </w:p>
    <w:p>
      <w:pPr>
        <w:spacing w:line="480" w:lineRule="auto"/>
        <w:ind w:firstLine="720"/>
      </w:pPr>
      <w:r>
        <w:rPr>
          <w:rFonts w:ascii="Times New Roman" w:hAnsi="Times New Roman"/>
          <w:b w:val="0"/>
          <w:i w:val="0"/>
          <w:sz w:val="24"/>
        </w:rPr>
        <w:t>NHANES data were provided by the U.S. Centers for Disease Control and Prevention, National Center for Health Statistics. The author thanks the developers of scikit-fuzzy and the open-source Python ecosystem for making this analysis possible.</w:t>
      </w:r>
    </w:p>
    <w:p>
      <w:pPr>
        <w:spacing w:line="480" w:lineRule="auto" w:before="200"/>
      </w:pPr>
      <w:r>
        <w:rPr>
          <w:rFonts w:ascii="Times New Roman" w:hAnsi="Times New Roman"/>
          <w:b/>
          <w:sz w:val="28"/>
          <w:u w:val="single"/>
        </w:rPr>
        <w:t>Conflict of Interest Statement</w:t>
      </w:r>
    </w:p>
    <w:p>
      <w:pPr>
        <w:spacing w:line="480" w:lineRule="auto"/>
        <w:ind w:firstLine="720"/>
      </w:pPr>
      <w:r>
        <w:rPr>
          <w:rFonts w:ascii="Times New Roman" w:hAnsi="Times New Roman"/>
          <w:b w:val="0"/>
          <w:i w:val="0"/>
          <w:sz w:val="24"/>
        </w:rPr>
        <w:t>The author declares no conflicts of interest.</w:t>
      </w:r>
    </w:p>
    <w:p>
      <w:pPr>
        <w:spacing w:line="480" w:lineRule="auto" w:before="200"/>
      </w:pPr>
      <w:r>
        <w:rPr>
          <w:rFonts w:ascii="Times New Roman" w:hAnsi="Times New Roman"/>
          <w:b/>
          <w:sz w:val="28"/>
          <w:u w:val="single"/>
        </w:rPr>
        <w:t>Data Availability</w:t>
      </w:r>
    </w:p>
    <w:p>
      <w:pPr>
        <w:spacing w:line="480" w:lineRule="auto"/>
        <w:ind w:firstLine="720"/>
      </w:pPr>
      <w:r>
        <w:rPr>
          <w:rFonts w:ascii="Times New Roman" w:hAnsi="Times New Roman"/>
          <w:b w:val="0"/>
          <w:i w:val="0"/>
          <w:sz w:val="24"/>
        </w:rPr>
        <w:t>NHANES data are publicly available at https://www.cdc.gov/nchs/nhanes/. Analysis source code is at https://github.com/ameye/fuzzy-audiogram.</w:t>
      </w:r>
    </w:p>
    <w:p>
      <w:pPr>
        <w:spacing w:line="480" w:lineRule="auto" w:before="200"/>
      </w:pPr>
      <w:r>
        <w:rPr>
          <w:rFonts w:ascii="Times New Roman" w:hAnsi="Times New Roman"/>
          <w:b/>
          <w:sz w:val="28"/>
          <w:u w:val="single"/>
        </w:rPr>
        <w:t>Appendix: Mathematical Foundations of Fuzzy Logic {#sec-app-math}</w:t>
      </w:r>
    </w:p>
    <w:p>
      <w:pPr>
        <w:spacing w:line="480" w:lineRule="auto" w:before="200"/>
      </w:pPr>
      <w:r>
        <w:rPr>
          <w:rFonts w:ascii="Times New Roman" w:hAnsi="Times New Roman"/>
          <w:b/>
          <w:sz w:val="24"/>
          <w:u w:val="single"/>
        </w:rPr>
        <w:t>Fuzzy Sets and Membership Functions</w:t>
      </w:r>
    </w:p>
    <w:p>
      <w:pPr>
        <w:spacing w:line="480" w:lineRule="auto"/>
        <w:ind w:firstLine="720"/>
      </w:pPr>
      <w:r>
        <w:rPr>
          <w:rFonts w:ascii="Times New Roman" w:hAnsi="Times New Roman"/>
          <w:b w:val="0"/>
          <w:i w:val="0"/>
          <w:sz w:val="24"/>
        </w:rPr>
        <w:t>Let $X$ be a universe of discourse (e.g., the set of all possible hearing thresholds in dB HL). A fuzzy set $A$ on $X$ is defined by its membership function $\mu_A: X \to [0, 1]$, which assigns to each element $x \in X$ a degree of membership in the interval $[0, 1]$ [@zadeh1965]:</w:t>
      </w:r>
    </w:p>
    <w:p>
      <w:pPr>
        <w:spacing w:line="480" w:lineRule="auto"/>
        <w:ind w:firstLine="720"/>
      </w:pPr>
      <w:r>
        <w:rPr>
          <w:rFonts w:ascii="Times New Roman" w:hAnsi="Times New Roman"/>
          <w:b w:val="0"/>
          <w:i w:val="0"/>
          <w:sz w:val="24"/>
        </w:rPr>
        <w:t>$$A = \{(x, \mu_A(x)) \mid x \in X\}$$</w:t>
      </w:r>
    </w:p>
    <w:p>
      <w:pPr>
        <w:spacing w:line="480" w:lineRule="auto"/>
        <w:ind w:firstLine="720"/>
      </w:pPr>
      <w:r>
        <w:rPr>
          <w:rFonts w:ascii="Times New Roman" w:hAnsi="Times New Roman"/>
          <w:b w:val="0"/>
          <w:i w:val="0"/>
          <w:sz w:val="24"/>
        </w:rPr>
        <w:t>where $\mu_A(x) = 0$ indicates complete non-membership, $\mu_A(x) = 1$ indicates complete membership, and intermediate values represent partial membership. This is the fundamental distinction from crisp (classical) sets, where membership is binary $\{0, 1\}$.</w:t>
      </w:r>
    </w:p>
    <w:p>
      <w:pPr>
        <w:spacing w:line="480" w:lineRule="auto"/>
        <w:ind w:firstLine="720"/>
      </w:pPr>
      <w:r>
        <w:rPr>
          <w:rFonts w:ascii="Times New Roman" w:hAnsi="Times New Roman"/>
          <w:b w:val="0"/>
          <w:i w:val="0"/>
          <w:sz w:val="24"/>
        </w:rPr>
        <w:t>For each audiometric severity category, we define a trapezoidal membership function parameterised by a quadruple $(a, b, c, d)$, where $[b, c]$ is the core (complete membership, $\mu = 1$) and $[a, b]$ and $[c, d]$ are the left and right shoulders:</w:t>
      </w:r>
    </w:p>
    <w:p>
      <w:pPr>
        <w:spacing w:line="480" w:lineRule="auto"/>
        <w:ind w:firstLine="720"/>
      </w:pPr>
      <w:r>
        <w:rPr>
          <w:rFonts w:ascii="Times New Roman" w:hAnsi="Times New Roman"/>
          <w:b w:val="0"/>
          <w:i w:val="0"/>
          <w:sz w:val="24"/>
        </w:rPr>
        <w:t>$$</w:t>
      </w:r>
    </w:p>
    <w:p>
      <w:pPr>
        <w:spacing w:line="480" w:lineRule="auto"/>
        <w:ind w:firstLine="720"/>
      </w:pPr>
      <w:r>
        <w:rPr>
          <w:rFonts w:ascii="Times New Roman" w:hAnsi="Times New Roman"/>
          <w:b w:val="0"/>
          <w:i w:val="0"/>
          <w:sz w:val="24"/>
        </w:rPr>
        <w:t>\mu(x; a, b, c, d) =</w:t>
      </w:r>
    </w:p>
    <w:p>
      <w:pPr>
        <w:spacing w:line="480" w:lineRule="auto"/>
        <w:ind w:firstLine="720"/>
      </w:pPr>
      <w:r>
        <w:rPr>
          <w:rFonts w:ascii="Times New Roman" w:hAnsi="Times New Roman"/>
          <w:b w:val="0"/>
          <w:i w:val="0"/>
          <w:sz w:val="24"/>
        </w:rPr>
        <w:t>\begin{cases}</w:t>
      </w:r>
    </w:p>
    <w:p>
      <w:pPr>
        <w:spacing w:line="480" w:lineRule="auto"/>
        <w:ind w:firstLine="720"/>
      </w:pPr>
      <w:r>
        <w:rPr>
          <w:rFonts w:ascii="Times New Roman" w:hAnsi="Times New Roman"/>
          <w:b w:val="0"/>
          <w:i w:val="0"/>
          <w:sz w:val="24"/>
        </w:rPr>
        <w:t>0, &amp; x \leq a \\[4pt]</w:t>
      </w:r>
    </w:p>
    <w:p>
      <w:pPr>
        <w:spacing w:line="480" w:lineRule="auto"/>
        <w:ind w:firstLine="720"/>
      </w:pPr>
      <w:r>
        <w:rPr>
          <w:rFonts w:ascii="Times New Roman" w:hAnsi="Times New Roman"/>
          <w:b w:val="0"/>
          <w:i w:val="0"/>
          <w:sz w:val="24"/>
        </w:rPr>
        <w:t>\displaystyle\frac{x - a}{b - a}, &amp; a &lt; x \leq b \\[10pt]</w:t>
      </w:r>
    </w:p>
    <w:p>
      <w:pPr>
        <w:spacing w:line="480" w:lineRule="auto"/>
        <w:ind w:firstLine="720"/>
      </w:pPr>
      <w:r>
        <w:rPr>
          <w:rFonts w:ascii="Times New Roman" w:hAnsi="Times New Roman"/>
          <w:b w:val="0"/>
          <w:i w:val="0"/>
          <w:sz w:val="24"/>
        </w:rPr>
        <w:t>1, &amp; b &lt; x \leq c \\[4pt]</w:t>
      </w:r>
    </w:p>
    <w:p>
      <w:pPr>
        <w:spacing w:line="480" w:lineRule="auto"/>
        <w:ind w:firstLine="720"/>
      </w:pPr>
      <w:r>
        <w:rPr>
          <w:rFonts w:ascii="Times New Roman" w:hAnsi="Times New Roman"/>
          <w:b w:val="0"/>
          <w:i w:val="0"/>
          <w:sz w:val="24"/>
        </w:rPr>
        <w:t>\displaystyle\frac{d - x}{d - c}, &amp; c &lt; x \leq d \\[10pt]</w:t>
      </w:r>
    </w:p>
    <w:p>
      <w:pPr>
        <w:spacing w:line="480" w:lineRule="auto"/>
        <w:ind w:firstLine="720"/>
      </w:pPr>
      <w:r>
        <w:rPr>
          <w:rFonts w:ascii="Times New Roman" w:hAnsi="Times New Roman"/>
          <w:b w:val="0"/>
          <w:i w:val="0"/>
          <w:sz w:val="24"/>
        </w:rPr>
        <w:t>0, &amp; x \geq d</w:t>
      </w:r>
    </w:p>
    <w:p>
      <w:pPr>
        <w:spacing w:line="480" w:lineRule="auto"/>
        <w:ind w:firstLine="720"/>
      </w:pPr>
      <w:r>
        <w:rPr>
          <w:rFonts w:ascii="Times New Roman" w:hAnsi="Times New Roman"/>
          <w:b w:val="0"/>
          <w:i w:val="0"/>
          <w:sz w:val="24"/>
        </w:rPr>
        <w:t>\end{cases}</w:t>
      </w:r>
    </w:p>
    <w:p>
      <w:pPr>
        <w:spacing w:line="480" w:lineRule="auto"/>
        <w:ind w:firstLine="720"/>
      </w:pPr>
      <w:r>
        <w:rPr>
          <w:rFonts w:ascii="Times New Roman" w:hAnsi="Times New Roman"/>
          <w:b w:val="0"/>
          <w:i w:val="0"/>
          <w:sz w:val="24"/>
        </w:rPr>
        <w:t>$$</w:t>
      </w:r>
    </w:p>
    <w:p>
      <w:pPr>
        <w:spacing w:line="480" w:lineRule="auto"/>
        <w:ind w:firstLine="720"/>
      </w:pPr>
      <w:r>
        <w:rPr>
          <w:rFonts w:ascii="Times New Roman" w:hAnsi="Times New Roman"/>
          <w:b w:val="0"/>
          <w:i w:val="0"/>
          <w:sz w:val="24"/>
        </w:rPr>
        <w:t>We chose trapezoidal functions over triangular ($b = c$) or Gaussian because the NHANES training set distributions within each WHO severity grade showed asymmetric, plateau-containing shapes that symmetric or unimodal functions capture poorly. The support of a fuzzy set, $\text{supp}(A) = \{x \mid \mu_A(x) &gt; 0\}$, and the core, $\text{core}(A) = \{x \mid \mu_A(x) = 1\}$, are directly interpretable from the trapezoidal parameters.</w:t>
      </w:r>
    </w:p>
    <w:p>
      <w:pPr>
        <w:spacing w:line="480" w:lineRule="auto" w:before="200"/>
      </w:pPr>
      <w:r>
        <w:rPr>
          <w:rFonts w:ascii="Times New Roman" w:hAnsi="Times New Roman"/>
          <w:b/>
          <w:sz w:val="24"/>
          <w:u w:val="single"/>
        </w:rPr>
        <w:t>Fuzzy Set Operations</w:t>
      </w:r>
    </w:p>
    <w:p>
      <w:pPr>
        <w:spacing w:line="480" w:lineRule="auto"/>
        <w:ind w:firstLine="720"/>
      </w:pPr>
      <w:r>
        <w:rPr>
          <w:rFonts w:ascii="Times New Roman" w:hAnsi="Times New Roman"/>
          <w:b w:val="0"/>
          <w:i w:val="0"/>
          <w:sz w:val="24"/>
        </w:rPr>
        <w:t>Let $\mu_A$ and $\mu_B$ be membership functions of fuzzy sets $A$ and $B$ on the same universe $X$. The standard Zadeh operators define set-theoretic operations pointwise [@zadeh1965]:</w:t>
      </w:r>
    </w:p>
    <w:p>
      <w:pPr>
        <w:spacing w:line="480" w:lineRule="auto"/>
        <w:ind w:firstLine="720"/>
      </w:pPr>
      <w:r>
        <w:rPr>
          <w:rFonts w:ascii="Times New Roman" w:hAnsi="Times New Roman"/>
          <w:b w:val="0"/>
          <w:i w:val="0"/>
          <w:sz w:val="24"/>
        </w:rPr>
        <w:t>Union (fuzzy OR):</w:t>
      </w:r>
    </w:p>
    <w:p>
      <w:pPr>
        <w:spacing w:line="480" w:lineRule="auto"/>
        <w:ind w:firstLine="720"/>
      </w:pPr>
      <w:r>
        <w:rPr>
          <w:rFonts w:ascii="Times New Roman" w:hAnsi="Times New Roman"/>
          <w:b w:val="0"/>
          <w:i w:val="0"/>
          <w:sz w:val="24"/>
        </w:rPr>
        <w:t>$$\mu_{A \cup B}(x) = \max\bigl(\mu_A(x),\; \mu_B(x)\bigr)$$</w:t>
      </w:r>
    </w:p>
    <w:p>
      <w:pPr>
        <w:spacing w:line="480" w:lineRule="auto"/>
        <w:ind w:firstLine="720"/>
      </w:pPr>
      <w:r>
        <w:rPr>
          <w:rFonts w:ascii="Times New Roman" w:hAnsi="Times New Roman"/>
          <w:b w:val="0"/>
          <w:i w:val="0"/>
          <w:sz w:val="24"/>
        </w:rPr>
        <w:t>Intersection (fuzzy AND):</w:t>
      </w:r>
    </w:p>
    <w:p>
      <w:pPr>
        <w:spacing w:line="480" w:lineRule="auto"/>
        <w:ind w:firstLine="720"/>
      </w:pPr>
      <w:r>
        <w:rPr>
          <w:rFonts w:ascii="Times New Roman" w:hAnsi="Times New Roman"/>
          <w:b w:val="0"/>
          <w:i w:val="0"/>
          <w:sz w:val="24"/>
        </w:rPr>
        <w:t>$$\mu_{A \cap B}(x) = \min\bigl(\mu_A(x),\; \mu_B(x)\bigr)$$</w:t>
      </w:r>
    </w:p>
    <w:p>
      <w:pPr>
        <w:spacing w:line="480" w:lineRule="auto"/>
        <w:ind w:firstLine="720"/>
      </w:pPr>
      <w:r>
        <w:rPr>
          <w:rFonts w:ascii="Times New Roman" w:hAnsi="Times New Roman"/>
          <w:b w:val="0"/>
          <w:i w:val="0"/>
          <w:sz w:val="24"/>
        </w:rPr>
        <w:t>Complement (fuzzy NOT):</w:t>
      </w:r>
    </w:p>
    <w:p>
      <w:pPr>
        <w:spacing w:line="480" w:lineRule="auto"/>
        <w:ind w:firstLine="720"/>
      </w:pPr>
      <w:r>
        <w:rPr>
          <w:rFonts w:ascii="Times New Roman" w:hAnsi="Times New Roman"/>
          <w:b w:val="0"/>
          <w:i w:val="0"/>
          <w:sz w:val="24"/>
        </w:rPr>
        <w:t>$$\mu_{\bar{A}}(x) = 1 - \mu_A(x)$$</w:t>
      </w:r>
    </w:p>
    <w:p>
      <w:pPr>
        <w:spacing w:line="480" w:lineRule="auto"/>
        <w:ind w:firstLine="720"/>
      </w:pPr>
      <w:r>
        <w:rPr>
          <w:rFonts w:ascii="Times New Roman" w:hAnsi="Times New Roman"/>
          <w:b w:val="0"/>
          <w:i w:val="0"/>
          <w:sz w:val="24"/>
        </w:rPr>
        <w:t>These operations implement fuzzy conjunction and disjunction in the rule base.</w:t>
      </w:r>
    </w:p>
    <w:p>
      <w:pPr>
        <w:spacing w:line="480" w:lineRule="auto" w:before="200"/>
      </w:pPr>
      <w:r>
        <w:rPr>
          <w:rFonts w:ascii="Times New Roman" w:hAnsi="Times New Roman"/>
          <w:b/>
          <w:sz w:val="24"/>
          <w:u w:val="single"/>
        </w:rPr>
        <w:t>Mamdani Fuzzy Inference</w:t>
      </w:r>
    </w:p>
    <w:p>
      <w:pPr>
        <w:spacing w:line="480" w:lineRule="auto"/>
        <w:ind w:firstLine="720"/>
      </w:pPr>
      <w:r>
        <w:rPr>
          <w:rFonts w:ascii="Times New Roman" w:hAnsi="Times New Roman"/>
          <w:b w:val="0"/>
          <w:i w:val="0"/>
          <w:sz w:val="24"/>
        </w:rPr>
        <w:t>We employ Mamdani-type inference [@mamdani1975], in which both antecedents and consequents are fuzzy sets. A typical rule $R_k$:</w:t>
      </w:r>
    </w:p>
    <w:p>
      <w:pPr>
        <w:spacing w:line="480" w:lineRule="auto"/>
        <w:ind w:firstLine="720"/>
      </w:pPr>
      <w:r>
        <w:rPr>
          <w:rFonts w:ascii="Times New Roman" w:hAnsi="Times New Roman"/>
          <w:b w:val="0"/>
          <w:i w:val="0"/>
          <w:sz w:val="24"/>
        </w:rPr>
        <w:t>$$R_k: \text{IF } x_1 \text{ is } A_{k,1} \text{ AND } \dots \text{ AND } x_7 \text{ is } A_{k,7} \text{ THEN } y \text{ is } B_k$$</w:t>
      </w:r>
    </w:p>
    <w:p>
      <w:pPr>
        <w:spacing w:line="480" w:lineRule="auto"/>
        <w:ind w:firstLine="720"/>
      </w:pPr>
      <w:r>
        <w:rPr>
          <w:rFonts w:ascii="Times New Roman" w:hAnsi="Times New Roman"/>
          <w:b w:val="0"/>
          <w:i w:val="0"/>
          <w:sz w:val="24"/>
        </w:rPr>
        <w:t>Firing strength $\alpha_k = \min(\mu_{A_{k,1}}(x_1), \dots, \mu_{A_{k,7}}(x_7))$</w:t>
      </w:r>
    </w:p>
    <w:p>
      <w:pPr>
        <w:spacing w:line="480" w:lineRule="auto"/>
        <w:ind w:firstLine="720"/>
      </w:pPr>
      <w:r>
        <w:rPr>
          <w:rFonts w:ascii="Times New Roman" w:hAnsi="Times New Roman"/>
          <w:b w:val="0"/>
          <w:i w:val="0"/>
          <w:sz w:val="24"/>
        </w:rPr>
        <w:t>Implication (clipping): $\mu_{R_k}(y) = \min(\alpha_k, \mu_{B_k}(y))$</w:t>
      </w:r>
    </w:p>
    <w:p>
      <w:pPr>
        <w:spacing w:line="480" w:lineRule="auto"/>
        <w:ind w:firstLine="720"/>
      </w:pPr>
      <w:r>
        <w:rPr>
          <w:rFonts w:ascii="Times New Roman" w:hAnsi="Times New Roman"/>
          <w:b w:val="0"/>
          <w:i w:val="0"/>
          <w:sz w:val="24"/>
        </w:rPr>
        <w:t>Aggregation: $\mu_{\text{agg}}(y) = \max_{k=1}^{N} \mu_{R_k}(y)$</w:t>
      </w:r>
    </w:p>
    <w:p>
      <w:pPr>
        <w:spacing w:line="480" w:lineRule="auto" w:before="200"/>
      </w:pPr>
      <w:r>
        <w:rPr>
          <w:rFonts w:ascii="Times New Roman" w:hAnsi="Times New Roman"/>
          <w:b/>
          <w:sz w:val="24"/>
          <w:u w:val="single"/>
        </w:rPr>
        <w:t>Defuzzification: The Fuzzy Audiometric Index</w:t>
      </w:r>
    </w:p>
    <w:p>
      <w:pPr>
        <w:spacing w:line="480" w:lineRule="auto"/>
        <w:ind w:firstLine="720"/>
      </w:pPr>
      <w:r>
        <w:rPr>
          <w:rFonts w:ascii="Times New Roman" w:hAnsi="Times New Roman"/>
          <w:b w:val="0"/>
          <w:i w:val="0"/>
          <w:sz w:val="24"/>
        </w:rPr>
        <w:t>Centroid of area:</w:t>
      </w:r>
    </w:p>
    <w:p>
      <w:pPr>
        <w:spacing w:line="480" w:lineRule="auto"/>
        <w:ind w:firstLine="720"/>
      </w:pPr>
      <w:r>
        <w:rPr>
          <w:rFonts w:ascii="Times New Roman" w:hAnsi="Times New Roman"/>
          <w:b w:val="0"/>
          <w:i w:val="0"/>
          <w:sz w:val="24"/>
        </w:rPr>
        <w:t>$$y^* = \frac{\int y \cdot \mu_{\text{agg}}(y) \, dy}{\int \mu_{\text{agg}}(y) \, dy}$$</w:t>
      </w:r>
    </w:p>
    <w:p>
      <w:pPr>
        <w:spacing w:line="480" w:lineRule="auto"/>
        <w:ind w:firstLine="720"/>
      </w:pPr>
      <w:r>
        <w:rPr>
          <w:rFonts w:ascii="Times New Roman" w:hAnsi="Times New Roman"/>
          <w:b w:val="0"/>
          <w:i w:val="0"/>
          <w:sz w:val="24"/>
        </w:rPr>
        <w:t>Discrete FAI:</w:t>
      </w:r>
    </w:p>
    <w:p>
      <w:pPr>
        <w:spacing w:line="480" w:lineRule="auto"/>
        <w:ind w:firstLine="720"/>
      </w:pPr>
      <w:r>
        <w:rPr>
          <w:rFonts w:ascii="Times New Roman" w:hAnsi="Times New Roman"/>
          <w:b w:val="0"/>
          <w:i w:val="0"/>
          <w:sz w:val="24"/>
        </w:rPr>
        <w:t>$$\text{FAI} = \frac{\sum_{i=1}^{n} y_i \cdot \mu_{\text{agg}}(y_i)}{\sum_{i=1}^{n} \mu_{\text{agg}}(y_i)}$$</w:t>
      </w:r>
    </w:p>
    <w:p>
      <w:pPr>
        <w:spacing w:line="480" w:lineRule="auto"/>
        <w:ind w:firstLine="720"/>
      </w:pPr>
      <w:r>
        <w:rPr>
          <w:rFonts w:ascii="Times New Roman" w:hAnsi="Times New Roman"/>
          <w:b w:val="0"/>
          <w:i w:val="0"/>
          <w:sz w:val="24"/>
        </w:rPr>
        <w:t>Composite FAI:</w:t>
      </w:r>
    </w:p>
    <w:p>
      <w:pPr>
        <w:spacing w:line="480" w:lineRule="auto"/>
        <w:ind w:firstLine="720"/>
      </w:pPr>
      <w:r>
        <w:rPr>
          <w:rFonts w:ascii="Times New Roman" w:hAnsi="Times New Roman"/>
          <w:b w:val="0"/>
          <w:i w:val="0"/>
          <w:sz w:val="24"/>
        </w:rPr>
        <w:t>$$\text{FAI}_{\text{composite}} = \frac{\sum_{f} w_f \cdot \text{FAI}_f}{\sum_{f} w_f}$$</w:t>
      </w:r>
    </w:p>
    <w:p>
      <w:pPr>
        <w:spacing w:line="480" w:lineRule="auto"/>
        <w:ind w:firstLine="720"/>
      </w:pPr>
      <w:r>
        <w:rPr>
          <w:rFonts w:ascii="Times New Roman" w:hAnsi="Times New Roman"/>
          <w:b w:val="0"/>
          <w:i w:val="0"/>
          <w:sz w:val="24"/>
        </w:rPr>
        <w:t>where $w_f = 1.5$ for speech frequencies (0.5–4 kHz) and $w_f = 0.75$ for extended high frequencies (6–8 kHz).</w:t>
      </w:r>
    </w:p>
    <w:p>
      <w:pPr>
        <w:spacing w:line="480" w:lineRule="auto" w:before="200"/>
      </w:pPr>
      <w:r>
        <w:rPr>
          <w:rFonts w:ascii="Times New Roman" w:hAnsi="Times New Roman"/>
          <w:b/>
          <w:sz w:val="24"/>
          <w:u w:val="single"/>
        </w:rPr>
        <w:t>Linguistic Hedges</w:t>
      </w:r>
    </w:p>
    <w:p>
      <w:pPr>
        <w:spacing w:line="480" w:lineRule="auto"/>
        <w:ind w:firstLine="720"/>
      </w:pPr>
      <w:r>
        <w:rPr>
          <w:rFonts w:ascii="Times New Roman" w:hAnsi="Times New Roman"/>
          <w:b w:val="0"/>
          <w:i w:val="0"/>
          <w:sz w:val="24"/>
        </w:rPr>
        <w:t>Concentration (very): $\mu_{\text{very } A}(x) = [\mu_A(x)]^2$</w:t>
      </w:r>
    </w:p>
    <w:p>
      <w:pPr>
        <w:spacing w:line="480" w:lineRule="auto"/>
        <w:ind w:firstLine="720"/>
      </w:pPr>
      <w:r>
        <w:rPr>
          <w:rFonts w:ascii="Times New Roman" w:hAnsi="Times New Roman"/>
          <w:b w:val="0"/>
          <w:i w:val="0"/>
          <w:sz w:val="24"/>
        </w:rPr>
        <w:t>Dilation (somewhat): $\mu_{\text{somewhat } A}(x) = [\mu_A(x)]^{0.5}$</w:t>
      </w:r>
    </w:p>
    <w:p>
      <w:pPr>
        <w:spacing w:line="480" w:lineRule="auto"/>
        <w:ind w:firstLine="720"/>
      </w:pPr>
      <w:r>
        <w:rPr>
          <w:rFonts w:ascii="Times New Roman" w:hAnsi="Times New Roman"/>
          <w:b w:val="0"/>
          <w:i w:val="0"/>
          <w:sz w:val="24"/>
        </w:rPr>
        <w:t>These hedges are available for future refinements but were not needed in the current rule base.</w:t>
      </w:r>
    </w:p>
    <w:p>
      <w:pPr>
        <w:spacing w:line="480" w:lineRule="auto" w:before="200"/>
      </w:pPr>
      <w:r>
        <w:rPr>
          <w:rFonts w:ascii="Times New Roman" w:hAnsi="Times New Roman"/>
          <w:b/>
          <w:sz w:val="28"/>
          <w:u w:val="single"/>
        </w:rPr>
        <w:t>References</w:t>
      </w:r>
    </w:p>
    <w:p>
      <w:pPr>
        <w:spacing w:line="480" w:lineRule="auto"/>
        <w:ind w:firstLine="720"/>
      </w:pPr>
      <w:r>
        <w:rPr>
          <w:rFonts w:ascii="Times New Roman" w:hAnsi="Times New Roman"/>
          <w:b w:val="0"/>
          <w:i w:val="0"/>
          <w:sz w:val="24"/>
        </w:rPr>
        <w:t>::: {#refs}</w:t>
      </w:r>
    </w:p>
    <w:p>
      <w:pPr>
        <w:spacing w:line="480" w:lineRule="auto"/>
        <w:ind w:firstLine="720"/>
      </w:pPr>
      <w:r>
        <w:rPr>
          <w:rFonts w:ascii="Times New Roman" w:hAnsi="Times New Roman"/>
          <w:b w:val="0"/>
          <w:i w:val="0"/>
          <w:sz w:val="24"/>
        </w:rPr>
        <w:t>:::</w:t>
      </w:r>
    </w:p>
    <w:p>
      <w:pPr>
        <w:spacing w:line="480" w:lineRule="auto"/>
        <w:ind w:firstLine="720"/>
      </w:pPr>
      <w:r>
        <w:rPr>
          <w:rFonts w:ascii="Times New Roman" w:hAnsi="Times New Roman"/>
          <w:b w:val="0"/>
          <w:i w:val="0"/>
          <w:sz w:val="24"/>
        </w:rPr>
        <w:t>---</w:t>
      </w:r>
    </w:p>
    <w:p>
      <w:pPr>
        <w:spacing w:line="480" w:lineRule="auto" w:before="200"/>
      </w:pPr>
      <w:r>
        <w:rPr>
          <w:rFonts w:ascii="Times New Roman" w:hAnsi="Times New Roman"/>
          <w:b/>
          <w:sz w:val="28"/>
          <w:u w:val="single"/>
        </w:rPr>
        <w:t>Tables</w:t>
      </w:r>
    </w:p>
    <w:p>
      <w:pPr>
        <w:spacing w:line="480" w:lineRule="auto" w:before="200"/>
      </w:pPr>
      <w:r>
        <w:rPr>
          <w:rFonts w:ascii="Times New Roman" w:hAnsi="Times New Roman"/>
          <w:b/>
          <w:sz w:val="24"/>
          <w:u w:val="single"/>
        </w:rPr>
        <w:t>Table 1. Demographic and Audiometric Characteristics of the NHANES Cohort</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pPr>
            <w:r/>
            <w:r>
              <w:rPr>
                <w:rFonts w:ascii="Times New Roman" w:hAnsi="Times New Roman"/>
                <w:b/>
                <w:sz w:val="18"/>
              </w:rPr>
              <w:t>Characteristic</w:t>
            </w:r>
          </w:p>
        </w:tc>
        <w:tc>
          <w:tcPr>
            <w:tcW w:type="dxa" w:w="3009"/>
          </w:tcPr>
          <w:p>
            <w:pPr>
              <w:spacing w:line="240" w:lineRule="auto"/>
            </w:pPr>
            <w:r/>
            <w:r>
              <w:rPr>
                <w:rFonts w:ascii="Times New Roman" w:hAnsi="Times New Roman"/>
                <w:b/>
                <w:sz w:val="18"/>
              </w:rPr>
              <w:t>Training Set (n=4,118 ears)</w:t>
            </w:r>
          </w:p>
        </w:tc>
        <w:tc>
          <w:tcPr>
            <w:tcW w:type="dxa" w:w="3009"/>
          </w:tcPr>
          <w:p>
            <w:pPr>
              <w:spacing w:line="240" w:lineRule="auto"/>
            </w:pPr>
            <w:r/>
            <w:r>
              <w:rPr>
                <w:rFonts w:ascii="Times New Roman" w:hAnsi="Times New Roman"/>
                <w:b/>
                <w:sz w:val="18"/>
              </w:rPr>
              <w:t>Test Set (n=1,029 ears)</w:t>
            </w:r>
          </w:p>
        </w:tc>
      </w:tr>
      <w:tr>
        <w:tc>
          <w:tcPr>
            <w:tcW w:type="dxa" w:w="3009"/>
          </w:tcPr>
          <w:p>
            <w:pPr>
              <w:spacing w:line="240" w:lineRule="auto"/>
            </w:pPr>
            <w:r/>
            <w:r>
              <w:rPr>
                <w:rFonts w:ascii="Times New Roman" w:hAnsi="Times New Roman"/>
                <w:b w:val="0"/>
                <w:sz w:val="18"/>
              </w:rPr>
              <w:t>Mean age (years)</w:t>
            </w:r>
          </w:p>
        </w:tc>
        <w:tc>
          <w:tcPr>
            <w:tcW w:type="dxa" w:w="3009"/>
          </w:tcPr>
          <w:p>
            <w:pPr>
              <w:spacing w:line="240" w:lineRule="auto"/>
            </w:pPr>
            <w:r/>
            <w:r>
              <w:rPr>
                <w:rFonts w:ascii="Times New Roman" w:hAnsi="Times New Roman"/>
                <w:b w:val="0"/>
                <w:sz w:val="18"/>
              </w:rPr>
              <w:t>49.9 (SD 18.3)</w:t>
            </w:r>
          </w:p>
        </w:tc>
        <w:tc>
          <w:tcPr>
            <w:tcW w:type="dxa" w:w="3009"/>
          </w:tcPr>
          <w:p>
            <w:pPr>
              <w:spacing w:line="240" w:lineRule="auto"/>
            </w:pPr>
            <w:r/>
            <w:r>
              <w:rPr>
                <w:rFonts w:ascii="Times New Roman" w:hAnsi="Times New Roman"/>
                <w:b w:val="0"/>
                <w:sz w:val="18"/>
              </w:rPr>
              <w:t>49.6 (SD 18.1)</w:t>
            </w:r>
          </w:p>
        </w:tc>
      </w:tr>
      <w:tr>
        <w:tc>
          <w:tcPr>
            <w:tcW w:type="dxa" w:w="3009"/>
          </w:tcPr>
          <w:p>
            <w:pPr>
              <w:spacing w:line="240" w:lineRule="auto"/>
            </w:pPr>
            <w:r/>
            <w:r>
              <w:rPr>
                <w:rFonts w:ascii="Times New Roman" w:hAnsi="Times New Roman"/>
                <w:b w:val="0"/>
                <w:sz w:val="18"/>
              </w:rPr>
              <w:t>Female sex</w:t>
            </w:r>
          </w:p>
        </w:tc>
        <w:tc>
          <w:tcPr>
            <w:tcW w:type="dxa" w:w="3009"/>
          </w:tcPr>
          <w:p>
            <w:pPr>
              <w:spacing w:line="240" w:lineRule="auto"/>
            </w:pPr>
            <w:r/>
            <w:r>
              <w:rPr>
                <w:rFonts w:ascii="Times New Roman" w:hAnsi="Times New Roman"/>
                <w:b w:val="0"/>
                <w:sz w:val="18"/>
              </w:rPr>
              <w:t>52.2%</w:t>
            </w:r>
          </w:p>
        </w:tc>
        <w:tc>
          <w:tcPr>
            <w:tcW w:type="dxa" w:w="3009"/>
          </w:tcPr>
          <w:p>
            <w:pPr>
              <w:spacing w:line="240" w:lineRule="auto"/>
            </w:pPr>
            <w:r/>
            <w:r>
              <w:rPr>
                <w:rFonts w:ascii="Times New Roman" w:hAnsi="Times New Roman"/>
                <w:b w:val="0"/>
                <w:sz w:val="18"/>
              </w:rPr>
              <w:t>52.5%</w:t>
            </w:r>
          </w:p>
        </w:tc>
      </w:tr>
      <w:tr>
        <w:tc>
          <w:tcPr>
            <w:tcW w:type="dxa" w:w="3009"/>
          </w:tcPr>
          <w:p>
            <w:pPr>
              <w:spacing w:line="240" w:lineRule="auto"/>
            </w:pPr>
            <w:r/>
            <w:r>
              <w:rPr>
                <w:rFonts w:ascii="Times New Roman" w:hAnsi="Times New Roman"/>
                <w:b w:val="0"/>
                <w:sz w:val="18"/>
              </w:rPr>
              <w:t>Hearing aid use</w:t>
            </w:r>
          </w:p>
        </w:tc>
        <w:tc>
          <w:tcPr>
            <w:tcW w:type="dxa" w:w="3009"/>
          </w:tcPr>
          <w:p>
            <w:pPr>
              <w:spacing w:line="240" w:lineRule="auto"/>
            </w:pPr>
            <w:r/>
            <w:r>
              <w:rPr>
                <w:rFonts w:ascii="Times New Roman" w:hAnsi="Times New Roman"/>
                <w:b w:val="0"/>
                <w:sz w:val="18"/>
              </w:rPr>
              <w:t>5.0%</w:t>
            </w:r>
          </w:p>
        </w:tc>
        <w:tc>
          <w:tcPr>
            <w:tcW w:type="dxa" w:w="3009"/>
          </w:tcPr>
          <w:p>
            <w:pPr>
              <w:spacing w:line="240" w:lineRule="auto"/>
            </w:pPr>
            <w:r/>
            <w:r>
              <w:rPr>
                <w:rFonts w:ascii="Times New Roman" w:hAnsi="Times New Roman"/>
                <w:b w:val="0"/>
                <w:sz w:val="18"/>
              </w:rPr>
              <w:t>5.2%</w:t>
            </w:r>
          </w:p>
        </w:tc>
      </w:tr>
      <w:tr>
        <w:tc>
          <w:tcPr>
            <w:tcW w:type="dxa" w:w="3009"/>
          </w:tcPr>
          <w:p>
            <w:pPr>
              <w:spacing w:line="240" w:lineRule="auto"/>
            </w:pPr>
            <w:r/>
            <w:r>
              <w:rPr>
                <w:rFonts w:ascii="Times New Roman" w:hAnsi="Times New Roman"/>
                <w:b w:val="0"/>
                <w:sz w:val="18"/>
              </w:rPr>
              <w:t>Noise exposure history</w:t>
            </w:r>
          </w:p>
        </w:tc>
        <w:tc>
          <w:tcPr>
            <w:tcW w:type="dxa" w:w="3009"/>
          </w:tcPr>
          <w:p>
            <w:pPr>
              <w:spacing w:line="240" w:lineRule="auto"/>
            </w:pPr>
            <w:r/>
            <w:r>
              <w:rPr>
                <w:rFonts w:ascii="Times New Roman" w:hAnsi="Times New Roman"/>
                <w:b w:val="0"/>
                <w:sz w:val="18"/>
              </w:rPr>
              <w:t>31.1%</w:t>
            </w:r>
          </w:p>
        </w:tc>
        <w:tc>
          <w:tcPr>
            <w:tcW w:type="dxa" w:w="3009"/>
          </w:tcPr>
          <w:p>
            <w:pPr>
              <w:spacing w:line="240" w:lineRule="auto"/>
            </w:pPr>
            <w:r/>
            <w:r>
              <w:rPr>
                <w:rFonts w:ascii="Times New Roman" w:hAnsi="Times New Roman"/>
                <w:b w:val="0"/>
                <w:sz w:val="18"/>
              </w:rPr>
              <w:t>31.4%</w:t>
            </w:r>
          </w:p>
        </w:tc>
      </w:tr>
      <w:tr>
        <w:tc>
          <w:tcPr>
            <w:tcW w:type="dxa" w:w="3009"/>
          </w:tcPr>
          <w:p>
            <w:pPr>
              <w:spacing w:line="240" w:lineRule="auto"/>
            </w:pPr>
            <w:r/>
            <w:r>
              <w:rPr>
                <w:rFonts w:ascii="Times New Roman" w:hAnsi="Times New Roman"/>
                <w:b w:val="0"/>
                <w:sz w:val="18"/>
              </w:rPr>
              <w:t>Mean PTA-4 (dB HL)</w:t>
            </w:r>
          </w:p>
        </w:tc>
        <w:tc>
          <w:tcPr>
            <w:tcW w:type="dxa" w:w="3009"/>
          </w:tcPr>
          <w:p>
            <w:pPr>
              <w:spacing w:line="240" w:lineRule="auto"/>
            </w:pPr>
            <w:r/>
            <w:r>
              <w:rPr>
                <w:rFonts w:ascii="Times New Roman" w:hAnsi="Times New Roman"/>
                <w:b w:val="0"/>
                <w:sz w:val="18"/>
              </w:rPr>
              <w:t>18.6 (SD 17.4)</w:t>
            </w:r>
          </w:p>
        </w:tc>
        <w:tc>
          <w:tcPr>
            <w:tcW w:type="dxa" w:w="3009"/>
          </w:tcPr>
          <w:p>
            <w:pPr>
              <w:spacing w:line="240" w:lineRule="auto"/>
            </w:pPr>
            <w:r/>
            <w:r>
              <w:rPr>
                <w:rFonts w:ascii="Times New Roman" w:hAnsi="Times New Roman"/>
                <w:b w:val="0"/>
                <w:sz w:val="18"/>
              </w:rPr>
              <w:t>18.3 (SD 17.0)</w:t>
            </w:r>
          </w:p>
        </w:tc>
      </w:tr>
      <w:tr>
        <w:tc>
          <w:tcPr>
            <w:tcW w:type="dxa" w:w="3009"/>
          </w:tcPr>
          <w:p>
            <w:pPr>
              <w:spacing w:line="240" w:lineRule="auto"/>
            </w:pPr>
            <w:r/>
            <w:r>
              <w:rPr>
                <w:rFonts w:ascii="Times New Roman" w:hAnsi="Times New Roman"/>
                <w:b w:val="0"/>
                <w:sz w:val="18"/>
              </w:rPr>
              <w:t>Normal</w:t>
            </w:r>
          </w:p>
        </w:tc>
        <w:tc>
          <w:tcPr>
            <w:tcW w:type="dxa" w:w="3009"/>
          </w:tcPr>
          <w:p>
            <w:pPr>
              <w:spacing w:line="240" w:lineRule="auto"/>
            </w:pPr>
            <w:r/>
            <w:r>
              <w:rPr>
                <w:rFonts w:ascii="Times New Roman" w:hAnsi="Times New Roman"/>
                <w:b w:val="0"/>
                <w:sz w:val="18"/>
              </w:rPr>
              <w:t>69.7%</w:t>
            </w:r>
          </w:p>
        </w:tc>
        <w:tc>
          <w:tcPr>
            <w:tcW w:type="dxa" w:w="3009"/>
          </w:tcPr>
          <w:p>
            <w:pPr>
              <w:spacing w:line="240" w:lineRule="auto"/>
            </w:pPr>
            <w:r/>
            <w:r>
              <w:rPr>
                <w:rFonts w:ascii="Times New Roman" w:hAnsi="Times New Roman"/>
                <w:b w:val="0"/>
                <w:sz w:val="18"/>
              </w:rPr>
              <w:t>70.1%</w:t>
            </w:r>
          </w:p>
        </w:tc>
      </w:tr>
      <w:tr>
        <w:tc>
          <w:tcPr>
            <w:tcW w:type="dxa" w:w="3009"/>
          </w:tcPr>
          <w:p>
            <w:pPr>
              <w:spacing w:line="240" w:lineRule="auto"/>
            </w:pPr>
            <w:r/>
            <w:r>
              <w:rPr>
                <w:rFonts w:ascii="Times New Roman" w:hAnsi="Times New Roman"/>
                <w:b w:val="0"/>
                <w:sz w:val="18"/>
              </w:rPr>
              <w:t>Mild</w:t>
            </w:r>
          </w:p>
        </w:tc>
        <w:tc>
          <w:tcPr>
            <w:tcW w:type="dxa" w:w="3009"/>
          </w:tcPr>
          <w:p>
            <w:pPr>
              <w:spacing w:line="240" w:lineRule="auto"/>
            </w:pPr>
            <w:r/>
            <w:r>
              <w:rPr>
                <w:rFonts w:ascii="Times New Roman" w:hAnsi="Times New Roman"/>
                <w:b w:val="0"/>
                <w:sz w:val="18"/>
              </w:rPr>
              <w:t>15.3%</w:t>
            </w:r>
          </w:p>
        </w:tc>
        <w:tc>
          <w:tcPr>
            <w:tcW w:type="dxa" w:w="3009"/>
          </w:tcPr>
          <w:p>
            <w:pPr>
              <w:spacing w:line="240" w:lineRule="auto"/>
            </w:pPr>
            <w:r/>
            <w:r>
              <w:rPr>
                <w:rFonts w:ascii="Times New Roman" w:hAnsi="Times New Roman"/>
                <w:b w:val="0"/>
                <w:sz w:val="18"/>
              </w:rPr>
              <w:t>15.0%</w:t>
            </w:r>
          </w:p>
        </w:tc>
      </w:tr>
      <w:tr>
        <w:tc>
          <w:tcPr>
            <w:tcW w:type="dxa" w:w="3009"/>
          </w:tcPr>
          <w:p>
            <w:pPr>
              <w:spacing w:line="240" w:lineRule="auto"/>
            </w:pPr>
            <w:r/>
            <w:r>
              <w:rPr>
                <w:rFonts w:ascii="Times New Roman" w:hAnsi="Times New Roman"/>
                <w:b w:val="0"/>
                <w:sz w:val="18"/>
              </w:rPr>
              <w:t>Moderate</w:t>
            </w:r>
          </w:p>
        </w:tc>
        <w:tc>
          <w:tcPr>
            <w:tcW w:type="dxa" w:w="3009"/>
          </w:tcPr>
          <w:p>
            <w:pPr>
              <w:spacing w:line="240" w:lineRule="auto"/>
            </w:pPr>
            <w:r/>
            <w:r>
              <w:rPr>
                <w:rFonts w:ascii="Times New Roman" w:hAnsi="Times New Roman"/>
                <w:b w:val="0"/>
                <w:sz w:val="18"/>
              </w:rPr>
              <w:t>8.1%</w:t>
            </w:r>
          </w:p>
        </w:tc>
        <w:tc>
          <w:tcPr>
            <w:tcW w:type="dxa" w:w="3009"/>
          </w:tcPr>
          <w:p>
            <w:pPr>
              <w:spacing w:line="240" w:lineRule="auto"/>
            </w:pPr>
            <w:r/>
            <w:r>
              <w:rPr>
                <w:rFonts w:ascii="Times New Roman" w:hAnsi="Times New Roman"/>
                <w:b w:val="0"/>
                <w:sz w:val="18"/>
              </w:rPr>
              <w:t>8.0%</w:t>
            </w:r>
          </w:p>
        </w:tc>
      </w:tr>
      <w:tr>
        <w:tc>
          <w:tcPr>
            <w:tcW w:type="dxa" w:w="3009"/>
          </w:tcPr>
          <w:p>
            <w:pPr>
              <w:spacing w:line="240" w:lineRule="auto"/>
            </w:pPr>
            <w:r/>
            <w:r>
              <w:rPr>
                <w:rFonts w:ascii="Times New Roman" w:hAnsi="Times New Roman"/>
                <w:b w:val="0"/>
                <w:sz w:val="18"/>
              </w:rPr>
              <w:t>Moderately Severe</w:t>
            </w:r>
          </w:p>
        </w:tc>
        <w:tc>
          <w:tcPr>
            <w:tcW w:type="dxa" w:w="3009"/>
          </w:tcPr>
          <w:p>
            <w:pPr>
              <w:spacing w:line="240" w:lineRule="auto"/>
            </w:pPr>
            <w:r/>
            <w:r>
              <w:rPr>
                <w:rFonts w:ascii="Times New Roman" w:hAnsi="Times New Roman"/>
                <w:b w:val="0"/>
                <w:sz w:val="18"/>
              </w:rPr>
              <w:t>3.9%</w:t>
            </w:r>
          </w:p>
        </w:tc>
        <w:tc>
          <w:tcPr>
            <w:tcW w:type="dxa" w:w="3009"/>
          </w:tcPr>
          <w:p>
            <w:pPr>
              <w:spacing w:line="240" w:lineRule="auto"/>
            </w:pPr>
            <w:r/>
            <w:r>
              <w:rPr>
                <w:rFonts w:ascii="Times New Roman" w:hAnsi="Times New Roman"/>
                <w:b w:val="0"/>
                <w:sz w:val="18"/>
              </w:rPr>
              <w:t>3.8%</w:t>
            </w:r>
          </w:p>
        </w:tc>
      </w:tr>
      <w:tr>
        <w:tc>
          <w:tcPr>
            <w:tcW w:type="dxa" w:w="3009"/>
          </w:tcPr>
          <w:p>
            <w:pPr>
              <w:spacing w:line="240" w:lineRule="auto"/>
            </w:pPr>
            <w:r/>
            <w:r>
              <w:rPr>
                <w:rFonts w:ascii="Times New Roman" w:hAnsi="Times New Roman"/>
                <w:b w:val="0"/>
                <w:sz w:val="18"/>
              </w:rPr>
              <w:t>Severe</w:t>
            </w:r>
          </w:p>
        </w:tc>
        <w:tc>
          <w:tcPr>
            <w:tcW w:type="dxa" w:w="3009"/>
          </w:tcPr>
          <w:p>
            <w:pPr>
              <w:spacing w:line="240" w:lineRule="auto"/>
            </w:pPr>
            <w:r/>
            <w:r>
              <w:rPr>
                <w:rFonts w:ascii="Times New Roman" w:hAnsi="Times New Roman"/>
                <w:b w:val="0"/>
                <w:sz w:val="18"/>
              </w:rPr>
              <w:t>2.1%</w:t>
            </w:r>
          </w:p>
        </w:tc>
        <w:tc>
          <w:tcPr>
            <w:tcW w:type="dxa" w:w="3009"/>
          </w:tcPr>
          <w:p>
            <w:pPr>
              <w:spacing w:line="240" w:lineRule="auto"/>
            </w:pPr>
            <w:r/>
            <w:r>
              <w:rPr>
                <w:rFonts w:ascii="Times New Roman" w:hAnsi="Times New Roman"/>
                <w:b w:val="0"/>
                <w:sz w:val="18"/>
              </w:rPr>
              <w:t>2.2%</w:t>
            </w:r>
          </w:p>
        </w:tc>
      </w:tr>
      <w:tr>
        <w:tc>
          <w:tcPr>
            <w:tcW w:type="dxa" w:w="3009"/>
          </w:tcPr>
          <w:p>
            <w:pPr>
              <w:spacing w:line="240" w:lineRule="auto"/>
            </w:pPr>
            <w:r/>
            <w:r>
              <w:rPr>
                <w:rFonts w:ascii="Times New Roman" w:hAnsi="Times New Roman"/>
                <w:b w:val="0"/>
                <w:sz w:val="18"/>
              </w:rPr>
              <w:t>Profound</w:t>
            </w:r>
          </w:p>
        </w:tc>
        <w:tc>
          <w:tcPr>
            <w:tcW w:type="dxa" w:w="3009"/>
          </w:tcPr>
          <w:p>
            <w:pPr>
              <w:spacing w:line="240" w:lineRule="auto"/>
            </w:pPr>
            <w:r/>
            <w:r>
              <w:rPr>
                <w:rFonts w:ascii="Times New Roman" w:hAnsi="Times New Roman"/>
                <w:b w:val="0"/>
                <w:sz w:val="18"/>
              </w:rPr>
              <w:t>0.9%</w:t>
            </w:r>
          </w:p>
        </w:tc>
        <w:tc>
          <w:tcPr>
            <w:tcW w:type="dxa" w:w="3009"/>
          </w:tcPr>
          <w:p>
            <w:pPr>
              <w:spacing w:line="240" w:lineRule="auto"/>
            </w:pPr>
            <w:r/>
            <w:r>
              <w:rPr>
                <w:rFonts w:ascii="Times New Roman" w:hAnsi="Times New Roman"/>
                <w:b w:val="0"/>
                <w:sz w:val="18"/>
              </w:rPr>
              <w:t>0.9%</w:t>
            </w:r>
          </w:p>
        </w:tc>
      </w:tr>
    </w:tbl>
    <w:p>
      <w:pPr>
        <w:spacing w:line="480" w:lineRule="auto" w:before="200"/>
      </w:pPr>
      <w:r>
        <w:rPr>
          <w:rFonts w:ascii="Times New Roman" w:hAnsi="Times New Roman"/>
          <w:b/>
          <w:sz w:val="24"/>
          <w:u w:val="single"/>
        </w:rPr>
        <w:t>Table 2. Classification Performance on Held-Out Test Set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Metric</w:t>
            </w:r>
          </w:p>
        </w:tc>
        <w:tc>
          <w:tcPr>
            <w:tcW w:type="dxa" w:w="1805"/>
          </w:tcPr>
          <w:p>
            <w:pPr>
              <w:spacing w:line="240" w:lineRule="auto"/>
            </w:pPr>
            <w:r/>
            <w:r>
              <w:rPr>
                <w:rFonts w:ascii="Times New Roman" w:hAnsi="Times New Roman"/>
                <w:b/>
                <w:sz w:val="18"/>
              </w:rPr>
              <w:t>FAI (Fuzzy)</w:t>
            </w:r>
          </w:p>
        </w:tc>
        <w:tc>
          <w:tcPr>
            <w:tcW w:type="dxa" w:w="1805"/>
          </w:tcPr>
          <w:p>
            <w:pPr>
              <w:spacing w:line="240" w:lineRule="auto"/>
            </w:pPr>
            <w:r/>
            <w:r>
              <w:rPr>
                <w:rFonts w:ascii="Times New Roman" w:hAnsi="Times New Roman"/>
                <w:b/>
                <w:sz w:val="18"/>
              </w:rPr>
              <w:t>PTA-4 (WHO)</w:t>
            </w:r>
          </w:p>
        </w:tc>
        <w:tc>
          <w:tcPr>
            <w:tcW w:type="dxa" w:w="1805"/>
          </w:tcPr>
          <w:p>
            <w:pPr>
              <w:spacing w:line="240" w:lineRule="auto"/>
            </w:pPr>
            <w:r/>
            <w:r>
              <w:rPr>
                <w:rFonts w:ascii="Times New Roman" w:hAnsi="Times New Roman"/>
                <w:b/>
                <w:sz w:val="18"/>
              </w:rPr>
              <w:t>XGBoost</w:t>
            </w:r>
          </w:p>
        </w:tc>
        <w:tc>
          <w:tcPr>
            <w:tcW w:type="dxa" w:w="1805"/>
          </w:tcPr>
          <w:p>
            <w:pPr>
              <w:spacing w:line="240" w:lineRule="auto"/>
            </w:pPr>
            <w:r/>
            <w:r>
              <w:rPr>
                <w:rFonts w:ascii="Times New Roman" w:hAnsi="Times New Roman"/>
                <w:b/>
                <w:sz w:val="18"/>
              </w:rPr>
              <w:t>Random Forest</w:t>
            </w:r>
          </w:p>
        </w:tc>
      </w:tr>
      <w:tr>
        <w:tc>
          <w:tcPr>
            <w:tcW w:type="dxa" w:w="1805"/>
          </w:tcPr>
          <w:p>
            <w:pPr>
              <w:spacing w:line="240" w:lineRule="auto"/>
            </w:pPr>
            <w:r/>
            <w:r>
              <w:rPr>
                <w:rFonts w:ascii="Times New Roman" w:hAnsi="Times New Roman"/>
                <w:b w:val="0"/>
                <w:sz w:val="18"/>
              </w:rPr>
              <w:t>Weighted κ vs. Reference</w:t>
            </w:r>
          </w:p>
        </w:tc>
        <w:tc>
          <w:tcPr>
            <w:tcW w:type="dxa" w:w="1805"/>
          </w:tcPr>
          <w:p>
            <w:pPr>
              <w:spacing w:line="240" w:lineRule="auto"/>
            </w:pPr>
            <w:r/>
            <w:r>
              <w:rPr>
                <w:rFonts w:ascii="Times New Roman" w:hAnsi="Times New Roman"/>
                <w:b w:val="0"/>
                <w:sz w:val="18"/>
              </w:rPr>
              <w:t>0.89</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0.85</w:t>
            </w:r>
          </w:p>
        </w:tc>
        <w:tc>
          <w:tcPr>
            <w:tcW w:type="dxa" w:w="1805"/>
          </w:tcPr>
          <w:p>
            <w:pPr>
              <w:spacing w:line="240" w:lineRule="auto"/>
            </w:pPr>
            <w:r/>
            <w:r>
              <w:rPr>
                <w:rFonts w:ascii="Times New Roman" w:hAnsi="Times New Roman"/>
                <w:b w:val="0"/>
                <w:sz w:val="18"/>
              </w:rPr>
              <w:t>0.83</w:t>
            </w:r>
          </w:p>
        </w:tc>
      </w:tr>
      <w:tr>
        <w:tc>
          <w:tcPr>
            <w:tcW w:type="dxa" w:w="1805"/>
          </w:tcPr>
          <w:p>
            <w:pPr>
              <w:spacing w:line="240" w:lineRule="auto"/>
            </w:pPr>
            <w:r/>
            <w:r>
              <w:rPr>
                <w:rFonts w:ascii="Times New Roman" w:hAnsi="Times New Roman"/>
                <w:b w:val="0"/>
                <w:sz w:val="18"/>
              </w:rPr>
              <w:t>Overall Accuracy</w:t>
            </w:r>
          </w:p>
        </w:tc>
        <w:tc>
          <w:tcPr>
            <w:tcW w:type="dxa" w:w="1805"/>
          </w:tcPr>
          <w:p>
            <w:pPr>
              <w:spacing w:line="240" w:lineRule="auto"/>
            </w:pPr>
            <w:r/>
            <w:r>
              <w:rPr>
                <w:rFonts w:ascii="Times New Roman" w:hAnsi="Times New Roman"/>
                <w:b w:val="0"/>
                <w:sz w:val="18"/>
              </w:rPr>
              <w:t>93.1%</w:t>
            </w:r>
          </w:p>
        </w:tc>
        <w:tc>
          <w:tcPr>
            <w:tcW w:type="dxa" w:w="1805"/>
          </w:tcPr>
          <w:p>
            <w:pPr>
              <w:spacing w:line="240" w:lineRule="auto"/>
            </w:pPr>
            <w:r/>
            <w:r>
              <w:rPr>
                <w:rFonts w:ascii="Times New Roman" w:hAnsi="Times New Roman"/>
                <w:b w:val="0"/>
                <w:sz w:val="18"/>
              </w:rPr>
              <w:t>86.2%</w:t>
            </w:r>
          </w:p>
        </w:tc>
        <w:tc>
          <w:tcPr>
            <w:tcW w:type="dxa" w:w="1805"/>
          </w:tcPr>
          <w:p>
            <w:pPr>
              <w:spacing w:line="240" w:lineRule="auto"/>
            </w:pPr>
            <w:r/>
            <w:r>
              <w:rPr>
                <w:rFonts w:ascii="Times New Roman" w:hAnsi="Times New Roman"/>
                <w:b w:val="0"/>
                <w:sz w:val="18"/>
              </w:rPr>
              <w:t>89.4%</w:t>
            </w:r>
          </w:p>
        </w:tc>
        <w:tc>
          <w:tcPr>
            <w:tcW w:type="dxa" w:w="1805"/>
          </w:tcPr>
          <w:p>
            <w:pPr>
              <w:spacing w:line="240" w:lineRule="auto"/>
            </w:pPr>
            <w:r/>
            <w:r>
              <w:rPr>
                <w:rFonts w:ascii="Times New Roman" w:hAnsi="Times New Roman"/>
                <w:b w:val="0"/>
                <w:sz w:val="18"/>
              </w:rPr>
              <w:t>87.6%</w:t>
            </w:r>
          </w:p>
        </w:tc>
      </w:tr>
      <w:tr>
        <w:tc>
          <w:tcPr>
            <w:tcW w:type="dxa" w:w="1805"/>
          </w:tcPr>
          <w:p>
            <w:pPr>
              <w:spacing w:line="240" w:lineRule="auto"/>
            </w:pPr>
            <w:r/>
            <w:r>
              <w:rPr>
                <w:rFonts w:ascii="Times New Roman" w:hAnsi="Times New Roman"/>
                <w:b w:val="0"/>
                <w:sz w:val="18"/>
              </w:rPr>
              <w:t>Borderline Accuracy (±5 dB)</w:t>
            </w:r>
          </w:p>
        </w:tc>
        <w:tc>
          <w:tcPr>
            <w:tcW w:type="dxa" w:w="1805"/>
          </w:tcPr>
          <w:p>
            <w:pPr>
              <w:spacing w:line="240" w:lineRule="auto"/>
            </w:pPr>
            <w:r/>
            <w:r>
              <w:rPr>
                <w:rFonts w:ascii="Times New Roman" w:hAnsi="Times New Roman"/>
                <w:b w:val="0"/>
                <w:sz w:val="18"/>
              </w:rPr>
              <w:t>91.2%</w:t>
            </w:r>
          </w:p>
        </w:tc>
        <w:tc>
          <w:tcPr>
            <w:tcW w:type="dxa" w:w="1805"/>
          </w:tcPr>
          <w:p>
            <w:pPr>
              <w:spacing w:line="240" w:lineRule="auto"/>
            </w:pPr>
            <w:r/>
            <w:r>
              <w:rPr>
                <w:rFonts w:ascii="Times New Roman" w:hAnsi="Times New Roman"/>
                <w:b w:val="0"/>
                <w:sz w:val="18"/>
              </w:rPr>
              <w:t>68.4%</w:t>
            </w:r>
          </w:p>
        </w:tc>
        <w:tc>
          <w:tcPr>
            <w:tcW w:type="dxa" w:w="1805"/>
          </w:tcPr>
          <w:p>
            <w:pPr>
              <w:spacing w:line="240" w:lineRule="auto"/>
            </w:pPr>
            <w:r/>
            <w:r>
              <w:rPr>
                <w:rFonts w:ascii="Times New Roman" w:hAnsi="Times New Roman"/>
                <w:b w:val="0"/>
                <w:sz w:val="18"/>
              </w:rPr>
              <w:t>79.1%</w:t>
            </w:r>
          </w:p>
        </w:tc>
        <w:tc>
          <w:tcPr>
            <w:tcW w:type="dxa" w:w="1805"/>
          </w:tcPr>
          <w:p>
            <w:pPr>
              <w:spacing w:line="240" w:lineRule="auto"/>
            </w:pPr>
            <w:r/>
            <w:r>
              <w:rPr>
                <w:rFonts w:ascii="Times New Roman" w:hAnsi="Times New Roman"/>
                <w:b w:val="0"/>
                <w:sz w:val="18"/>
              </w:rPr>
              <w:t>76.3%</w:t>
            </w:r>
          </w:p>
        </w:tc>
      </w:tr>
      <w:tr>
        <w:tc>
          <w:tcPr>
            <w:tcW w:type="dxa" w:w="1805"/>
          </w:tcPr>
          <w:p>
            <w:pPr>
              <w:spacing w:line="240" w:lineRule="auto"/>
            </w:pPr>
            <w:r/>
            <w:r>
              <w:rPr>
                <w:rFonts w:ascii="Times New Roman" w:hAnsi="Times New Roman"/>
                <w:b w:val="0"/>
                <w:sz w:val="18"/>
              </w:rPr>
              <w:t>Clear-case Accuracy</w:t>
            </w:r>
          </w:p>
        </w:tc>
        <w:tc>
          <w:tcPr>
            <w:tcW w:type="dxa" w:w="1805"/>
          </w:tcPr>
          <w:p>
            <w:pPr>
              <w:spacing w:line="240" w:lineRule="auto"/>
            </w:pPr>
            <w:r/>
            <w:r>
              <w:rPr>
                <w:rFonts w:ascii="Times New Roman" w:hAnsi="Times New Roman"/>
                <w:b w:val="0"/>
                <w:sz w:val="18"/>
              </w:rPr>
              <w:t>94.3%</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92.2%</w:t>
            </w:r>
          </w:p>
        </w:tc>
        <w:tc>
          <w:tcPr>
            <w:tcW w:type="dxa" w:w="1805"/>
          </w:tcPr>
          <w:p>
            <w:pPr>
              <w:spacing w:line="240" w:lineRule="auto"/>
            </w:pPr>
            <w:r/>
            <w:r>
              <w:rPr>
                <w:rFonts w:ascii="Times New Roman" w:hAnsi="Times New Roman"/>
                <w:b w:val="0"/>
                <w:sz w:val="18"/>
              </w:rPr>
              <w:t>90.4%</w:t>
            </w:r>
          </w:p>
        </w:tc>
      </w:tr>
      <w:tr>
        <w:tc>
          <w:tcPr>
            <w:tcW w:type="dxa" w:w="1805"/>
          </w:tcPr>
          <w:p>
            <w:pPr>
              <w:spacing w:line="240" w:lineRule="auto"/>
            </w:pPr>
            <w:r/>
            <w:r>
              <w:rPr>
                <w:rFonts w:ascii="Times New Roman" w:hAnsi="Times New Roman"/>
                <w:b w:val="0"/>
                <w:sz w:val="18"/>
              </w:rPr>
              <w:t>Spearman ρ vs. PTA-4</w:t>
            </w:r>
          </w:p>
        </w:tc>
        <w:tc>
          <w:tcPr>
            <w:tcW w:type="dxa" w:w="1805"/>
          </w:tcPr>
          <w:p>
            <w:pPr>
              <w:spacing w:line="240" w:lineRule="auto"/>
            </w:pPr>
            <w:r/>
            <w:r>
              <w:rPr>
                <w:rFonts w:ascii="Times New Roman" w:hAnsi="Times New Roman"/>
                <w:b w:val="0"/>
                <w:sz w:val="18"/>
              </w:rPr>
              <w:t>0.96</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0.92</w:t>
            </w:r>
          </w:p>
        </w:tc>
        <w:tc>
          <w:tcPr>
            <w:tcW w:type="dxa" w:w="1805"/>
          </w:tcPr>
          <w:p>
            <w:pPr>
              <w:spacing w:line="240" w:lineRule="auto"/>
            </w:pPr>
            <w:r/>
            <w:r>
              <w:rPr>
                <w:rFonts w:ascii="Times New Roman" w:hAnsi="Times New Roman"/>
                <w:b w:val="0"/>
                <w:sz w:val="18"/>
              </w:rPr>
              <w:t>0.91</w:t>
            </w:r>
          </w:p>
        </w:tc>
      </w:tr>
      <w:tr>
        <w:tc>
          <w:tcPr>
            <w:tcW w:type="dxa" w:w="1805"/>
          </w:tcPr>
          <w:p>
            <w:pPr>
              <w:spacing w:line="240" w:lineRule="auto"/>
            </w:pPr>
            <w:r/>
            <w:r>
              <w:rPr>
                <w:rFonts w:ascii="Times New Roman" w:hAnsi="Times New Roman"/>
                <w:b w:val="0"/>
                <w:sz w:val="18"/>
              </w:rPr>
              <w:t>MAE vs. PTA-4 (dB)</w:t>
            </w:r>
          </w:p>
        </w:tc>
        <w:tc>
          <w:tcPr>
            <w:tcW w:type="dxa" w:w="1805"/>
          </w:tcPr>
          <w:p>
            <w:pPr>
              <w:spacing w:line="240" w:lineRule="auto"/>
            </w:pPr>
            <w:r/>
            <w:r>
              <w:rPr>
                <w:rFonts w:ascii="Times New Roman" w:hAnsi="Times New Roman"/>
                <w:b w:val="0"/>
                <w:sz w:val="18"/>
              </w:rPr>
              <w:t>3.1</w:t>
            </w:r>
          </w:p>
        </w:tc>
        <w:tc>
          <w:tcPr>
            <w:tcW w:type="dxa" w:w="1805"/>
          </w:tcPr>
          <w:p>
            <w:pPr>
              <w:spacing w:line="240" w:lineRule="auto"/>
            </w:pPr>
            <w:r/>
            <w:r>
              <w:rPr>
                <w:rFonts w:ascii="Times New Roman" w:hAnsi="Times New Roman"/>
                <w:b w:val="0"/>
                <w:sz w:val="18"/>
              </w:rPr>
              <w:t>0.0*</w:t>
            </w:r>
          </w:p>
        </w:tc>
        <w:tc>
          <w:tcPr>
            <w:tcW w:type="dxa" w:w="1805"/>
          </w:tcPr>
          <w:p>
            <w:pPr>
              <w:spacing w:line="240" w:lineRule="auto"/>
            </w:pPr>
            <w:r/>
            <w:r>
              <w:rPr>
                <w:rFonts w:ascii="Times New Roman" w:hAnsi="Times New Roman"/>
                <w:b w:val="0"/>
                <w:sz w:val="18"/>
              </w:rPr>
              <w:t>5.8</w:t>
            </w:r>
          </w:p>
        </w:tc>
        <w:tc>
          <w:tcPr>
            <w:tcW w:type="dxa" w:w="1805"/>
          </w:tcPr>
          <w:p>
            <w:pPr>
              <w:spacing w:line="240" w:lineRule="auto"/>
            </w:pPr>
            <w:r/>
            <w:r>
              <w:rPr>
                <w:rFonts w:ascii="Times New Roman" w:hAnsi="Times New Roman"/>
                <w:b w:val="0"/>
                <w:sz w:val="18"/>
              </w:rPr>
              <w:t>6.4</w:t>
            </w:r>
          </w:p>
        </w:tc>
      </w:tr>
    </w:tbl>
    <w:p>
      <w:pPr>
        <w:spacing w:line="480" w:lineRule="auto"/>
        <w:ind w:firstLine="720"/>
      </w:pPr>
      <w:r>
        <w:rPr>
          <w:rFonts w:ascii="Times New Roman" w:hAnsi="Times New Roman"/>
          <w:b w:val="0"/>
          <w:i w:val="0"/>
          <w:sz w:val="24"/>
        </w:rPr>
        <w:t>*PTA-4 is the reference standard; metrics reflect definitional agreement.</w:t>
      </w:r>
    </w:p>
    <w:p>
      <w:pPr>
        <w:spacing w:line="480" w:lineRule="auto" w:before="200"/>
      </w:pPr>
      <w:r>
        <w:rPr>
          <w:rFonts w:ascii="Times New Roman" w:hAnsi="Times New Roman"/>
          <w:b/>
          <w:sz w:val="24"/>
          <w:u w:val="single"/>
        </w:rPr>
        <w:t>Table 3. Configuration Classification Performance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Configuration</w:t>
            </w:r>
          </w:p>
        </w:tc>
        <w:tc>
          <w:tcPr>
            <w:tcW w:type="dxa" w:w="1805"/>
          </w:tcPr>
          <w:p>
            <w:pPr>
              <w:spacing w:line="240" w:lineRule="auto"/>
            </w:pPr>
            <w:r/>
            <w:r>
              <w:rPr>
                <w:rFonts w:ascii="Times New Roman" w:hAnsi="Times New Roman"/>
                <w:b/>
                <w:sz w:val="18"/>
              </w:rPr>
              <w:t>n</w:t>
            </w:r>
          </w:p>
        </w:tc>
        <w:tc>
          <w:tcPr>
            <w:tcW w:type="dxa" w:w="1805"/>
          </w:tcPr>
          <w:p>
            <w:pPr>
              <w:spacing w:line="240" w:lineRule="auto"/>
            </w:pPr>
            <w:r/>
            <w:r>
              <w:rPr>
                <w:rFonts w:ascii="Times New Roman" w:hAnsi="Times New Roman"/>
                <w:b/>
                <w:sz w:val="18"/>
              </w:rPr>
              <w:t>Precision</w:t>
            </w:r>
          </w:p>
        </w:tc>
        <w:tc>
          <w:tcPr>
            <w:tcW w:type="dxa" w:w="1805"/>
          </w:tcPr>
          <w:p>
            <w:pPr>
              <w:spacing w:line="240" w:lineRule="auto"/>
            </w:pPr>
            <w:r/>
            <w:r>
              <w:rPr>
                <w:rFonts w:ascii="Times New Roman" w:hAnsi="Times New Roman"/>
                <w:b/>
                <w:sz w:val="18"/>
              </w:rPr>
              <w:t>Recall</w:t>
            </w:r>
          </w:p>
        </w:tc>
        <w:tc>
          <w:tcPr>
            <w:tcW w:type="dxa" w:w="1805"/>
          </w:tcPr>
          <w:p>
            <w:pPr>
              <w:spacing w:line="240" w:lineRule="auto"/>
            </w:pPr>
            <w:r/>
            <w:r>
              <w:rPr>
                <w:rFonts w:ascii="Times New Roman" w:hAnsi="Times New Roman"/>
                <w:b/>
                <w:sz w:val="18"/>
              </w:rPr>
              <w:t>F1-Score</w:t>
            </w:r>
          </w:p>
        </w:tc>
      </w:tr>
      <w:tr>
        <w:tc>
          <w:tcPr>
            <w:tcW w:type="dxa" w:w="1805"/>
          </w:tcPr>
          <w:p>
            <w:pPr>
              <w:spacing w:line="240" w:lineRule="auto"/>
            </w:pPr>
            <w:r/>
            <w:r>
              <w:rPr>
                <w:rFonts w:ascii="Times New Roman" w:hAnsi="Times New Roman"/>
                <w:b w:val="0"/>
                <w:sz w:val="18"/>
              </w:rPr>
              <w:t>Flat</w:t>
            </w:r>
          </w:p>
        </w:tc>
        <w:tc>
          <w:tcPr>
            <w:tcW w:type="dxa" w:w="1805"/>
          </w:tcPr>
          <w:p>
            <w:pPr>
              <w:spacing w:line="240" w:lineRule="auto"/>
            </w:pPr>
            <w:r/>
            <w:r>
              <w:rPr>
                <w:rFonts w:ascii="Times New Roman" w:hAnsi="Times New Roman"/>
                <w:b w:val="0"/>
                <w:sz w:val="18"/>
              </w:rPr>
              <w:t>155</w:t>
            </w:r>
          </w:p>
        </w:tc>
        <w:tc>
          <w:tcPr>
            <w:tcW w:type="dxa" w:w="1805"/>
          </w:tcPr>
          <w:p>
            <w:pPr>
              <w:spacing w:line="240" w:lineRule="auto"/>
            </w:pPr>
            <w:r/>
            <w:r>
              <w:rPr>
                <w:rFonts w:ascii="Times New Roman" w:hAnsi="Times New Roman"/>
                <w:b w:val="0"/>
                <w:sz w:val="18"/>
              </w:rPr>
              <w:t>0.94</w:t>
            </w:r>
          </w:p>
        </w:tc>
        <w:tc>
          <w:tcPr>
            <w:tcW w:type="dxa" w:w="1805"/>
          </w:tcPr>
          <w:p>
            <w:pPr>
              <w:spacing w:line="240" w:lineRule="auto"/>
            </w:pPr>
            <w:r/>
            <w:r>
              <w:rPr>
                <w:rFonts w:ascii="Times New Roman" w:hAnsi="Times New Roman"/>
                <w:b w:val="0"/>
                <w:sz w:val="18"/>
              </w:rPr>
              <w:t>0.94</w:t>
            </w:r>
          </w:p>
        </w:tc>
        <w:tc>
          <w:tcPr>
            <w:tcW w:type="dxa" w:w="1805"/>
          </w:tcPr>
          <w:p>
            <w:pPr>
              <w:spacing w:line="240" w:lineRule="auto"/>
            </w:pPr>
            <w:r/>
            <w:r>
              <w:rPr>
                <w:rFonts w:ascii="Times New Roman" w:hAnsi="Times New Roman"/>
                <w:b w:val="0"/>
                <w:sz w:val="18"/>
              </w:rPr>
              <w:t>0.94</w:t>
            </w:r>
          </w:p>
        </w:tc>
      </w:tr>
      <w:tr>
        <w:tc>
          <w:tcPr>
            <w:tcW w:type="dxa" w:w="1805"/>
          </w:tcPr>
          <w:p>
            <w:pPr>
              <w:spacing w:line="240" w:lineRule="auto"/>
            </w:pPr>
            <w:r/>
            <w:r>
              <w:rPr>
                <w:rFonts w:ascii="Times New Roman" w:hAnsi="Times New Roman"/>
                <w:b w:val="0"/>
                <w:sz w:val="18"/>
              </w:rPr>
              <w:t>Sloping</w:t>
            </w:r>
          </w:p>
        </w:tc>
        <w:tc>
          <w:tcPr>
            <w:tcW w:type="dxa" w:w="1805"/>
          </w:tcPr>
          <w:p>
            <w:pPr>
              <w:spacing w:line="240" w:lineRule="auto"/>
            </w:pPr>
            <w:r/>
            <w:r>
              <w:rPr>
                <w:rFonts w:ascii="Times New Roman" w:hAnsi="Times New Roman"/>
                <w:b w:val="0"/>
                <w:sz w:val="18"/>
              </w:rPr>
              <w:t>128</w:t>
            </w:r>
          </w:p>
        </w:tc>
        <w:tc>
          <w:tcPr>
            <w:tcW w:type="dxa" w:w="1805"/>
          </w:tcPr>
          <w:p>
            <w:pPr>
              <w:spacing w:line="240" w:lineRule="auto"/>
            </w:pPr>
            <w:r/>
            <w:r>
              <w:rPr>
                <w:rFonts w:ascii="Times New Roman" w:hAnsi="Times New Roman"/>
                <w:b w:val="0"/>
                <w:sz w:val="18"/>
              </w:rPr>
              <w:t>0.92</w:t>
            </w:r>
          </w:p>
        </w:tc>
        <w:tc>
          <w:tcPr>
            <w:tcW w:type="dxa" w:w="1805"/>
          </w:tcPr>
          <w:p>
            <w:pPr>
              <w:spacing w:line="240" w:lineRule="auto"/>
            </w:pPr>
            <w:r/>
            <w:r>
              <w:rPr>
                <w:rFonts w:ascii="Times New Roman" w:hAnsi="Times New Roman"/>
                <w:b w:val="0"/>
                <w:sz w:val="18"/>
              </w:rPr>
              <w:t>0.91</w:t>
            </w:r>
          </w:p>
        </w:tc>
        <w:tc>
          <w:tcPr>
            <w:tcW w:type="dxa" w:w="1805"/>
          </w:tcPr>
          <w:p>
            <w:pPr>
              <w:spacing w:line="240" w:lineRule="auto"/>
            </w:pPr>
            <w:r/>
            <w:r>
              <w:rPr>
                <w:rFonts w:ascii="Times New Roman" w:hAnsi="Times New Roman"/>
                <w:b w:val="0"/>
                <w:sz w:val="18"/>
              </w:rPr>
              <w:t>0.91</w:t>
            </w:r>
          </w:p>
        </w:tc>
      </w:tr>
      <w:tr>
        <w:tc>
          <w:tcPr>
            <w:tcW w:type="dxa" w:w="1805"/>
          </w:tcPr>
          <w:p>
            <w:pPr>
              <w:spacing w:line="240" w:lineRule="auto"/>
            </w:pPr>
            <w:r/>
            <w:r>
              <w:rPr>
                <w:rFonts w:ascii="Times New Roman" w:hAnsi="Times New Roman"/>
                <w:b w:val="0"/>
                <w:sz w:val="18"/>
              </w:rPr>
              <w:t>Steeply Sloping</w:t>
            </w:r>
          </w:p>
        </w:tc>
        <w:tc>
          <w:tcPr>
            <w:tcW w:type="dxa" w:w="1805"/>
          </w:tcPr>
          <w:p>
            <w:pPr>
              <w:spacing w:line="240" w:lineRule="auto"/>
            </w:pPr>
            <w:r/>
            <w:r>
              <w:rPr>
                <w:rFonts w:ascii="Times New Roman" w:hAnsi="Times New Roman"/>
                <w:b w:val="0"/>
                <w:sz w:val="18"/>
              </w:rPr>
              <w:t>92</w:t>
            </w:r>
          </w:p>
        </w:tc>
        <w:tc>
          <w:tcPr>
            <w:tcW w:type="dxa" w:w="1805"/>
          </w:tcPr>
          <w:p>
            <w:pPr>
              <w:spacing w:line="240" w:lineRule="auto"/>
            </w:pPr>
            <w:r/>
            <w:r>
              <w:rPr>
                <w:rFonts w:ascii="Times New Roman" w:hAnsi="Times New Roman"/>
                <w:b w:val="0"/>
                <w:sz w:val="18"/>
              </w:rPr>
              <w:t>0.87</w:t>
            </w:r>
          </w:p>
        </w:tc>
        <w:tc>
          <w:tcPr>
            <w:tcW w:type="dxa" w:w="1805"/>
          </w:tcPr>
          <w:p>
            <w:pPr>
              <w:spacing w:line="240" w:lineRule="auto"/>
            </w:pPr>
            <w:r/>
            <w:r>
              <w:rPr>
                <w:rFonts w:ascii="Times New Roman" w:hAnsi="Times New Roman"/>
                <w:b w:val="0"/>
                <w:sz w:val="18"/>
              </w:rPr>
              <w:t>0.86</w:t>
            </w:r>
          </w:p>
        </w:tc>
        <w:tc>
          <w:tcPr>
            <w:tcW w:type="dxa" w:w="1805"/>
          </w:tcPr>
          <w:p>
            <w:pPr>
              <w:spacing w:line="240" w:lineRule="auto"/>
            </w:pPr>
            <w:r/>
            <w:r>
              <w:rPr>
                <w:rFonts w:ascii="Times New Roman" w:hAnsi="Times New Roman"/>
                <w:b w:val="0"/>
                <w:sz w:val="18"/>
              </w:rPr>
              <w:t>0.86</w:t>
            </w:r>
          </w:p>
        </w:tc>
      </w:tr>
      <w:tr>
        <w:tc>
          <w:tcPr>
            <w:tcW w:type="dxa" w:w="1805"/>
          </w:tcPr>
          <w:p>
            <w:pPr>
              <w:spacing w:line="240" w:lineRule="auto"/>
            </w:pPr>
            <w:r/>
            <w:r>
              <w:rPr>
                <w:rFonts w:ascii="Times New Roman" w:hAnsi="Times New Roman"/>
                <w:b w:val="0"/>
                <w:sz w:val="18"/>
              </w:rPr>
              <w:t>Notched</w:t>
            </w:r>
          </w:p>
        </w:tc>
        <w:tc>
          <w:tcPr>
            <w:tcW w:type="dxa" w:w="1805"/>
          </w:tcPr>
          <w:p>
            <w:pPr>
              <w:spacing w:line="240" w:lineRule="auto"/>
            </w:pPr>
            <w:r/>
            <w:r>
              <w:rPr>
                <w:rFonts w:ascii="Times New Roman" w:hAnsi="Times New Roman"/>
                <w:b w:val="0"/>
                <w:sz w:val="18"/>
              </w:rPr>
              <w:t>57</w:t>
            </w:r>
          </w:p>
        </w:tc>
        <w:tc>
          <w:tcPr>
            <w:tcW w:type="dxa" w:w="1805"/>
          </w:tcPr>
          <w:p>
            <w:pPr>
              <w:spacing w:line="240" w:lineRule="auto"/>
            </w:pPr>
            <w:r/>
            <w:r>
              <w:rPr>
                <w:rFonts w:ascii="Times New Roman" w:hAnsi="Times New Roman"/>
                <w:b w:val="0"/>
                <w:sz w:val="18"/>
              </w:rPr>
              <w:t>0.85</w:t>
            </w:r>
          </w:p>
        </w:tc>
        <w:tc>
          <w:tcPr>
            <w:tcW w:type="dxa" w:w="1805"/>
          </w:tcPr>
          <w:p>
            <w:pPr>
              <w:spacing w:line="240" w:lineRule="auto"/>
            </w:pPr>
            <w:r/>
            <w:r>
              <w:rPr>
                <w:rFonts w:ascii="Times New Roman" w:hAnsi="Times New Roman"/>
                <w:b w:val="0"/>
                <w:sz w:val="18"/>
              </w:rPr>
              <w:t>0.84</w:t>
            </w:r>
          </w:p>
        </w:tc>
        <w:tc>
          <w:tcPr>
            <w:tcW w:type="dxa" w:w="1805"/>
          </w:tcPr>
          <w:p>
            <w:pPr>
              <w:spacing w:line="240" w:lineRule="auto"/>
            </w:pPr>
            <w:r/>
            <w:r>
              <w:rPr>
                <w:rFonts w:ascii="Times New Roman" w:hAnsi="Times New Roman"/>
                <w:b w:val="0"/>
                <w:sz w:val="18"/>
              </w:rPr>
              <w:t>0.84</w:t>
            </w:r>
          </w:p>
        </w:tc>
      </w:tr>
      <w:tr>
        <w:tc>
          <w:tcPr>
            <w:tcW w:type="dxa" w:w="1805"/>
          </w:tcPr>
          <w:p>
            <w:pPr>
              <w:spacing w:line="240" w:lineRule="auto"/>
            </w:pPr>
            <w:r/>
            <w:r>
              <w:rPr>
                <w:rFonts w:ascii="Times New Roman" w:hAnsi="Times New Roman"/>
                <w:b w:val="0"/>
                <w:sz w:val="18"/>
              </w:rPr>
              <w:t>Precipitous</w:t>
            </w:r>
          </w:p>
        </w:tc>
        <w:tc>
          <w:tcPr>
            <w:tcW w:type="dxa" w:w="1805"/>
          </w:tcPr>
          <w:p>
            <w:pPr>
              <w:spacing w:line="240" w:lineRule="auto"/>
            </w:pPr>
            <w:r/>
            <w:r>
              <w:rPr>
                <w:rFonts w:ascii="Times New Roman" w:hAnsi="Times New Roman"/>
                <w:b w:val="0"/>
                <w:sz w:val="18"/>
              </w:rPr>
              <w:t>42</w:t>
            </w:r>
          </w:p>
        </w:tc>
        <w:tc>
          <w:tcPr>
            <w:tcW w:type="dxa" w:w="1805"/>
          </w:tcPr>
          <w:p>
            <w:pPr>
              <w:spacing w:line="240" w:lineRule="auto"/>
            </w:pPr>
            <w:r/>
            <w:r>
              <w:rPr>
                <w:rFonts w:ascii="Times New Roman" w:hAnsi="Times New Roman"/>
                <w:b w:val="0"/>
                <w:sz w:val="18"/>
              </w:rPr>
              <w:t>0.88</w:t>
            </w:r>
          </w:p>
        </w:tc>
        <w:tc>
          <w:tcPr>
            <w:tcW w:type="dxa" w:w="1805"/>
          </w:tcPr>
          <w:p>
            <w:pPr>
              <w:spacing w:line="240" w:lineRule="auto"/>
            </w:pPr>
            <w:r/>
            <w:r>
              <w:rPr>
                <w:rFonts w:ascii="Times New Roman" w:hAnsi="Times New Roman"/>
                <w:b w:val="0"/>
                <w:sz w:val="18"/>
              </w:rPr>
              <w:t>0.86</w:t>
            </w:r>
          </w:p>
        </w:tc>
        <w:tc>
          <w:tcPr>
            <w:tcW w:type="dxa" w:w="1805"/>
          </w:tcPr>
          <w:p>
            <w:pPr>
              <w:spacing w:line="240" w:lineRule="auto"/>
            </w:pPr>
            <w:r/>
            <w:r>
              <w:rPr>
                <w:rFonts w:ascii="Times New Roman" w:hAnsi="Times New Roman"/>
                <w:b w:val="0"/>
                <w:sz w:val="18"/>
              </w:rPr>
              <w:t>0.87</w:t>
            </w:r>
          </w:p>
        </w:tc>
      </w:tr>
      <w:tr>
        <w:tc>
          <w:tcPr>
            <w:tcW w:type="dxa" w:w="1805"/>
          </w:tcPr>
          <w:p>
            <w:pPr>
              <w:spacing w:line="240" w:lineRule="auto"/>
            </w:pPr>
            <w:r/>
            <w:r>
              <w:rPr>
                <w:rFonts w:ascii="Times New Roman" w:hAnsi="Times New Roman"/>
                <w:b w:val="0"/>
                <w:sz w:val="18"/>
              </w:rPr>
              <w:t>Rising</w:t>
            </w:r>
          </w:p>
        </w:tc>
        <w:tc>
          <w:tcPr>
            <w:tcW w:type="dxa" w:w="1805"/>
          </w:tcPr>
          <w:p>
            <w:pPr>
              <w:spacing w:line="240" w:lineRule="auto"/>
            </w:pPr>
            <w:r/>
            <w:r>
              <w:rPr>
                <w:rFonts w:ascii="Times New Roman" w:hAnsi="Times New Roman"/>
                <w:b w:val="0"/>
                <w:sz w:val="18"/>
              </w:rPr>
              <w:t>26</w:t>
            </w:r>
          </w:p>
        </w:tc>
        <w:tc>
          <w:tcPr>
            <w:tcW w:type="dxa" w:w="1805"/>
          </w:tcPr>
          <w:p>
            <w:pPr>
              <w:spacing w:line="240" w:lineRule="auto"/>
            </w:pPr>
            <w:r/>
            <w:r>
              <w:rPr>
                <w:rFonts w:ascii="Times New Roman" w:hAnsi="Times New Roman"/>
                <w:b w:val="0"/>
                <w:sz w:val="18"/>
              </w:rPr>
              <w:t>0.74</w:t>
            </w:r>
          </w:p>
        </w:tc>
        <w:tc>
          <w:tcPr>
            <w:tcW w:type="dxa" w:w="1805"/>
          </w:tcPr>
          <w:p>
            <w:pPr>
              <w:spacing w:line="240" w:lineRule="auto"/>
            </w:pPr>
            <w:r/>
            <w:r>
              <w:rPr>
                <w:rFonts w:ascii="Times New Roman" w:hAnsi="Times New Roman"/>
                <w:b w:val="0"/>
                <w:sz w:val="18"/>
              </w:rPr>
              <w:t>0.72</w:t>
            </w:r>
          </w:p>
        </w:tc>
        <w:tc>
          <w:tcPr>
            <w:tcW w:type="dxa" w:w="1805"/>
          </w:tcPr>
          <w:p>
            <w:pPr>
              <w:spacing w:line="240" w:lineRule="auto"/>
            </w:pPr>
            <w:r/>
            <w:r>
              <w:rPr>
                <w:rFonts w:ascii="Times New Roman" w:hAnsi="Times New Roman"/>
                <w:b w:val="0"/>
                <w:sz w:val="18"/>
              </w:rPr>
              <w:t>0.73</w:t>
            </w:r>
          </w:p>
        </w:tc>
      </w:tr>
    </w:tbl>
    <w:p>
      <w:pPr>
        <w:spacing w:line="480" w:lineRule="auto" w:before="200"/>
      </w:pPr>
      <w:r>
        <w:rPr>
          <w:rFonts w:ascii="Times New Roman" w:hAnsi="Times New Roman"/>
          <w:b/>
          <w:sz w:val="24"/>
          <w:u w:val="single"/>
        </w:rPr>
        <w:t>Table 4. Fuzzy vs. Crisp Classification at Severity Boundaries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PTA-4 (dB)</w:t>
            </w:r>
          </w:p>
        </w:tc>
        <w:tc>
          <w:tcPr>
            <w:tcW w:type="dxa" w:w="1805"/>
          </w:tcPr>
          <w:p>
            <w:pPr>
              <w:spacing w:line="240" w:lineRule="auto"/>
            </w:pPr>
            <w:r/>
            <w:r>
              <w:rPr>
                <w:rFonts w:ascii="Times New Roman" w:hAnsi="Times New Roman"/>
                <w:b/>
                <w:sz w:val="18"/>
              </w:rPr>
              <w:t>WHO Grade</w:t>
            </w:r>
          </w:p>
        </w:tc>
        <w:tc>
          <w:tcPr>
            <w:tcW w:type="dxa" w:w="1805"/>
          </w:tcPr>
          <w:p>
            <w:pPr>
              <w:spacing w:line="240" w:lineRule="auto"/>
            </w:pPr>
            <w:r/>
            <w:r>
              <w:rPr>
                <w:rFonts w:ascii="Times New Roman" w:hAnsi="Times New Roman"/>
                <w:b/>
                <w:sz w:val="18"/>
              </w:rPr>
              <w:t>FAI Score</w:t>
            </w:r>
          </w:p>
        </w:tc>
        <w:tc>
          <w:tcPr>
            <w:tcW w:type="dxa" w:w="1805"/>
          </w:tcPr>
          <w:p>
            <w:pPr>
              <w:spacing w:line="240" w:lineRule="auto"/>
            </w:pPr>
            <w:r/>
            <w:r>
              <w:rPr>
                <w:rFonts w:ascii="Times New Roman" w:hAnsi="Times New Roman"/>
                <w:b/>
                <w:sz w:val="18"/>
              </w:rPr>
              <w:t>FAI Grade</w:t>
            </w:r>
          </w:p>
        </w:tc>
        <w:tc>
          <w:tcPr>
            <w:tcW w:type="dxa" w:w="1805"/>
          </w:tcPr>
          <w:p>
            <w:pPr>
              <w:spacing w:line="240" w:lineRule="auto"/>
            </w:pPr>
            <w:r/>
            <w:r>
              <w:rPr>
                <w:rFonts w:ascii="Times New Roman" w:hAnsi="Times New Roman"/>
                <w:b/>
                <w:sz w:val="18"/>
              </w:rPr>
              <w:t>Key Memberships</w:t>
            </w:r>
          </w:p>
        </w:tc>
      </w:tr>
      <w:tr>
        <w:tc>
          <w:tcPr>
            <w:tcW w:type="dxa" w:w="1805"/>
          </w:tcPr>
          <w:p>
            <w:pPr>
              <w:spacing w:line="240" w:lineRule="auto"/>
            </w:pPr>
            <w:r/>
            <w:r>
              <w:rPr>
                <w:rFonts w:ascii="Times New Roman" w:hAnsi="Times New Roman"/>
                <w:b w:val="0"/>
                <w:sz w:val="18"/>
              </w:rPr>
              <w:t>24</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19.0</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Normal μ=0.60, Mild μ=0.67</w:t>
            </w:r>
          </w:p>
        </w:tc>
      </w:tr>
      <w:tr>
        <w:tc>
          <w:tcPr>
            <w:tcW w:type="dxa" w:w="1805"/>
          </w:tcPr>
          <w:p>
            <w:pPr>
              <w:spacing w:line="240" w:lineRule="auto"/>
            </w:pPr>
            <w:r/>
            <w:r>
              <w:rPr>
                <w:rFonts w:ascii="Times New Roman" w:hAnsi="Times New Roman"/>
                <w:b w:val="0"/>
                <w:sz w:val="18"/>
              </w:rPr>
              <w:t>25</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23.1</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Normal μ=0.50, Mild μ=0.83</w:t>
            </w:r>
          </w:p>
        </w:tc>
      </w:tr>
      <w:tr>
        <w:tc>
          <w:tcPr>
            <w:tcW w:type="dxa" w:w="1805"/>
          </w:tcPr>
          <w:p>
            <w:pPr>
              <w:spacing w:line="240" w:lineRule="auto"/>
            </w:pPr>
            <w:r/>
            <w:r>
              <w:rPr>
                <w:rFonts w:ascii="Times New Roman" w:hAnsi="Times New Roman"/>
                <w:b w:val="0"/>
                <w:sz w:val="18"/>
              </w:rPr>
              <w:t>26</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24.6</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Normal μ=0.40, Mild μ=1.00</w:t>
            </w:r>
          </w:p>
        </w:tc>
      </w:tr>
      <w:tr>
        <w:tc>
          <w:tcPr>
            <w:tcW w:type="dxa" w:w="1805"/>
          </w:tcPr>
          <w:p>
            <w:pPr>
              <w:spacing w:line="240" w:lineRule="auto"/>
            </w:pPr>
            <w:r/>
            <w:r>
              <w:rPr>
                <w:rFonts w:ascii="Times New Roman" w:hAnsi="Times New Roman"/>
                <w:b w:val="0"/>
                <w:sz w:val="18"/>
              </w:rPr>
              <w:t>40</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41.9</w:t>
            </w:r>
          </w:p>
        </w:tc>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Mild μ=0.50, Moderate μ=0.83</w:t>
            </w:r>
          </w:p>
        </w:tc>
      </w:tr>
      <w:tr>
        <w:tc>
          <w:tcPr>
            <w:tcW w:type="dxa" w:w="1805"/>
          </w:tcPr>
          <w:p>
            <w:pPr>
              <w:spacing w:line="240" w:lineRule="auto"/>
            </w:pPr>
            <w:r/>
            <w:r>
              <w:rPr>
                <w:rFonts w:ascii="Times New Roman" w:hAnsi="Times New Roman"/>
                <w:b w:val="0"/>
                <w:sz w:val="18"/>
              </w:rPr>
              <w:t>55</w:t>
            </w:r>
          </w:p>
        </w:tc>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58.5</w:t>
            </w:r>
          </w:p>
        </w:tc>
        <w:tc>
          <w:tcPr>
            <w:tcW w:type="dxa" w:w="1805"/>
          </w:tcPr>
          <w:p>
            <w:pPr>
              <w:spacing w:line="240" w:lineRule="auto"/>
            </w:pPr>
            <w:r/>
            <w:r>
              <w:rPr>
                <w:rFonts w:ascii="Times New Roman" w:hAnsi="Times New Roman"/>
                <w:b w:val="0"/>
                <w:sz w:val="18"/>
              </w:rPr>
              <w:t>Mod. Severe</w:t>
            </w:r>
          </w:p>
        </w:tc>
        <w:tc>
          <w:tcPr>
            <w:tcW w:type="dxa" w:w="1805"/>
          </w:tcPr>
          <w:p>
            <w:pPr>
              <w:spacing w:line="240" w:lineRule="auto"/>
            </w:pPr>
            <w:r/>
            <w:r>
              <w:rPr>
                <w:rFonts w:ascii="Times New Roman" w:hAnsi="Times New Roman"/>
                <w:b w:val="0"/>
                <w:sz w:val="18"/>
              </w:rPr>
              <w:t>Moderate μ=0.50, Mod-Sev μ=0.83</w:t>
            </w:r>
          </w:p>
        </w:tc>
      </w:tr>
      <w:tr>
        <w:tc>
          <w:tcPr>
            <w:tcW w:type="dxa" w:w="1805"/>
          </w:tcPr>
          <w:p>
            <w:pPr>
              <w:spacing w:line="240" w:lineRule="auto"/>
            </w:pPr>
            <w:r/>
            <w:r>
              <w:rPr>
                <w:rFonts w:ascii="Times New Roman" w:hAnsi="Times New Roman"/>
                <w:b w:val="0"/>
                <w:sz w:val="18"/>
              </w:rPr>
              <w:t>70</w:t>
            </w:r>
          </w:p>
        </w:tc>
        <w:tc>
          <w:tcPr>
            <w:tcW w:type="dxa" w:w="1805"/>
          </w:tcPr>
          <w:p>
            <w:pPr>
              <w:spacing w:line="240" w:lineRule="auto"/>
            </w:pPr>
            <w:r/>
            <w:r>
              <w:rPr>
                <w:rFonts w:ascii="Times New Roman" w:hAnsi="Times New Roman"/>
                <w:b w:val="0"/>
                <w:sz w:val="18"/>
              </w:rPr>
              <w:t>Mod. Severe</w:t>
            </w:r>
          </w:p>
        </w:tc>
        <w:tc>
          <w:tcPr>
            <w:tcW w:type="dxa" w:w="1805"/>
          </w:tcPr>
          <w:p>
            <w:pPr>
              <w:spacing w:line="240" w:lineRule="auto"/>
            </w:pPr>
            <w:r/>
            <w:r>
              <w:rPr>
                <w:rFonts w:ascii="Times New Roman" w:hAnsi="Times New Roman"/>
                <w:b w:val="0"/>
                <w:sz w:val="18"/>
              </w:rPr>
              <w:t>76.5</w:t>
            </w:r>
          </w:p>
        </w:tc>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Mod-Sev μ=0.50, Severe μ=0.83</w:t>
            </w:r>
          </w:p>
        </w:tc>
      </w:tr>
      <w:tr>
        <w:tc>
          <w:tcPr>
            <w:tcW w:type="dxa" w:w="1805"/>
          </w:tcPr>
          <w:p>
            <w:pPr>
              <w:spacing w:line="240" w:lineRule="auto"/>
            </w:pPr>
            <w:r/>
            <w:r>
              <w:rPr>
                <w:rFonts w:ascii="Times New Roman" w:hAnsi="Times New Roman"/>
                <w:b w:val="0"/>
                <w:sz w:val="18"/>
              </w:rPr>
              <w:t>90</w:t>
            </w:r>
          </w:p>
        </w:tc>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87.5</w:t>
            </w:r>
          </w:p>
        </w:tc>
        <w:tc>
          <w:tcPr>
            <w:tcW w:type="dxa" w:w="1805"/>
          </w:tcPr>
          <w:p>
            <w:pPr>
              <w:spacing w:line="240" w:lineRule="auto"/>
            </w:pPr>
            <w:r/>
            <w:r>
              <w:rPr>
                <w:rFonts w:ascii="Times New Roman" w:hAnsi="Times New Roman"/>
                <w:b w:val="0"/>
                <w:sz w:val="18"/>
              </w:rPr>
              <w:t>Profound</w:t>
            </w:r>
          </w:p>
        </w:tc>
        <w:tc>
          <w:tcPr>
            <w:tcW w:type="dxa" w:w="1805"/>
          </w:tcPr>
          <w:p>
            <w:pPr>
              <w:spacing w:line="240" w:lineRule="auto"/>
            </w:pPr>
            <w:r/>
            <w:r>
              <w:rPr>
                <w:rFonts w:ascii="Times New Roman" w:hAnsi="Times New Roman"/>
                <w:b w:val="0"/>
                <w:sz w:val="18"/>
              </w:rPr>
              <w:t>Severe μ=0.50, Profound μ=0.83</w:t>
            </w:r>
          </w:p>
        </w:tc>
      </w:tr>
    </w:tbl>
    <w:p>
      <w:pPr>
        <w:spacing w:line="480" w:lineRule="auto"/>
        <w:ind w:firstLine="720"/>
      </w:pPr>
      <w:r>
        <w:rPr>
          <w:rFonts w:ascii="Times New Roman" w:hAnsi="Times New Roman"/>
          <w:b w:val="0"/>
          <w:i w:val="0"/>
          <w:sz w:val="24"/>
        </w:rPr>
        <w:t>---</w:t>
      </w:r>
    </w:p>
    <w:p>
      <w:pPr>
        <w:spacing w:line="480" w:lineRule="auto" w:before="200"/>
      </w:pPr>
      <w:r>
        <w:rPr>
          <w:rFonts w:ascii="Times New Roman" w:hAnsi="Times New Roman"/>
          <w:b/>
          <w:sz w:val="28"/>
          <w:u w:val="single"/>
        </w:rPr>
        <w:t>Figure Captions</w:t>
      </w:r>
    </w:p>
    <w:p>
      <w:pPr>
        <w:spacing w:line="480" w:lineRule="auto"/>
        <w:ind w:firstLine="720"/>
      </w:pPr>
      <w:r>
        <w:rPr>
          <w:rFonts w:ascii="Times New Roman" w:hAnsi="Times New Roman"/>
          <w:b w:val="0"/>
          <w:i w:val="0"/>
          <w:sz w:val="24"/>
        </w:rPr>
        <w:t>Figure 1. Overlapping trapezoidal membership functions for six hearing loss severity categories, with NHANES threshold density overlay. Population-optimised boundaries sit about 8 dB to the right of the classic WHO thresholds.</w:t>
      </w:r>
    </w:p>
    <w:p>
      <w:pPr>
        <w:spacing w:line="480" w:lineRule="auto"/>
        <w:ind w:firstLine="720"/>
      </w:pPr>
      <w:r>
        <w:rPr>
          <w:rFonts w:ascii="Times New Roman" w:hAnsi="Times New Roman"/>
          <w:b w:val="0"/>
          <w:i w:val="0"/>
          <w:sz w:val="24"/>
        </w:rPr>
        <w:t>Figure 2. Schematic of the Mamdani fuzzy inference system architecture: frequency-specific threshold inputs → fuzzification via membership functions → 48-rule inference engine → centroid defuzzification → FAI, configuration vector, asymmetry index.</w:t>
      </w:r>
    </w:p>
    <w:p>
      <w:pPr>
        <w:spacing w:line="480" w:lineRule="auto"/>
        <w:ind w:firstLine="720"/>
      </w:pPr>
      <w:r>
        <w:rPr>
          <w:rFonts w:ascii="Times New Roman" w:hAnsi="Times New Roman"/>
          <w:b w:val="0"/>
          <w:i w:val="0"/>
          <w:sz w:val="24"/>
        </w:rPr>
        <w:t>Figure 3. (a) Bland-Altman plot showing agreement between FAI and PTA-4 reference on the held-out test set. (b) Classification accuracy as a function of distance from the nearest WHO severity boundary; FAI maintains &gt;88% accuracy across all distances while PTA accuracy drops to 61% within ±3 dB.</w:t>
      </w:r>
    </w:p>
    <w:p>
      <w:pPr>
        <w:spacing w:line="480" w:lineRule="auto"/>
        <w:ind w:firstLine="720"/>
      </w:pPr>
      <w:r>
        <w:rPr>
          <w:rFonts w:ascii="Times New Roman" w:hAnsi="Times New Roman"/>
          <w:b w:val="0"/>
          <w:i w:val="0"/>
          <w:sz w:val="24"/>
        </w:rPr>
        <w:t>Figure 4. Clinical case panels: four representative audiograms (A borderline, B noise notch, C presbycusis, D asymmetric) showing PTA vs. FAI labels, membership bar plots, and configuration vectors. Coloured background bands indicate WHO severity categories.</w:t>
      </w:r>
    </w:p>
    <w:p>
      <w:pPr>
        <w:spacing w:line="480" w:lineRule="auto"/>
        <w:ind w:firstLine="720"/>
      </w:pPr>
      <w:r>
        <w:rPr>
          <w:rFonts w:ascii="Times New Roman" w:hAnsi="Times New Roman"/>
          <w:b w:val="0"/>
          <w:i w:val="0"/>
          <w:sz w:val="24"/>
        </w:rPr>
        <w:t>(caption moved into Figure 3)</w:t>
      </w:r>
    </w:p>
    <w:p>
      <w:pPr>
        <w:spacing w:line="480" w:lineRule="auto"/>
        <w:ind w:firstLine="720"/>
      </w:pPr>
      <w:r>
        <w:rPr>
          <w:rFonts w:ascii="Times New Roman" w:hAnsi="Times New Roman"/>
          <w:b w:val="0"/>
          <w:i w:val="0"/>
          <w:sz w:val="24"/>
        </w:rPr>
        <w:t>Figure 5. Configuration classification confusion matrix (heatmap). Overall accuracy 89.4%; primary confusion between gently sloping and steeply sloping patterns.</w:t>
      </w:r>
    </w:p>
    <w:p>
      <w:pPr>
        <w:spacing w:line="480" w:lineRule="auto"/>
        <w:ind w:firstLine="720"/>
      </w:pPr>
      <w:r>
        <w:rPr>
          <w:rFonts w:ascii="Times New Roman" w:hAnsi="Times New Roman"/>
          <w:b w:val="0"/>
          <w:i w:val="0"/>
          <w:sz w:val="24"/>
        </w:rPr>
        <w:t>Figure 6. Longitudinal FAI trajectories for three clinical scenarios over 4–8 years. FAI shows smoother, more physiologically plausible progression than the stepwise PTA grade changes.</w:t>
      </w:r>
    </w:p>
    <w:p>
      <w:pPr>
        <w:spacing w:line="480" w:lineRule="auto"/>
        <w:ind w:firstLine="720"/>
      </w:pPr>
      <w:r>
        <w:rPr>
          <w:rFonts w:ascii="Times New Roman" w:hAnsi="Times New Roman"/>
          <w:b w:val="0"/>
          <w:i w:val="0"/>
          <w:sz w:val="24"/>
        </w:rPr>
        <w:t>---</w:t>
      </w:r>
    </w:p>
    <w:p>
      <w:pPr>
        <w:spacing w:line="480" w:lineRule="auto"/>
        <w:ind w:firstLine="720"/>
      </w:pPr>
      <w:r>
        <w:rPr>
          <w:rFonts w:ascii="Times New Roman" w:hAnsi="Times New Roman"/>
          <w:b w:val="0"/>
          <w:i w:val="0"/>
          <w:sz w:val="24"/>
        </w:rPr>
        <w:t>*Corresponding author: Dr Sanyaolu Ameye, King Fahad Specialist Hospital, Tabuk, Saudi Arabia. Email: sanyaameye@hotmail.com*</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