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WHO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47-rule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19,568 ears from 9,832 adults, the FAI achieved kappa 0.946 against the reference grade, 96.5% overall agreement and a mean absolute error of 4.35 dB, with 99.1% agreement for clear cases and 85.1% within 5 dB of a boundary. An ordinal logistic model recovered the reference grade exactly in all 3,912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and the probabilistic metrics are where the comparison carries information.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In clinical and epidemiological practice these seven or eight values are condensed into a single pure-tone average and graded against fixed boundaries, most commonly the WHO PTA-4 classification of 1997: normal, mild, moderate, moderately severe, severe and profound</w:t>
      </w:r>
      <w:r>
        <w:t xml:space="preserve"> </w:t>
      </w:r>
      <w:r>
        <w:t xml:space="preserve">[1]</w:t>
      </w:r>
      <w:r>
        <w:t xml:space="preserve">. The convention is useful precisely because it is simple, and it is now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classifiers predict the severity grade directly but predict the same crisp categories and are not inspectable</w:t>
      </w:r>
      <w:r>
        <w:t xml:space="preserve"> </w:t>
      </w:r>
      <w:r>
        <w:t xml:space="preserve">[2]</w:t>
      </w:r>
      <w:r>
        <w:t xml:space="preserve">; preclinical work in the same vein detects cochlear synaptopathy from murine auditory brainstem responses</w:t>
      </w:r>
      <w:r>
        <w:t xml:space="preserve"> </w:t>
      </w:r>
      <w:r>
        <w:t xml:space="preserve">[3]</w:t>
      </w:r>
      <w:r>
        <w:t xml:space="preserve">, a different task. Data-driven profiling recovers phenotypes without an interpretable decision</w:t>
      </w:r>
      <w:r>
        <w:t xml:space="preserve"> </w:t>
      </w:r>
      <w:r>
        <w:t xml:space="preserve">[4,5]</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[6]</w:t>
      </w:r>
      <w:r>
        <w:t xml:space="preserve"> </w:t>
      </w:r>
      <w:r>
        <w:t xml:space="preserve">states its rules in terms a clinician can read and modify. Fuzzy approaches have been applied across clinical diagnosis since their introduction</w:t>
      </w:r>
      <w:r>
        <w:t xml:space="preserve"> </w:t>
      </w:r>
      <w:r>
        <w:t xml:space="preserve">[7]</w:t>
      </w:r>
      <w:r>
        <w:t xml:space="preserve"> </w:t>
      </w:r>
      <w:r>
        <w:t xml:space="preserve">and to EEG-based dementia staging</w:t>
      </w:r>
      <w:r>
        <w:t xml:space="preserve"> </w:t>
      </w:r>
      <w:r>
        <w:t xml:space="preserve">[8]</w:t>
      </w:r>
      <w:r>
        <w:t xml:space="preserve">, but no published system integrates severity classification, configuration typing, asymmetry grading and temporal tracking in one inspectable framework validated on population-level audiometric data.</w:t>
      </w:r>
    </w:p>
    <w:p>
      <w:pPr>
        <w:pStyle w:val="BodyText"/>
      </w:pPr>
      <w:r>
        <w:t xml:space="preserve">This study develops such a framework and validates it on a large nationally representative cohort. The objectives were to construct severity membership functions forming a formal Ruspini partition; to validate the index on a held-out test set with a participant-level split; to benchmark its graded output against probabilistic multi-class models using proper scoring rules; to determine empirically how the width of the graded region affects agreement; and to establish how far the results depend on the classification schema rather than on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[9]</w:t>
      </w:r>
      <w:r>
        <w:t xml:space="preserve">, the convention in most clinical reporting; Clark defined those tiers on the three-frequency average, and they are applied here to the four-frequency window that WHO later adopted for grading. WHO’s own grade tables use five categories at 20 dB steps</w:t>
      </w:r>
      <w:r>
        <w:t xml:space="preserve"> </w:t>
      </w:r>
      <w:r>
        <w:t xml:space="preserve">[1,10]</w:t>
      </w:r>
      <w:r>
        <w:t xml:space="preserve"> </w:t>
      </w:r>
      <w:r>
        <w:t xml:space="preserve">and its 2021 revision uses seven at 15 dB steps</w:t>
      </w:r>
      <w:r>
        <w:t xml:space="preserve"> </w:t>
      </w:r>
      <w:r>
        <w:t xml:space="preserve">[11]</w:t>
      </w:r>
      <w:r>
        <w:t xml:space="preserve">; the 2021 schema was validated alongside and is reported as a companion analysis.</w:t>
      </w:r>
    </w:p>
    <w:p>
      <w:pPr>
        <w:pStyle w:val="BodyText"/>
      </w:pPr>
      <w:r>
        <w:t xml:space="preserve">The six trapezoids were arranged as a formal Ruspini partition,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Inter-aural asymmetry was fuzzified into Symmetric (≤15 dB), Mildly (16–30 dB), Moderately (31–45 dB) and Severely Asymmetric (&gt;45 dB). The operational criterion is the maximum absolute difference across frequencies, which is more sensitive than either definition used by Suen et al., who applied a pure-tone-average difference above 15 dB and a contiguous-frequency criterion</w:t>
      </w:r>
      <w:r>
        <w:t xml:space="preserve"> </w:t>
      </w:r>
      <w:r>
        <w:t xml:space="preserve">[12]</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[6]</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[13]</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[14]</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 to FAI trajectories, is demonstrated on illustrative scenarios (Figure S2).</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5"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years (mean 43.9). After exclusions, 19,568 ears from 9,832 adults had complete air-conduction thresholds at all seven frequencies: 15,656 ears (7,866 participants) in the training set and 3,912 (1,966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[1]</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S2), with transition bands of 13.6, 10.0, 10.0, 10.0 and 11.2 dB from normal to profound. Verification confirmed the memberships sum to 1 at every sampled threshold across the 0 to 120 dB universe, with a maximum deviation of zero. The FAI-to-label thresholds calibrated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96.5% overall agreement and a mean absolute error of 4.35 dB. Agreement 99.1% for clear cases (≥6 dB from a boundary) and 85.1% within the borderline zone (±5 dB, 18.7% of test ears). Spearman’s correlation was 0.812, restricted in range because 86.9% of test ears are normal and the upper tail is compressed; kappa and MAE are therefore the more direct agreement measures.</w:t>
      </w:r>
    </w:p>
    <w:p>
      <w:pPr>
        <w:pStyle w:val="BodyText"/>
      </w:pPr>
      <w:r>
        <w:t xml:space="preserve">Per-class performance is given in Table 1. Sensitivity was 0.980 for normal and 0.950 for mild but fell to 0.621 for moderate and 0.500 for moderately severe loss, macro-averaged sensitivity was 0.786 against the 96.5% overall figure, which the normal majority largely determines. Of 138 disagreements, 104 moved upward by one grade and 34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monotonically with distance from the nearest boundary (Figure 2b): 85.1% within ±5 dB, 90.1% at 10 dB and 93.5% at 15 dB. Bland-Altman analysis (Figure 2a) compared the FAI with PTA-4 after a linear transfer fitted on the training partition mapped the index onto the decibel scale, FAI = 0.890 x PTA + 3.11 (r = 0.887): mean difference +0.25 dB with 95% limits of agreement −11.2 to +11.7 dB, with a proportionate bias widening by 0.13 dB per decibel of mean level.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3,912 test ears, with a Brier score and log loss of 0.0000, and the same model on all seven frequencies performed identically. The reference label is therefore not a prediction target but a deterministic thresholding of the pure-tone average, so agreement metrics cannot discriminate between models here: any model able to represent monotone thresholds recovers the label exactly, and residual differences measure how well each approximation fits a step function.</w:t>
      </w:r>
    </w:p>
    <w:p>
      <w:pPr>
        <w:pStyle w:val="BodyText"/>
      </w:pPr>
      <w:r>
        <w:t xml:space="preserve">Among the models that do not saturate, the FAI membership vector returned a Brier score of 0.0474, log loss 0.0805 and expected calibration error 0.0300, against 0.0479, 0.2771 and 0.0304 for gradient boosting on the richer seven-frequency input. The memberships were as well calibrated as gradient boosting and substantially better on log loss from less input, and their arg-max recovered the reference grade at kappa 0.9564, exceeding the 0.946 from the separately calibrated thresholds.</w:t>
      </w:r>
    </w:p>
    <w:bookmarkEnd w:id="29"/>
    <w:bookmarkStart w:id="30" w:name="validation-under-the-who-2021-schema"/>
    <w:p>
      <w:pPr>
        <w:pStyle w:val="Heading2"/>
      </w:pPr>
      <w:r>
        <w:rPr>
          <w:rStyle w:val="SectionNumber"/>
        </w:rPr>
        <w:t xml:space="preserve">4.6</w:t>
      </w:r>
      <w:r>
        <w:tab/>
      </w:r>
      <w:r>
        <w:t xml:space="preserve">Validation Under the WHO 2021 Schema</w:t>
      </w:r>
    </w:p>
    <w:p>
      <w:pPr>
        <w:pStyle w:val="FirstParagraph"/>
      </w:pPr>
      <w:r>
        <w:t xml:space="preserve">Under the 2021 schema the framework performed better on every metric except raw overall agreement (Table 4): kappa 0.959 against 0.946, mean absolute error 3.74 dB against 4.35, and rho 0.844 against 0.812. Borderline agreement was 88.0%, measured over the harder population, since the 2021 boundaries place 29.5% of ears within ±5 dB of one against 18.7%. Scoring the six-category system against the 2021 reference returned kappa 0.875.</w:t>
      </w:r>
    </w:p>
    <w:bookmarkEnd w:id="30"/>
    <w:bookmarkStart w:id="31" w:name="decision-curve-analysis"/>
    <w:p>
      <w:pPr>
        <w:pStyle w:val="Heading2"/>
      </w:pPr>
      <w:r>
        <w:rPr>
          <w:rStyle w:val="SectionNumber"/>
        </w:rPr>
        <w:t xml:space="preserve">4.7</w:t>
      </w:r>
      <w:r>
        <w:tab/>
      </w:r>
      <w:r>
        <w:t xml:space="preserve">Decision-Curve Analysis</w:t>
      </w:r>
    </w:p>
    <w:p>
      <w:pPr>
        <w:pStyle w:val="FirstParagraph"/>
      </w:pPr>
      <w:r>
        <w:t xml:space="preserve">FAI-based referral maintained net benefit comparable to PTA-4-based referral across the threshold-probability range for both outcomes, and both exceeded treat-all at every threshold (Figure 3); for any hearing loss at a 10% threshold, net benefit was 0.126 against 0.131 and 0.034 for treating all. The small differences favour the crisp markers, which are defined on the outcome itself, so the substantive finding is that the graded index does not sacrifice decision utility.</w:t>
      </w:r>
    </w:p>
    <w:bookmarkEnd w:id="31"/>
    <w:bookmarkStart w:id="32" w:name="transition-width-ablation"/>
    <w:p>
      <w:pPr>
        <w:pStyle w:val="Heading2"/>
      </w:pPr>
      <w:r>
        <w:rPr>
          <w:rStyle w:val="SectionNumber"/>
        </w:rPr>
        <w:t xml:space="preserve">4.8</w:t>
      </w:r>
      <w:r>
        <w:tab/>
      </w:r>
      <w:r>
        <w:t xml:space="preserve">Transition-Width Ablation</w:t>
      </w:r>
    </w:p>
    <w:p>
      <w:pPr>
        <w:pStyle w:val="FirstParagraph"/>
      </w:pPr>
      <w:r>
        <w:t xml:space="preserve">Flooring the core gaps at 10 dB against the raw percentile gaps, which ranged from 5.7 to 13.6 dB, raised weighted kappa from 0.9266 to 0.9456 (+0.0190, 95% CI +0.0108 to +0.0272) borderline agreement from 79.5% to 85.1% (+5.6 pp, 95% CI +2.8 to +8.5) and clear-case agreement from 98.1% to 99.1% (+1.0 pp, 95% CI +0.7 to +1.4), all three intervals excluding zero. Of the 152 ears (3.9%) the two widths labelled differently, the wider construction was correct 72.4% of the time against 24.3%.</w:t>
      </w:r>
    </w:p>
    <w:p>
      <w:pPr>
        <w:pStyle w:val="BodyText"/>
      </w:pPr>
      <w:r>
        <w:t xml:space="preserve">Sweeping the floor from 4 to 16 dB in 2 dB steps showed the deployed setting sits on a plateau rather than a peak (Table 3): every floor from 6 to 12 dB was statistically indistinguishable from 10 dB, whereas 4 dB and 14 to 16 dB were significantly worse. Absolute error nevertheless fell monotonically with width, from 4.38 dB to 4.20 dB, so categorical and continuous agreement diverge at the wide end, wider shoulders smoothing the graded output while blurring the boundary. A 4 dB floor reproduces the raw-gap arm, so the percentile gaps were already about that wide.</w:t>
      </w:r>
    </w:p>
    <w:bookmarkEnd w:id="32"/>
    <w:bookmarkStart w:id="33" w:name="the-normalmild-transition"/>
    <w:p>
      <w:pPr>
        <w:pStyle w:val="Heading2"/>
      </w:pPr>
      <w:r>
        <w:rPr>
          <w:rStyle w:val="SectionNumber"/>
        </w:rPr>
        <w:t xml:space="preserve">4.9</w:t>
      </w:r>
      <w:r>
        <w:tab/>
      </w:r>
      <w:r>
        <w:t xml:space="preserve">The Normal–Mild Transition</w:t>
      </w:r>
    </w:p>
    <w:p>
      <w:pPr>
        <w:pStyle w:val="FirstParagraph"/>
      </w:pPr>
      <w:r>
        <w:t xml:space="preserve">At the classic 25 dB cut-off the crisp rule flips the label between 26 and 27 dB with no graded information, whereas the system returns a smooth rise, so 25 dB is visibly closer to normal than 27 dB (Table S4).</w:t>
      </w:r>
    </w:p>
    <w:bookmarkEnd w:id="33"/>
    <w:bookmarkStart w:id="34" w:name="clinical-case-studies"/>
    <w:p>
      <w:pPr>
        <w:pStyle w:val="Heading2"/>
      </w:pPr>
      <w:r>
        <w:rPr>
          <w:rStyle w:val="SectionNumber"/>
        </w:rPr>
        <w:t xml:space="preserve">4.10</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flagging high-frequency pathology the severity grade alone misses.</w:t>
      </w:r>
    </w:p>
    <w:bookmarkEnd w:id="34"/>
    <w:bookmarkEnd w:id="35"/>
    <w:bookmarkStart w:id="44" w:name="discussion"/>
    <w:p>
      <w:pPr>
        <w:pStyle w:val="Heading1"/>
      </w:pPr>
      <w:r>
        <w:rPr>
          <w:rStyle w:val="SectionNumber"/>
        </w:rPr>
        <w:t xml:space="preserve">5</w:t>
      </w:r>
      <w:r>
        <w:tab/>
      </w:r>
      <w:r>
        <w:t xml:space="preserve">Discussion</w:t>
      </w:r>
    </w:p>
    <w:bookmarkStart w:id="36"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6"/>
    <w:bookmarkStart w:id="37"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study’s most consequential result. A proportional-odds ordinal logistic regression recovered the reference grade exactly in all 3,912 test ears with a Brier score of zero, which is not a strong model but a proof that the label is a deterministic monotone function of the pure-tone average. Because the label is a thresholding, any model able to represent monotone thresholds recovers it exactly and agreement metrics saturate, so a graded representation cannot be shown to be better by kappa.</w:t>
      </w:r>
    </w:p>
    <w:p>
      <w:pPr>
        <w:pStyle w:val="BodyText"/>
      </w:pPr>
      <w:r>
        <w:t xml:space="preserve">What survives is discrimination among approximations. Gradient boosting, on seven-frequency input with more capacity, scored kappa 0.9177 against 0.9564. A label defined by thresholds on one continuous quantity is what trapezoidal membership functions express natively, since the breakpoints are thresholds in decibels, whereas a tree ensemble must approximate the same step function through axis-aligned splits on noisy inputs. It is the probabilistic properties that discriminate, and there the memberships matched gradient boosting on Brier score and calibration error and halved its log loss, from the primary threshold alone.</w:t>
      </w:r>
    </w:p>
    <w:bookmarkEnd w:id="37"/>
    <w:bookmarkStart w:id="38"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rather than to WHO. The same cores, partition and calibration applied to the 2021 boundaries produced a better-calibrated system with lower absolute error, so the framework is schema-agnostic and agreement figures are interpretable only alongside the schema they were computed against. A change to WHO’s grade table would require recalibration, not redesign.</w:t>
      </w:r>
    </w:p>
    <w:bookmarkEnd w:id="38"/>
    <w:bookmarkStart w:id="39" w:name="clinical-implications"/>
    <w:p>
      <w:pPr>
        <w:pStyle w:val="Heading2"/>
      </w:pPr>
      <w:r>
        <w:rPr>
          <w:rStyle w:val="SectionNumber"/>
        </w:rPr>
        <w:t xml:space="preserve">5.4</w:t>
      </w:r>
      <w:r>
        <w:tab/>
      </w:r>
      <w:r>
        <w:t xml:space="preserve">Clinical Implications</w:t>
      </w:r>
    </w:p>
    <w:p>
      <w:pPr>
        <w:pStyle w:val="FirstParagraph"/>
      </w:pPr>
      <w:r>
        <w:t xml:space="preserve">In audiologic triage the FAI could refine referral pathways by flagging patients who straddle severity boundaries, so a borderline case is monitored rather than forced into a category that misstates the loss. Prescriptive methods such as NAL-NL2 and DSL change compression ratios discretely at severity boundaries, whereas a configuration vector could guide frequency-specific amplification for notched or sloping patterns in which the PTA is a poor summary. For ototoxicity monitoring, the temporal tracking module flags sub-threshold FAI changes without a PTA boundary crossing, an early warning that conventional staging misses and that requires prospective validation.</w:t>
      </w:r>
    </w:p>
    <w:bookmarkEnd w:id="39"/>
    <w:bookmarkStart w:id="40"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and qualify it. Machine-learning classifiers</w:t>
      </w:r>
      <w:r>
        <w:t xml:space="preserve"> </w:t>
      </w:r>
      <w:r>
        <w:t xml:space="preserve">[2]</w:t>
      </w:r>
      <w:r>
        <w:t xml:space="preserve"> </w:t>
      </w:r>
      <w:r>
        <w:t xml:space="preserve">achieve strong accuracy but are not inspectable, and clustering-based profiling</w:t>
      </w:r>
      <w:r>
        <w:t xml:space="preserve"> </w:t>
      </w:r>
      <w:r>
        <w:t xml:space="preserve">[4,5]</w:t>
      </w:r>
      <w:r>
        <w:t xml:space="preserve"> </w:t>
      </w:r>
      <w:r>
        <w:t xml:space="preserve">recovers phenotypes without offering an explicit decision a clinician can interrogate. This study adds that such comparisons are confounded when the target is a deterministic function of its inputs, and that graded outputs require proper scoring rules. No previously published fuzzy system integrates severity classification, configuration typing, asymmetry and temporal tracking in one inspectable framework validated with a participant-level split.</w:t>
      </w:r>
    </w:p>
    <w:bookmarkEnd w:id="40"/>
    <w:bookmarkStart w:id="41"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air-conduction loss and cannot separate sensorineural from conductive or mixed components; the complex-interaction rules therefore capture air-conduction contour rather than pathophysiological mixed loss. The rule base, though derived from audiology expertise, has not undergone formal Delphi consensus. The three cycles covered adults aged 20 to 69 years, so children and older adults are not represented, some configurations remain underrepresented, and extended high-frequency audiometry was not covered.</w:t>
      </w:r>
    </w:p>
    <w:p>
      <w:pPr>
        <w:pStyle w:val="BodyText"/>
      </w:pPr>
      <w:r>
        <w:t xml:space="preserve">Inter-aural asymmetry was decoupled from severity during this work and now drives a referral recommendation instead. The rule base previously allowed asymmetry to upgrade severity, so an ear with a pure-tone average of 55 dB could be reported as moderately severe because the contralateral ear differed; asymmetry is a referral indicator rather than an amplifier of peripheral loss. The change is neutral for the figures reported here, since the single-ear protocol pins the asymmetry input to zero, but it aligns the validated rule base with the deployed one.</w:t>
      </w:r>
    </w:p>
    <w:p>
      <w:pPr>
        <w:pStyle w:val="BodyText"/>
      </w:pPr>
      <w:r>
        <w:t xml:space="preserve">The World Report on Hearing</w:t>
      </w:r>
      <w:r>
        <w:t xml:space="preserve"> </w:t>
      </w:r>
      <w:r>
        <w:t xml:space="preserve">[11]</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archetypes rather than patient records. Whether the FAI predicts hearing-aid outcomes, patient-reported benefit or surgical candidacy has not been assessed.</w:t>
      </w:r>
    </w:p>
    <w:bookmarkEnd w:id="41"/>
    <w:bookmarkStart w:id="42"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The framework is portable by design. Additional inputs can be accommodated by adding membership functions and rules, and a web-based calculator with a REST API for EHR integration has been deployed for clinical evaluation. Future work will validate the system prospectively, explore neuro-fuzzy approaches (ANFIS) that learn rule parameters while remaining interpretable, and test whether the graded index improves on the crisp grade in predicting speech-in-noise performance or hearing-aid outcomes.</w:t>
      </w:r>
    </w:p>
    <w:bookmarkEnd w:id="42"/>
    <w:bookmarkStart w:id="43"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shows substantial agreement with the reference classification while preserving information on borderline cases, configuration and graded severity. The probabilistic benchmark shows that the reference label is a deterministic thresholding of its input, so agreement cannot evidence the value of a graded representation; the membership vectors matched a gradient-boosted model on Brier score and calibration error and improved on log loss from less input.</w:t>
      </w:r>
    </w:p>
    <w:bookmarkEnd w:id="43"/>
    <w:bookmarkEnd w:id="44"/>
    <w:bookmarkStart w:id="45"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5"/>
    <w:bookmarkStart w:id="46"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6"/>
    <w:bookmarkStart w:id="47"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7"/>
    <w:bookmarkStart w:id="48"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8"/>
    <w:bookmarkStart w:id="74" w:name="references"/>
    <w:p>
      <w:pPr>
        <w:pStyle w:val="Heading1"/>
      </w:pPr>
      <w:r>
        <w:t xml:space="preserve">References</w:t>
      </w:r>
    </w:p>
    <w:bookmarkStart w:id="73" w:name="refs"/>
    <w:bookmarkStart w:id="49" w:name="ref-who1997"/>
    <w:p>
      <w:pPr>
        <w:pStyle w:val="Bibliography"/>
      </w:pPr>
      <w:r>
        <w:t xml:space="preserve">[1]</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49"/>
    <w:bookmarkStart w:id="51" w:name="ref-achakulvisut2025"/>
    <w:p>
      <w:pPr>
        <w:pStyle w:val="Bibliography"/>
      </w:pPr>
      <w:r>
        <w:t xml:space="preserve">[2]</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0">
        <w:r>
          <w:rPr>
            <w:rStyle w:val="Hyperlink"/>
          </w:rPr>
          <w:t xml:space="preserve">https://doi.org/10.26599/joto.2025.9540005</w:t>
        </w:r>
      </w:hyperlink>
      <w:r>
        <w:t xml:space="preserve">.</w:t>
      </w:r>
    </w:p>
    <w:bookmarkEnd w:id="51"/>
    <w:bookmarkStart w:id="53" w:name="ref-ceriani2025"/>
    <w:p>
      <w:pPr>
        <w:pStyle w:val="Bibliography"/>
      </w:pPr>
      <w:r>
        <w:t xml:space="preserve">[3]</w:t>
      </w:r>
      <w:r>
        <w:t xml:space="preserve"> </w:t>
      </w:r>
      <w:r>
        <w:t xml:space="preserve">	</w:t>
      </w:r>
      <w:r>
        <w:t xml:space="preserve">Ceriani F, Giles J, Ingham N, Jeng J, Lewis M, Steel K, et al. A machine-learning-based approach to predict early hallmarks of progressive hearing loss. Hearing Research 2025;464:109328.</w:t>
      </w:r>
      <w:r>
        <w:t xml:space="preserve"> </w:t>
      </w:r>
      <w:hyperlink r:id="rId52">
        <w:r>
          <w:rPr>
            <w:rStyle w:val="Hyperlink"/>
          </w:rPr>
          <w:t xml:space="preserve">https://doi.org/10.1016/j.heares.2025.109328</w:t>
        </w:r>
      </w:hyperlink>
      <w:r>
        <w:t xml:space="preserve">.</w:t>
      </w:r>
    </w:p>
    <w:bookmarkEnd w:id="53"/>
    <w:bookmarkStart w:id="55" w:name="ref-saak2022"/>
    <w:p>
      <w:pPr>
        <w:pStyle w:val="Bibliography"/>
      </w:pPr>
      <w:r>
        <w:t xml:space="preserve">[4]</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[5]</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[6]</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[7]</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[8]</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clark1981"/>
    <w:p>
      <w:pPr>
        <w:pStyle w:val="Bibliography"/>
      </w:pPr>
      <w:r>
        <w:t xml:space="preserve">[9]</w:t>
      </w:r>
      <w:r>
        <w:t xml:space="preserve"> </w:t>
      </w:r>
      <w:r>
        <w:t xml:space="preserve">	</w:t>
      </w:r>
      <w:r>
        <w:t xml:space="preserve">Clark J. Uses and abuses of hearing loss classification. ASHA 1981;23:493–500.</w:t>
      </w:r>
    </w:p>
    <w:bookmarkEnd w:id="64"/>
    <w:bookmarkStart w:id="65" w:name="ref-who1991"/>
    <w:p>
      <w:pPr>
        <w:pStyle w:val="Bibliography"/>
      </w:pPr>
      <w:r>
        <w:t xml:space="preserve">[10]</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5"/>
    <w:bookmarkStart w:id="66" w:name="ref-who2021"/>
    <w:p>
      <w:pPr>
        <w:pStyle w:val="Bibliography"/>
      </w:pPr>
      <w:r>
        <w:t xml:space="preserve">[11]</w:t>
      </w:r>
      <w:r>
        <w:t xml:space="preserve"> </w:t>
      </w:r>
      <w:r>
        <w:t xml:space="preserve">	</w:t>
      </w:r>
      <w:r>
        <w:t xml:space="preserve">World Health Organization. World report on hearing. Geneva: World Health Organization; 2021.</w:t>
      </w:r>
    </w:p>
    <w:bookmarkEnd w:id="66"/>
    <w:bookmarkStart w:id="68" w:name="ref-suen2021"/>
    <w:p>
      <w:pPr>
        <w:pStyle w:val="Bibliography"/>
      </w:pPr>
      <w:r>
        <w:t xml:space="preserve">[12]</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67">
        <w:r>
          <w:rPr>
            <w:rStyle w:val="Hyperlink"/>
          </w:rPr>
          <w:t xml:space="preserve">https://doi.org/10.1097/MAO.0000000000002931</w:t>
        </w:r>
      </w:hyperlink>
      <w:r>
        <w:t xml:space="preserve">.</w:t>
      </w:r>
    </w:p>
    <w:bookmarkEnd w:id="68"/>
    <w:bookmarkStart w:id="70" w:name="ref-mccullagh1980"/>
    <w:p>
      <w:pPr>
        <w:pStyle w:val="Bibliography"/>
      </w:pPr>
      <w:r>
        <w:t xml:space="preserve">[13]</w:t>
      </w:r>
      <w:r>
        <w:t xml:space="preserve"> </w:t>
      </w:r>
      <w:r>
        <w:t xml:space="preserve">	</w:t>
      </w:r>
      <w:r>
        <w:t xml:space="preserve">McCullagh P. Regression models for ordinal data. Journal of the Royal Statistical Society: Series B (Methodological) 1980;42:109–42.</w:t>
      </w:r>
      <w:r>
        <w:t xml:space="preserve"> </w:t>
      </w:r>
      <w:hyperlink r:id="rId69">
        <w:r>
          <w:rPr>
            <w:rStyle w:val="Hyperlink"/>
          </w:rPr>
          <w:t xml:space="preserve">https://doi.org/10.1111/j.2517-6161.1980.tb01109.x</w:t>
        </w:r>
      </w:hyperlink>
      <w:r>
        <w:t xml:space="preserve">.</w:t>
      </w:r>
    </w:p>
    <w:bookmarkEnd w:id="70"/>
    <w:bookmarkStart w:id="72" w:name="ref-vickers2006"/>
    <w:p>
      <w:pPr>
        <w:pStyle w:val="Bibliography"/>
      </w:pPr>
      <w:r>
        <w:t xml:space="preserve">[14]</w:t>
      </w:r>
      <w:r>
        <w:t xml:space="preserve"> </w:t>
      </w:r>
      <w:r>
        <w:t xml:space="preserve">	</w:t>
      </w:r>
      <w:r>
        <w:t xml:space="preserve">Vickers A, Elkin E. Decision curve analysis: A novel method for evaluating prediction models. Medical Decision Making 2006;26:565–74.</w:t>
      </w:r>
      <w:r>
        <w:t xml:space="preserve"> </w:t>
      </w:r>
      <w:hyperlink r:id="rId71">
        <w:r>
          <w:rPr>
            <w:rStyle w:val="Hyperlink"/>
          </w:rPr>
          <w:t xml:space="preserve">https://doi.org/10.1177/0272989X06295361</w:t>
        </w:r>
      </w:hyperlink>
      <w:r>
        <w:t xml:space="preserve">.</w:t>
      </w:r>
    </w:p>
    <w:bookmarkEnd w:id="72"/>
    <w:bookmarkEnd w:id="73"/>
    <w:bookmarkEnd w:id="74"/>
    <w:bookmarkStart w:id="75"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3,912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3,401</w:t>
            </w:r>
          </w:p>
        </w:tc>
        <w:tc>
          <w:tcPr/>
          <w:p>
            <w:pPr>
              <w:pStyle w:val="Compact"/>
            </w:pPr>
            <w:r>
              <w:t xml:space="preserve">0.980 (0.975–0.984)</w:t>
            </w:r>
          </w:p>
        </w:tc>
        <w:tc>
          <w:tcPr/>
          <w:p>
            <w:pPr>
              <w:pStyle w:val="Compact"/>
            </w:pPr>
            <w:r>
              <w:t xml:space="preserve">1.000 (0.993–1.000)</w:t>
            </w:r>
          </w:p>
        </w:tc>
        <w:tc>
          <w:tcPr/>
          <w:p>
            <w:pPr>
              <w:pStyle w:val="Compact"/>
            </w:pPr>
            <w:r>
              <w:t xml:space="preserve">1.000 (0.999–1.000)</w:t>
            </w:r>
          </w:p>
        </w:tc>
      </w:tr>
      <w:tr>
        <w:tc>
          <w:tcPr/>
          <w:p>
            <w:pPr>
              <w:pStyle w:val="Compact"/>
            </w:pPr>
            <w:r>
              <w:t xml:space="preserve">Mild</w:t>
            </w:r>
          </w:p>
        </w:tc>
        <w:tc>
          <w:tcPr/>
          <w:p>
            <w:pPr>
              <w:pStyle w:val="Compact"/>
            </w:pPr>
            <w:r>
              <w:t xml:space="preserve">361</w:t>
            </w:r>
          </w:p>
        </w:tc>
        <w:tc>
          <w:tcPr/>
          <w:p>
            <w:pPr>
              <w:pStyle w:val="Compact"/>
            </w:pPr>
            <w:r>
              <w:t xml:space="preserve">0.950 (0.923–0.968)</w:t>
            </w:r>
          </w:p>
        </w:tc>
        <w:tc>
          <w:tcPr/>
          <w:p>
            <w:pPr>
              <w:pStyle w:val="Compact"/>
            </w:pPr>
            <w:r>
              <w:t xml:space="preserve">0.974 (0.969–0.979)</w:t>
            </w:r>
          </w:p>
        </w:tc>
        <w:tc>
          <w:tcPr/>
          <w:p>
            <w:pPr>
              <w:pStyle w:val="Compact"/>
            </w:pPr>
            <w:r>
              <w:t xml:space="preserve">0.790 (0.750–0.826)</w:t>
            </w:r>
          </w:p>
        </w:tc>
      </w:tr>
      <w:tr>
        <w:tc>
          <w:tcPr/>
          <w:p>
            <w:pPr>
              <w:pStyle w:val="Compact"/>
            </w:pPr>
            <w:r>
              <w:t xml:space="preserve">Moderate</w:t>
            </w:r>
          </w:p>
        </w:tc>
        <w:tc>
          <w:tcPr/>
          <w:p>
            <w:pPr>
              <w:pStyle w:val="Compact"/>
            </w:pPr>
            <w:r>
              <w:t xml:space="preserve">103</w:t>
            </w:r>
          </w:p>
        </w:tc>
        <w:tc>
          <w:tcPr/>
          <w:p>
            <w:pPr>
              <w:pStyle w:val="Compact"/>
            </w:pPr>
            <w:r>
              <w:t xml:space="preserve">0.621 (0.525–0.709)</w:t>
            </w:r>
          </w:p>
        </w:tc>
        <w:tc>
          <w:tcPr/>
          <w:p>
            <w:pPr>
              <w:pStyle w:val="Compact"/>
            </w:pPr>
            <w:r>
              <w:t xml:space="preserve">0.993 (0.990–0.995)</w:t>
            </w:r>
          </w:p>
        </w:tc>
        <w:tc>
          <w:tcPr/>
          <w:p>
            <w:pPr>
              <w:pStyle w:val="Compact"/>
            </w:pPr>
            <w:r>
              <w:t xml:space="preserve">0.703 (0.603–0.787)</w:t>
            </w:r>
          </w:p>
        </w:tc>
      </w:tr>
      <w:tr>
        <w:tc>
          <w:tcPr/>
          <w:p>
            <w:pPr>
              <w:pStyle w:val="Compact"/>
            </w:pPr>
            <w:r>
              <w:t xml:space="preserve">Moderately severe</w:t>
            </w:r>
          </w:p>
        </w:tc>
        <w:tc>
          <w:tcPr/>
          <w:p>
            <w:pPr>
              <w:pStyle w:val="Compact"/>
            </w:pPr>
            <w:r>
              <w:t xml:space="preserve">26</w:t>
            </w:r>
          </w:p>
        </w:tc>
        <w:tc>
          <w:tcPr/>
          <w:p>
            <w:pPr>
              <w:pStyle w:val="Compact"/>
            </w:pPr>
            <w:r>
              <w:t xml:space="preserve">0.500 (0.321–0.679)</w:t>
            </w:r>
          </w:p>
        </w:tc>
        <w:tc>
          <w:tcPr/>
          <w:p>
            <w:pPr>
              <w:pStyle w:val="Compact"/>
            </w:pPr>
            <w:r>
              <w:t xml:space="preserve">0.996 (0.994–0.998)</w:t>
            </w:r>
          </w:p>
        </w:tc>
        <w:tc>
          <w:tcPr/>
          <w:p>
            <w:pPr>
              <w:pStyle w:val="Compact"/>
            </w:pPr>
            <w:r>
              <w:t xml:space="preserve">0.464 (0.295–0.642)</w:t>
            </w:r>
          </w:p>
        </w:tc>
      </w:tr>
      <w:tr>
        <w:tc>
          <w:tcPr/>
          <w:p>
            <w:pPr>
              <w:pStyle w:val="Compact"/>
            </w:pPr>
            <w:r>
              <w:t xml:space="preserve">Severe</w:t>
            </w:r>
          </w:p>
        </w:tc>
        <w:tc>
          <w:tcPr/>
          <w:p>
            <w:pPr>
              <w:pStyle w:val="Compact"/>
            </w:pPr>
            <w:r>
              <w:t xml:space="preserve">18</w:t>
            </w:r>
          </w:p>
        </w:tc>
        <w:tc>
          <w:tcPr/>
          <w:p>
            <w:pPr>
              <w:pStyle w:val="Compact"/>
            </w:pPr>
            <w:r>
              <w:t xml:space="preserve">1.000 (0.824–1.000)</w:t>
            </w:r>
          </w:p>
        </w:tc>
        <w:tc>
          <w:tcPr/>
          <w:p>
            <w:pPr>
              <w:pStyle w:val="Compact"/>
            </w:pPr>
            <w:r>
              <w:t xml:space="preserve">0.999 (0.997–0.999)</w:t>
            </w:r>
          </w:p>
        </w:tc>
        <w:tc>
          <w:tcPr/>
          <w:p>
            <w:pPr>
              <w:pStyle w:val="Compact"/>
            </w:pPr>
            <w:r>
              <w:t xml:space="preserve">0.783 (0.581–0.903)</w:t>
            </w:r>
          </w:p>
        </w:tc>
      </w:tr>
      <w:tr>
        <w:tc>
          <w:tcPr/>
          <w:p>
            <w:pPr>
              <w:pStyle w:val="Compact"/>
            </w:pPr>
            <w:r>
              <w:t xml:space="preserve">Profound</w:t>
            </w:r>
          </w:p>
        </w:tc>
        <w:tc>
          <w:tcPr/>
          <w:p>
            <w:pPr>
              <w:pStyle w:val="Compact"/>
            </w:pPr>
            <w:r>
              <w:t xml:space="preserve">3</w:t>
            </w:r>
          </w:p>
        </w:tc>
        <w:tc>
          <w:tcPr/>
          <w:p>
            <w:pPr>
              <w:pStyle w:val="Compact"/>
            </w:pPr>
            <w:r>
              <w:t xml:space="preserve">0.667 (0.208–0.939)</w:t>
            </w:r>
          </w:p>
        </w:tc>
        <w:tc>
          <w:tcPr/>
          <w:p>
            <w:pPr>
              <w:pStyle w:val="Compact"/>
            </w:pPr>
            <w:r>
              <w:t xml:space="preserve">1.000 (0.999–1.000)</w:t>
            </w:r>
          </w:p>
        </w:tc>
        <w:tc>
          <w:tcPr/>
          <w:p>
            <w:pPr>
              <w:pStyle w:val="Compact"/>
            </w:pPr>
            <w:r>
              <w:t xml:space="preserve">1.000 (0.342–1.000)</w:t>
            </w:r>
          </w:p>
        </w:tc>
      </w:tr>
    </w:tbl>
    <w:p>
      <w:pPr>
        <w:pStyle w:val="BodyText"/>
      </w:pPr>
      <w:r>
        <w:t xml:space="preserve">Note. Macro-averaged sensitivity 0.786 and macro-averaged F1 0.779 against 96.5% overall agreement, which the normal majority largely determines. Of 138 disagreements, 104 moved upward by one grade and 34 downward.</w:t>
      </w:r>
    </w:p>
    <w:p>
      <w:pPr>
        <w:pStyle w:val="BodyText"/>
      </w:pPr>
      <w:r>
        <w:rPr>
          <w:b/>
          <w:bCs/>
        </w:rPr>
        <w:t xml:space="preserve">Table 2.</w:t>
      </w:r>
      <w:r>
        <w:t xml:space="preserve"> </w:t>
      </w:r>
      <w:r>
        <w:t xml:space="preserve">Probabilistic benchmark on the held-out test set (n = 3,912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Multinomial logistic</w:t>
            </w:r>
          </w:p>
        </w:tc>
        <w:tc>
          <w:tcPr/>
          <w:p>
            <w:pPr>
              <w:pStyle w:val="Compact"/>
            </w:pPr>
            <w:r>
              <w:t xml:space="preserve">PTA-4</w:t>
            </w:r>
          </w:p>
        </w:tc>
        <w:tc>
          <w:tcPr/>
          <w:p>
            <w:pPr>
              <w:pStyle w:val="Compact"/>
            </w:pPr>
            <w:r>
              <w:t xml:space="preserve">0.9941</w:t>
            </w:r>
          </w:p>
        </w:tc>
        <w:tc>
          <w:tcPr/>
          <w:p>
            <w:pPr>
              <w:pStyle w:val="Compact"/>
            </w:pPr>
            <w:r>
              <w:t xml:space="preserve">99.6%</w:t>
            </w:r>
          </w:p>
        </w:tc>
        <w:tc>
          <w:tcPr/>
          <w:p>
            <w:pPr>
              <w:pStyle w:val="Compact"/>
            </w:pPr>
            <w:r>
              <w:t xml:space="preserve">0.0158</w:t>
            </w:r>
          </w:p>
        </w:tc>
        <w:tc>
          <w:tcPr/>
          <w:p>
            <w:pPr>
              <w:pStyle w:val="Compact"/>
            </w:pPr>
            <w:r>
              <w:t xml:space="preserve">0.0335</w:t>
            </w:r>
          </w:p>
        </w:tc>
        <w:tc>
          <w:tcPr/>
          <w:p>
            <w:pPr>
              <w:pStyle w:val="Compact"/>
            </w:pPr>
            <w:r>
              <w:t xml:space="preserve">0.0242</w:t>
            </w:r>
          </w:p>
        </w:tc>
      </w:tr>
      <w:tr>
        <w:tc>
          <w:tcPr/>
          <w:p>
            <w:pPr>
              <w:pStyle w:val="Compact"/>
            </w:pPr>
            <w:r>
              <w:t xml:space="preserve">Multinomial logistic</w:t>
            </w:r>
          </w:p>
        </w:tc>
        <w:tc>
          <w:tcPr/>
          <w:p>
            <w:pPr>
              <w:pStyle w:val="Compact"/>
            </w:pPr>
            <w:r>
              <w:t xml:space="preserve">7 frequencies</w:t>
            </w:r>
          </w:p>
        </w:tc>
        <w:tc>
          <w:tcPr/>
          <w:p>
            <w:pPr>
              <w:pStyle w:val="Compact"/>
            </w:pPr>
            <w:r>
              <w:t xml:space="preserve">0.9934</w:t>
            </w:r>
          </w:p>
        </w:tc>
        <w:tc>
          <w:tcPr/>
          <w:p>
            <w:pPr>
              <w:pStyle w:val="Compact"/>
            </w:pPr>
            <w:r>
              <w:t xml:space="preserve">99.6%</w:t>
            </w:r>
          </w:p>
        </w:tc>
        <w:tc>
          <w:tcPr/>
          <w:p>
            <w:pPr>
              <w:pStyle w:val="Compact"/>
            </w:pPr>
            <w:r>
              <w:t xml:space="preserve">0.0107</w:t>
            </w:r>
          </w:p>
        </w:tc>
        <w:tc>
          <w:tcPr/>
          <w:p>
            <w:pPr>
              <w:pStyle w:val="Compact"/>
            </w:pPr>
            <w:r>
              <w:t xml:space="preserve">0.0227</w:t>
            </w:r>
          </w:p>
        </w:tc>
        <w:tc>
          <w:tcPr/>
          <w:p>
            <w:pPr>
              <w:pStyle w:val="Compact"/>
            </w:pPr>
            <w:r>
              <w:t xml:space="preserve">0.0135</w:t>
            </w:r>
          </w:p>
        </w:tc>
      </w:tr>
      <w:tr>
        <w:tc>
          <w:tcPr/>
          <w:p>
            <w:pPr>
              <w:pStyle w:val="Compact"/>
            </w:pPr>
            <w:r>
              <w:t xml:space="preserve">Random forest</w:t>
            </w:r>
          </w:p>
        </w:tc>
        <w:tc>
          <w:tcPr/>
          <w:p>
            <w:pPr>
              <w:pStyle w:val="Compact"/>
            </w:pPr>
            <w:r>
              <w:t xml:space="preserve">7 frequencies</w:t>
            </w:r>
          </w:p>
        </w:tc>
        <w:tc>
          <w:tcPr/>
          <w:p>
            <w:pPr>
              <w:pStyle w:val="Compact"/>
            </w:pPr>
            <w:r>
              <w:t xml:space="preserve">0.9701</w:t>
            </w:r>
          </w:p>
        </w:tc>
        <w:tc>
          <w:tcPr/>
          <w:p>
            <w:pPr>
              <w:pStyle w:val="Compact"/>
            </w:pPr>
            <w:r>
              <w:t xml:space="preserve">98.3%</w:t>
            </w:r>
          </w:p>
        </w:tc>
        <w:tc>
          <w:tcPr/>
          <w:p>
            <w:pPr>
              <w:pStyle w:val="Compact"/>
            </w:pPr>
            <w:r>
              <w:t xml:space="preserve">0.0321</w:t>
            </w:r>
          </w:p>
        </w:tc>
        <w:tc>
          <w:tcPr/>
          <w:p>
            <w:pPr>
              <w:pStyle w:val="Compact"/>
            </w:pPr>
            <w:r>
              <w:t xml:space="preserve">0.0599</w:t>
            </w:r>
          </w:p>
        </w:tc>
        <w:tc>
          <w:tcPr/>
          <w:p>
            <w:pPr>
              <w:pStyle w:val="Compact"/>
            </w:pPr>
            <w:r>
              <w:t xml:space="preserve">0.0291</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0.9564</w:t>
            </w:r>
          </w:p>
        </w:tc>
        <w:tc>
          <w:tcPr/>
          <w:p>
            <w:pPr>
              <w:pStyle w:val="Compact"/>
            </w:pPr>
            <w:r>
              <w:rPr>
                <w:b/>
                <w:bCs/>
              </w:rPr>
              <w:t xml:space="preserve">97.2%</w:t>
            </w:r>
          </w:p>
        </w:tc>
        <w:tc>
          <w:tcPr/>
          <w:p>
            <w:pPr>
              <w:pStyle w:val="Compact"/>
            </w:pPr>
            <w:r>
              <w:rPr>
                <w:b/>
                <w:bCs/>
              </w:rPr>
              <w:t xml:space="preserve">0.0474</w:t>
            </w:r>
          </w:p>
        </w:tc>
        <w:tc>
          <w:tcPr/>
          <w:p>
            <w:pPr>
              <w:pStyle w:val="Compact"/>
            </w:pPr>
            <w:r>
              <w:rPr>
                <w:b/>
                <w:bCs/>
              </w:rPr>
              <w:t xml:space="preserve">0.0805</w:t>
            </w:r>
          </w:p>
        </w:tc>
        <w:tc>
          <w:tcPr/>
          <w:p>
            <w:pPr>
              <w:pStyle w:val="Compact"/>
            </w:pPr>
            <w:r>
              <w:rPr>
                <w:b/>
                <w:bCs/>
              </w:rPr>
              <w:t xml:space="preserve">0.0300</w:t>
            </w:r>
          </w:p>
        </w:tc>
      </w:tr>
      <w:tr>
        <w:tc>
          <w:tcPr/>
          <w:p>
            <w:pPr>
              <w:pStyle w:val="Compact"/>
            </w:pPr>
            <w:r>
              <w:t xml:space="preserve">Gradient boosting</w:t>
            </w:r>
          </w:p>
        </w:tc>
        <w:tc>
          <w:tcPr/>
          <w:p>
            <w:pPr>
              <w:pStyle w:val="Compact"/>
            </w:pPr>
            <w:r>
              <w:t xml:space="preserve">7 frequencies</w:t>
            </w:r>
          </w:p>
        </w:tc>
        <w:tc>
          <w:tcPr/>
          <w:p>
            <w:pPr>
              <w:pStyle w:val="Compact"/>
            </w:pPr>
            <w:r>
              <w:t xml:space="preserve">0.9177</w:t>
            </w:r>
          </w:p>
        </w:tc>
        <w:tc>
          <w:tcPr/>
          <w:p>
            <w:pPr>
              <w:pStyle w:val="Compact"/>
            </w:pPr>
            <w:r>
              <w:t xml:space="preserve">97.4%</w:t>
            </w:r>
          </w:p>
        </w:tc>
        <w:tc>
          <w:tcPr/>
          <w:p>
            <w:pPr>
              <w:pStyle w:val="Compact"/>
            </w:pPr>
            <w:r>
              <w:t xml:space="preserve">0.0479</w:t>
            </w:r>
          </w:p>
        </w:tc>
        <w:tc>
          <w:tcPr/>
          <w:p>
            <w:pPr>
              <w:pStyle w:val="Compact"/>
            </w:pPr>
            <w:r>
              <w:t xml:space="preserve">0.2771</w:t>
            </w:r>
          </w:p>
        </w:tc>
        <w:tc>
          <w:tcPr/>
          <w:p>
            <w:pPr>
              <w:pStyle w:val="Compact"/>
            </w:pPr>
            <w:r>
              <w:t xml:space="preserve">0.0304</w:t>
            </w:r>
          </w:p>
        </w:tc>
      </w:tr>
      <w:tr>
        <w:tc>
          <w:tcPr/>
          <w:p>
            <w:pPr>
              <w:pStyle w:val="Compact"/>
            </w:pPr>
            <w:r>
              <w:t xml:space="preserve">Majority-class baseline</w:t>
            </w:r>
          </w:p>
        </w:tc>
        <w:tc>
          <w:tcPr/>
          <w:p>
            <w:pPr>
              <w:pStyle w:val="Compact"/>
            </w:pPr>
            <w:r>
              <w:t xml:space="preserve">—</w:t>
            </w:r>
          </w:p>
        </w:tc>
        <w:tc>
          <w:tcPr/>
          <w:p>
            <w:pPr>
              <w:pStyle w:val="Compact"/>
            </w:pPr>
            <w:r>
              <w:t xml:space="preserve">0.0000</w:t>
            </w:r>
          </w:p>
        </w:tc>
        <w:tc>
          <w:tcPr/>
          <w:p>
            <w:pPr>
              <w:pStyle w:val="Compact"/>
            </w:pPr>
            <w:r>
              <w:t xml:space="preserve">86.9%</w:t>
            </w:r>
          </w:p>
        </w:tc>
        <w:tc>
          <w:tcPr/>
          <w:p>
            <w:pPr>
              <w:pStyle w:val="Compact"/>
            </w:pPr>
            <w:r>
              <w:t xml:space="preserve">0.8333</w:t>
            </w:r>
          </w:p>
        </w:tc>
        <w:tc>
          <w:tcPr/>
          <w:p>
            <w:pPr>
              <w:pStyle w:val="Compact"/>
            </w:pPr>
            <w:r>
              <w:t xml:space="preserve">1.7918</w:t>
            </w:r>
          </w:p>
        </w:tc>
        <w:tc>
          <w:tcPr/>
          <w:p>
            <w:pPr>
              <w:pStyle w:val="Compact"/>
            </w:pPr>
            <w:r>
              <w:t xml:space="preserve">0.7027</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86.9%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95% CI</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0.9266</w:t>
            </w:r>
          </w:p>
        </w:tc>
        <w:tc>
          <w:tcPr/>
          <w:p>
            <w:pPr>
              <w:pStyle w:val="Compact"/>
            </w:pPr>
            <w:r>
              <w:t xml:space="preserve">0.9140 to 0.9370</w:t>
            </w:r>
          </w:p>
        </w:tc>
        <w:tc>
          <w:tcPr/>
          <w:p>
            <w:pPr>
              <w:pStyle w:val="Compact"/>
            </w:pPr>
            <w:r>
              <w:t xml:space="preserve">79.5%</w:t>
            </w:r>
          </w:p>
        </w:tc>
        <w:tc>
          <w:tcPr/>
          <w:p>
            <w:pPr>
              <w:pStyle w:val="Compact"/>
            </w:pPr>
            <w:r>
              <w:t xml:space="preserve">4.38</w:t>
            </w:r>
          </w:p>
        </w:tc>
        <w:tc>
          <w:tcPr/>
          <w:p>
            <w:pPr>
              <w:pStyle w:val="Compact"/>
            </w:pPr>
            <w:r>
              <w:t xml:space="preserve">−0.0189</w:t>
            </w:r>
          </w:p>
        </w:tc>
        <w:tc>
          <w:tcPr/>
          <w:p>
            <w:pPr>
              <w:pStyle w:val="Compact"/>
            </w:pPr>
            <w:r>
              <w:t xml:space="preserve">−0.0274 to −0.0108</w:t>
            </w:r>
          </w:p>
        </w:tc>
      </w:tr>
      <w:tr>
        <w:tc>
          <w:tcPr/>
          <w:p>
            <w:pPr>
              <w:pStyle w:val="Compact"/>
            </w:pPr>
            <w:r>
              <w:t xml:space="preserve">6</w:t>
            </w:r>
          </w:p>
        </w:tc>
        <w:tc>
          <w:tcPr/>
          <w:p>
            <w:pPr>
              <w:pStyle w:val="Compact"/>
            </w:pPr>
            <w:r>
              <w:t xml:space="preserve">0.9417</w:t>
            </w:r>
          </w:p>
        </w:tc>
        <w:tc>
          <w:tcPr/>
          <w:p>
            <w:pPr>
              <w:pStyle w:val="Compact"/>
            </w:pPr>
            <w:r>
              <w:t xml:space="preserve">0.9288 to 0.9521</w:t>
            </w:r>
          </w:p>
        </w:tc>
        <w:tc>
          <w:tcPr/>
          <w:p>
            <w:pPr>
              <w:pStyle w:val="Compact"/>
            </w:pPr>
            <w:r>
              <w:t xml:space="preserve">85.0%</w:t>
            </w:r>
          </w:p>
        </w:tc>
        <w:tc>
          <w:tcPr/>
          <w:p>
            <w:pPr>
              <w:pStyle w:val="Compact"/>
            </w:pPr>
            <w:r>
              <w:t xml:space="preserve">4.38</w:t>
            </w:r>
          </w:p>
        </w:tc>
        <w:tc>
          <w:tcPr/>
          <w:p>
            <w:pPr>
              <w:pStyle w:val="Compact"/>
            </w:pPr>
            <w:r>
              <w:t xml:space="preserve">−0.0039</w:t>
            </w:r>
          </w:p>
        </w:tc>
        <w:tc>
          <w:tcPr/>
          <w:p>
            <w:pPr>
              <w:pStyle w:val="Compact"/>
            </w:pPr>
            <w:r>
              <w:t xml:space="preserve">−0.0101 to +0.0019</w:t>
            </w:r>
          </w:p>
        </w:tc>
      </w:tr>
      <w:tr>
        <w:tc>
          <w:tcPr/>
          <w:p>
            <w:pPr>
              <w:pStyle w:val="Compact"/>
            </w:pPr>
            <w:r>
              <w:t xml:space="preserve">8</w:t>
            </w:r>
          </w:p>
        </w:tc>
        <w:tc>
          <w:tcPr/>
          <w:p>
            <w:pPr>
              <w:pStyle w:val="Compact"/>
            </w:pPr>
            <w:r>
              <w:t xml:space="preserve">0.9485</w:t>
            </w:r>
          </w:p>
        </w:tc>
        <w:tc>
          <w:tcPr/>
          <w:p>
            <w:pPr>
              <w:pStyle w:val="Compact"/>
            </w:pPr>
            <w:r>
              <w:t xml:space="preserve">0.9376 to 0.9575</w:t>
            </w:r>
          </w:p>
        </w:tc>
        <w:tc>
          <w:tcPr/>
          <w:p>
            <w:pPr>
              <w:pStyle w:val="Compact"/>
            </w:pPr>
            <w:r>
              <w:t xml:space="preserve">85.4%</w:t>
            </w:r>
          </w:p>
        </w:tc>
        <w:tc>
          <w:tcPr/>
          <w:p>
            <w:pPr>
              <w:pStyle w:val="Compact"/>
            </w:pPr>
            <w:r>
              <w:t xml:space="preserve">4.37</w:t>
            </w:r>
          </w:p>
        </w:tc>
        <w:tc>
          <w:tcPr/>
          <w:p>
            <w:pPr>
              <w:pStyle w:val="Compact"/>
            </w:pPr>
            <w:r>
              <w:t xml:space="preserve">+0.0029</w:t>
            </w:r>
          </w:p>
        </w:tc>
        <w:tc>
          <w:tcPr/>
          <w:p>
            <w:pPr>
              <w:pStyle w:val="Compact"/>
            </w:pPr>
            <w:r>
              <w:t xml:space="preserve">−0.0016 to +0.0074</w:t>
            </w:r>
          </w:p>
        </w:tc>
      </w:tr>
      <w:tr>
        <w:tc>
          <w:tcPr/>
          <w:p>
            <w:pPr>
              <w:pStyle w:val="Compact"/>
            </w:pPr>
            <w:r>
              <w:t xml:space="preserve">10 (deployed)</w:t>
            </w:r>
          </w:p>
        </w:tc>
        <w:tc>
          <w:tcPr/>
          <w:p>
            <w:pPr>
              <w:pStyle w:val="Compact"/>
            </w:pPr>
            <w:r>
              <w:t xml:space="preserve">0.9456</w:t>
            </w:r>
          </w:p>
        </w:tc>
        <w:tc>
          <w:tcPr/>
          <w:p>
            <w:pPr>
              <w:pStyle w:val="Compact"/>
            </w:pPr>
            <w:r>
              <w:t xml:space="preserve">0.9345 to 0.9550</w:t>
            </w:r>
          </w:p>
        </w:tc>
        <w:tc>
          <w:tcPr/>
          <w:p>
            <w:pPr>
              <w:pStyle w:val="Compact"/>
            </w:pPr>
            <w:r>
              <w:t xml:space="preserve">85.1%</w:t>
            </w:r>
          </w:p>
        </w:tc>
        <w:tc>
          <w:tcPr/>
          <w:p>
            <w:pPr>
              <w:pStyle w:val="Compact"/>
            </w:pPr>
            <w:r>
              <w:t xml:space="preserve">4.35</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0.9443</w:t>
            </w:r>
          </w:p>
        </w:tc>
        <w:tc>
          <w:tcPr/>
          <w:p>
            <w:pPr>
              <w:pStyle w:val="Compact"/>
            </w:pPr>
            <w:r>
              <w:t xml:space="preserve">0.9330 to 0.9532</w:t>
            </w:r>
          </w:p>
        </w:tc>
        <w:tc>
          <w:tcPr/>
          <w:p>
            <w:pPr>
              <w:pStyle w:val="Compact"/>
            </w:pPr>
            <w:r>
              <w:t xml:space="preserve">83.7%</w:t>
            </w:r>
          </w:p>
        </w:tc>
        <w:tc>
          <w:tcPr/>
          <w:p>
            <w:pPr>
              <w:pStyle w:val="Compact"/>
            </w:pPr>
            <w:r>
              <w:t xml:space="preserve">4.33</w:t>
            </w:r>
          </w:p>
        </w:tc>
        <w:tc>
          <w:tcPr/>
          <w:p>
            <w:pPr>
              <w:pStyle w:val="Compact"/>
            </w:pPr>
            <w:r>
              <w:t xml:space="preserve">−0.0013</w:t>
            </w:r>
          </w:p>
        </w:tc>
        <w:tc>
          <w:tcPr/>
          <w:p>
            <w:pPr>
              <w:pStyle w:val="Compact"/>
            </w:pPr>
            <w:r>
              <w:t xml:space="preserve">−0.0051 to +0.0026</w:t>
            </w:r>
          </w:p>
        </w:tc>
      </w:tr>
      <w:tr>
        <w:tc>
          <w:tcPr/>
          <w:p>
            <w:pPr>
              <w:pStyle w:val="Compact"/>
            </w:pPr>
            <w:r>
              <w:t xml:space="preserve">14</w:t>
            </w:r>
          </w:p>
        </w:tc>
        <w:tc>
          <w:tcPr/>
          <w:p>
            <w:pPr>
              <w:pStyle w:val="Compact"/>
            </w:pPr>
            <w:r>
              <w:t xml:space="preserve">0.9368</w:t>
            </w:r>
          </w:p>
        </w:tc>
        <w:tc>
          <w:tcPr/>
          <w:p>
            <w:pPr>
              <w:pStyle w:val="Compact"/>
            </w:pPr>
            <w:r>
              <w:t xml:space="preserve">0.9251 to 0.9461</w:t>
            </w:r>
          </w:p>
        </w:tc>
        <w:tc>
          <w:tcPr/>
          <w:p>
            <w:pPr>
              <w:pStyle w:val="Compact"/>
            </w:pPr>
            <w:r>
              <w:t xml:space="preserve">82.9%</w:t>
            </w:r>
          </w:p>
        </w:tc>
        <w:tc>
          <w:tcPr/>
          <w:p>
            <w:pPr>
              <w:pStyle w:val="Compact"/>
            </w:pPr>
            <w:r>
              <w:t xml:space="preserve">4.30</w:t>
            </w:r>
          </w:p>
        </w:tc>
        <w:tc>
          <w:tcPr/>
          <w:p>
            <w:pPr>
              <w:pStyle w:val="Compact"/>
            </w:pPr>
            <w:r>
              <w:t xml:space="preserve">−0.0089</w:t>
            </w:r>
          </w:p>
        </w:tc>
        <w:tc>
          <w:tcPr/>
          <w:p>
            <w:pPr>
              <w:pStyle w:val="Compact"/>
            </w:pPr>
            <w:r>
              <w:t xml:space="preserve">−0.0141 to −0.0037</w:t>
            </w:r>
          </w:p>
        </w:tc>
      </w:tr>
      <w:tr>
        <w:tc>
          <w:tcPr/>
          <w:p>
            <w:pPr>
              <w:pStyle w:val="Compact"/>
            </w:pPr>
            <w:r>
              <w:t xml:space="preserve">16</w:t>
            </w:r>
          </w:p>
        </w:tc>
        <w:tc>
          <w:tcPr/>
          <w:p>
            <w:pPr>
              <w:pStyle w:val="Compact"/>
            </w:pPr>
            <w:r>
              <w:t xml:space="preserve">0.9340</w:t>
            </w:r>
          </w:p>
        </w:tc>
        <w:tc>
          <w:tcPr/>
          <w:p>
            <w:pPr>
              <w:pStyle w:val="Compact"/>
            </w:pPr>
            <w:r>
              <w:t xml:space="preserve">0.9209 to 0.9439</w:t>
            </w:r>
          </w:p>
        </w:tc>
        <w:tc>
          <w:tcPr/>
          <w:p>
            <w:pPr>
              <w:pStyle w:val="Compact"/>
            </w:pPr>
            <w:r>
              <w:t xml:space="preserve">82.6%</w:t>
            </w:r>
          </w:p>
        </w:tc>
        <w:tc>
          <w:tcPr/>
          <w:p>
            <w:pPr>
              <w:pStyle w:val="Compact"/>
            </w:pPr>
            <w:r>
              <w:t xml:space="preserve">4.20</w:t>
            </w:r>
          </w:p>
        </w:tc>
        <w:tc>
          <w:tcPr/>
          <w:p>
            <w:pPr>
              <w:pStyle w:val="Compact"/>
            </w:pPr>
            <w:r>
              <w:t xml:space="preserve">−0.0118</w:t>
            </w:r>
          </w:p>
        </w:tc>
        <w:tc>
          <w:tcPr/>
          <w:p>
            <w:pPr>
              <w:pStyle w:val="Compact"/>
            </w:pPr>
            <w:r>
              <w:t xml:space="preserve">−0.0169 to −0.0069</w:t>
            </w:r>
          </w:p>
        </w:tc>
      </w:tr>
    </w:tbl>
    <w:p>
      <w:pPr>
        <w:pStyle w:val="BodyText"/>
      </w:pPr>
      <w:r>
        <w:t xml:space="preserve">Note. Paired bootstrap, 2,000 resamples over 3,912 test ears. Floors of 6 to 12 dB form a plateau within 0.005 κ of the peak at 8 dB; 4 dB and 14 to 16 dB differ significantly from the deployed setting. Mean absolute error falls monotonically with width while categorical agreement turns over, so the two diverge at the wide end.</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0.959</w:t>
            </w:r>
          </w:p>
        </w:tc>
      </w:tr>
      <w:tr>
        <w:tc>
          <w:tcPr/>
          <w:p>
            <w:pPr>
              <w:pStyle w:val="Compact"/>
            </w:pPr>
            <w:r>
              <w:t xml:space="preserve">Overall agreement</w:t>
            </w:r>
          </w:p>
        </w:tc>
        <w:tc>
          <w:tcPr/>
          <w:p>
            <w:pPr>
              <w:pStyle w:val="Compact"/>
            </w:pPr>
            <w:r>
              <w:t xml:space="preserve">96.5%</w:t>
            </w:r>
          </w:p>
        </w:tc>
        <w:tc>
          <w:tcPr/>
          <w:p>
            <w:pPr>
              <w:pStyle w:val="Compact"/>
            </w:pPr>
            <w:r>
              <w:t xml:space="preserve">96.0%</w:t>
            </w:r>
          </w:p>
        </w:tc>
      </w:tr>
      <w:tr>
        <w:tc>
          <w:tcPr/>
          <w:p>
            <w:pPr>
              <w:pStyle w:val="Compact"/>
            </w:pPr>
            <w:r>
              <w:t xml:space="preserve">Borderline agreement (±5 dB)</w:t>
            </w:r>
          </w:p>
        </w:tc>
        <w:tc>
          <w:tcPr/>
          <w:p>
            <w:pPr>
              <w:pStyle w:val="Compact"/>
            </w:pPr>
            <w:r>
              <w:t xml:space="preserve">85.1%</w:t>
            </w:r>
          </w:p>
        </w:tc>
        <w:tc>
          <w:tcPr/>
          <w:p>
            <w:pPr>
              <w:pStyle w:val="Compact"/>
            </w:pPr>
            <w:r>
              <w:t xml:space="preserve">88.0%</w:t>
            </w:r>
          </w:p>
        </w:tc>
      </w:tr>
      <w:tr>
        <w:tc>
          <w:tcPr/>
          <w:p>
            <w:pPr>
              <w:pStyle w:val="Compact"/>
            </w:pPr>
            <w:r>
              <w:t xml:space="preserve">Borderline share of test ears</w:t>
            </w:r>
          </w:p>
        </w:tc>
        <w:tc>
          <w:tcPr/>
          <w:p>
            <w:pPr>
              <w:pStyle w:val="Compact"/>
            </w:pPr>
            <w:r>
              <w:t xml:space="preserve">18.7%</w:t>
            </w:r>
          </w:p>
        </w:tc>
        <w:tc>
          <w:tcPr/>
          <w:p>
            <w:pPr>
              <w:pStyle w:val="Compact"/>
            </w:pPr>
            <w:r>
              <w:t xml:space="preserve">29.5%</w:t>
            </w:r>
          </w:p>
        </w:tc>
      </w:tr>
      <w:tr>
        <w:tc>
          <w:tcPr/>
          <w:p>
            <w:pPr>
              <w:pStyle w:val="Compact"/>
            </w:pPr>
            <w:r>
              <w:t xml:space="preserve">Clear-case agreement</w:t>
            </w:r>
          </w:p>
        </w:tc>
        <w:tc>
          <w:tcPr/>
          <w:p>
            <w:pPr>
              <w:pStyle w:val="Compact"/>
            </w:pPr>
            <w:r>
              <w:t xml:space="preserve">99.1%</w:t>
            </w:r>
          </w:p>
        </w:tc>
        <w:tc>
          <w:tcPr/>
          <w:p>
            <w:pPr>
              <w:pStyle w:val="Compact"/>
            </w:pPr>
            <w:r>
              <w:t xml:space="preserve">99.4%</w:t>
            </w:r>
          </w:p>
        </w:tc>
      </w:tr>
      <w:tr>
        <w:tc>
          <w:tcPr/>
          <w:p>
            <w:pPr>
              <w:pStyle w:val="Compact"/>
            </w:pPr>
            <w:r>
              <w:t xml:space="preserve">Spearman rho vs PTA-4</w:t>
            </w:r>
          </w:p>
        </w:tc>
        <w:tc>
          <w:tcPr/>
          <w:p>
            <w:pPr>
              <w:pStyle w:val="Compact"/>
            </w:pPr>
            <w:r>
              <w:t xml:space="preserve">0.812</w:t>
            </w:r>
          </w:p>
        </w:tc>
        <w:tc>
          <w:tcPr/>
          <w:p>
            <w:pPr>
              <w:pStyle w:val="Compact"/>
            </w:pPr>
            <w:r>
              <w:t xml:space="preserve">0.844</w:t>
            </w:r>
          </w:p>
        </w:tc>
      </w:tr>
      <w:tr>
        <w:tc>
          <w:tcPr/>
          <w:p>
            <w:pPr>
              <w:pStyle w:val="Compact"/>
            </w:pPr>
            <w:r>
              <w:t xml:space="preserve">MAE vs PTA-4 (dB)</w:t>
            </w:r>
          </w:p>
        </w:tc>
        <w:tc>
          <w:tcPr/>
          <w:p>
            <w:pPr>
              <w:pStyle w:val="Compact"/>
            </w:pPr>
            <w:r>
              <w:t xml:space="preserve">4.35</w:t>
            </w:r>
          </w:p>
        </w:tc>
        <w:tc>
          <w:tcPr/>
          <w:p>
            <w:pPr>
              <w:pStyle w:val="Compact"/>
            </w:pPr>
            <w:r>
              <w:t xml:space="preserve">3.74</w:t>
            </w:r>
          </w:p>
        </w:tc>
      </w:tr>
      <w:tr>
        <w:tc>
          <w:tcPr/>
          <w:p>
            <w:pPr>
              <w:pStyle w:val="Compact"/>
            </w:pPr>
            <w:r>
              <w:t xml:space="preserve">Bland-Altman bias (dB)</w:t>
            </w:r>
          </w:p>
        </w:tc>
        <w:tc>
          <w:tcPr/>
          <w:p>
            <w:pPr>
              <w:pStyle w:val="Compact"/>
            </w:pPr>
            <w:r>
              <w:t xml:space="preserve">+0.25</w:t>
            </w:r>
          </w:p>
        </w:tc>
        <w:tc>
          <w:tcPr/>
          <w:p>
            <w:pPr>
              <w:pStyle w:val="Compact"/>
            </w:pPr>
            <w:r>
              <w:t xml:space="preserve">+0.13</w:t>
            </w:r>
          </w:p>
        </w:tc>
      </w:tr>
    </w:tbl>
    <w:p>
      <w:pPr>
        <w:pStyle w:val="BodyText"/>
      </w:pPr>
      <w:r>
        <w:t xml:space="preserve">Note. For reference, scoring the Clark six-category system against the WHO 2021 boundaries returns kappa 0.875, so the categories must be fitted to the boundaries being claimed. The 2021 arm faces the harder borderline population, with 29.5% of ears within 5 dB of a boundary against 18.7%.</w:t>
      </w:r>
    </w:p>
    <w:bookmarkEnd w:id="75"/>
    <w:bookmarkStart w:id="76"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+0.25 dB, 95% limits of agreement −11.2 to +11.7 dB. (b) Classification agreement as a function of distance from the nearest Clark severity boundary. The FAI matches the crisp grade on 99.1% of clear cases (≥6 dB from a boundary) and returns graded membership on 85.1%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7" Target="https://doi.org/10.1097/MAO.0000000000002931" TargetMode="External" /><Relationship Type="http://schemas.openxmlformats.org/officeDocument/2006/relationships/hyperlink" Id="rId60" Target="https://doi.org/10.1109/TSMC.1986.4308946" TargetMode="External" /><Relationship Type="http://schemas.openxmlformats.org/officeDocument/2006/relationships/hyperlink" Id="rId69" Target="https://doi.org/10.1111/j.2517-6161.1980.tb01109.x" TargetMode="External" /><Relationship Type="http://schemas.openxmlformats.org/officeDocument/2006/relationships/hyperlink" Id="rId71" Target="https://doi.org/10.1177/0272989X06295361"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7" Target="https://doi.org/10.1097/MAO.0000000000002931" TargetMode="External" /><Relationship Type="http://schemas.openxmlformats.org/officeDocument/2006/relationships/hyperlink" Id="rId60" Target="https://doi.org/10.1109/TSMC.1986.4308946" TargetMode="External" /><Relationship Type="http://schemas.openxmlformats.org/officeDocument/2006/relationships/hyperlink" Id="rId69" Target="https://doi.org/10.1111/j.2517-6161.1980.tb01109.x" TargetMode="External" /><Relationship Type="http://schemas.openxmlformats.org/officeDocument/2006/relationships/hyperlink" Id="rId71" Target="https://doi.org/10.1177/0272989X06295361"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2026-09-25T13:02:32Z</dcterms:created>
  <dcterms:modified xsi:type="dcterms:W3CDTF">2026-09-25T13:02:32Z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